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Default Extension="jpeg" ContentType="image/jpeg"/>
  <Override PartName="/word/header15.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721"/>
      </w:pPr>
      <w:r>
        <w:rPr/>
        <w:pict>
          <v:group style="position:absolute;margin-left:-.25pt;margin-top:0pt;width:612.5pt;height:792pt;mso-position-horizontal-relative:page;mso-position-vertical-relative:page;z-index:-4314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5972"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0892;height:368" type="#_x0000_t75" stroked="false">
              <v:imagedata r:id="rId13" o:title=""/>
            </v:shape>
            <v:shape style="position:absolute;left:7703;top:11940;width:1650;height:1665" type="#_x0000_t75" stroked="false">
              <v:imagedata r:id="rId14" o:title=""/>
            </v:shape>
            <w10:wrap type="none"/>
          </v:group>
        </w:pict>
      </w:r>
      <w:r>
        <w:rPr>
          <w:color w:val="5B9BD4"/>
        </w:rPr>
        <w:t>REVISTA MEDICA</w:t>
      </w:r>
    </w:p>
    <w:p>
      <w:pPr>
        <w:spacing w:before="192"/>
        <w:ind w:left="1721" w:right="172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7"/>
        </w:rPr>
      </w:pPr>
    </w:p>
    <w:p>
      <w:pPr>
        <w:spacing w:before="86"/>
        <w:ind w:left="7678" w:right="0" w:firstLine="0"/>
        <w:jc w:val="left"/>
        <w:rPr>
          <w:b/>
          <w:sz w:val="44"/>
        </w:rPr>
      </w:pPr>
      <w:r>
        <w:rPr>
          <w:b/>
          <w:color w:val="3A3838"/>
          <w:sz w:val="44"/>
        </w:rPr>
        <w:t>ARTICULOS</w:t>
      </w:r>
    </w:p>
    <w:p>
      <w:pPr>
        <w:pStyle w:val="BodyText"/>
        <w:rPr>
          <w:b/>
          <w:sz w:val="20"/>
        </w:rPr>
      </w:pPr>
    </w:p>
    <w:p>
      <w:pPr>
        <w:pStyle w:val="BodyText"/>
        <w:rPr>
          <w:b/>
          <w:sz w:val="20"/>
        </w:rPr>
      </w:pPr>
    </w:p>
    <w:p>
      <w:pPr>
        <w:pStyle w:val="BodyText"/>
        <w:spacing w:before="8" w:after="1"/>
        <w:rPr>
          <w:b/>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0"/>
      </w:tblGrid>
      <w:tr>
        <w:trPr>
          <w:trHeight w:val="1070" w:hRule="atLeast"/>
        </w:trPr>
        <w:tc>
          <w:tcPr>
            <w:tcW w:w="3990" w:type="dxa"/>
          </w:tcPr>
          <w:p>
            <w:pPr>
              <w:pStyle w:val="TableParagraph"/>
              <w:numPr>
                <w:ilvl w:val="0"/>
                <w:numId w:val="1"/>
              </w:numPr>
              <w:tabs>
                <w:tab w:pos="560" w:val="left" w:leader="none"/>
                <w:tab w:pos="561" w:val="left" w:leader="none"/>
              </w:tabs>
              <w:spacing w:line="273" w:lineRule="auto" w:before="0" w:after="0"/>
              <w:ind w:left="628" w:right="198" w:hanging="428"/>
              <w:jc w:val="left"/>
              <w:rPr>
                <w:sz w:val="24"/>
              </w:rPr>
            </w:pPr>
            <w:r>
              <w:rPr>
                <w:sz w:val="24"/>
              </w:rPr>
              <w:t>Hiperplasia prostática benigna (HPB)</w:t>
            </w:r>
          </w:p>
        </w:tc>
      </w:tr>
      <w:tr>
        <w:trPr>
          <w:trHeight w:val="1209" w:hRule="atLeast"/>
        </w:trPr>
        <w:tc>
          <w:tcPr>
            <w:tcW w:w="3990" w:type="dxa"/>
          </w:tcPr>
          <w:p>
            <w:pPr>
              <w:pStyle w:val="TableParagraph"/>
              <w:spacing w:before="9"/>
              <w:rPr>
                <w:b/>
                <w:sz w:val="39"/>
              </w:rPr>
            </w:pPr>
          </w:p>
          <w:p>
            <w:pPr>
              <w:pStyle w:val="TableParagraph"/>
              <w:numPr>
                <w:ilvl w:val="0"/>
                <w:numId w:val="2"/>
              </w:numPr>
              <w:tabs>
                <w:tab w:pos="560" w:val="left" w:leader="none"/>
                <w:tab w:pos="561" w:val="left" w:leader="none"/>
              </w:tabs>
              <w:spacing w:line="240" w:lineRule="auto" w:before="0" w:after="0"/>
              <w:ind w:left="560" w:right="0" w:hanging="360"/>
              <w:jc w:val="left"/>
              <w:rPr>
                <w:sz w:val="24"/>
              </w:rPr>
            </w:pPr>
            <w:r>
              <w:rPr>
                <w:sz w:val="24"/>
              </w:rPr>
              <w:t>Úlcera</w:t>
            </w:r>
            <w:r>
              <w:rPr>
                <w:spacing w:val="-2"/>
                <w:sz w:val="24"/>
              </w:rPr>
              <w:t> </w:t>
            </w:r>
            <w:r>
              <w:rPr>
                <w:sz w:val="24"/>
              </w:rPr>
              <w:t>gastroduodenal</w:t>
            </w:r>
          </w:p>
        </w:tc>
      </w:tr>
      <w:tr>
        <w:trPr>
          <w:trHeight w:val="751" w:hRule="atLeast"/>
        </w:trPr>
        <w:tc>
          <w:tcPr>
            <w:tcW w:w="3990" w:type="dxa"/>
          </w:tcPr>
          <w:p>
            <w:pPr>
              <w:pStyle w:val="TableParagraph"/>
              <w:spacing w:before="8"/>
              <w:rPr>
                <w:b/>
                <w:sz w:val="39"/>
              </w:rPr>
            </w:pPr>
          </w:p>
          <w:p>
            <w:pPr>
              <w:pStyle w:val="TableParagraph"/>
              <w:numPr>
                <w:ilvl w:val="0"/>
                <w:numId w:val="3"/>
              </w:numPr>
              <w:tabs>
                <w:tab w:pos="560" w:val="left" w:leader="none"/>
                <w:tab w:pos="561" w:val="left" w:leader="none"/>
              </w:tabs>
              <w:spacing w:line="274" w:lineRule="exact" w:before="0" w:after="0"/>
              <w:ind w:left="560" w:right="0" w:hanging="360"/>
              <w:jc w:val="left"/>
              <w:rPr>
                <w:sz w:val="24"/>
              </w:rPr>
            </w:pPr>
            <w:r>
              <w:rPr>
                <w:sz w:val="24"/>
              </w:rPr>
              <w:t>Ictericia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8"/>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456" w:val="left" w:leader="none"/>
          <w:tab w:pos="4965" w:val="left" w:leader="none"/>
          <w:tab w:pos="7754" w:val="left" w:leader="none"/>
          <w:tab w:pos="8934" w:val="left" w:leader="none"/>
        </w:tabs>
        <w:spacing w:before="35"/>
        <w:ind w:left="652" w:right="0" w:firstLine="0"/>
        <w:jc w:val="left"/>
        <w:rPr>
          <w:rFonts w:ascii="Calibri" w:hAnsi="Calibri"/>
          <w:b/>
          <w:sz w:val="32"/>
        </w:rPr>
      </w:pPr>
      <w:r>
        <w:rPr>
          <w:rFonts w:ascii="Calibri" w:hAnsi="Calibri"/>
          <w:b/>
          <w:color w:val="FFFFFF"/>
          <w:spacing w:val="5"/>
          <w:sz w:val="32"/>
        </w:rPr>
        <w:t>JULIO</w:t>
      </w:r>
      <w:r>
        <w:rPr>
          <w:rFonts w:ascii="Calibri" w:hAnsi="Calibri"/>
          <w:b/>
          <w:color w:val="FFFFFF"/>
          <w:spacing w:val="20"/>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3"/>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3"/>
          <w:sz w:val="32"/>
        </w:rPr>
        <w:t> </w:t>
      </w:r>
      <w:r>
        <w:rPr>
          <w:rFonts w:ascii="Calibri" w:hAnsi="Calibri"/>
          <w:b/>
          <w:color w:val="FFFFFF"/>
          <w:sz w:val="32"/>
        </w:rPr>
        <w:t>7</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392527">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7" o:title=""/>
            </v:shape>
            <v:shape style="position:absolute;left:289;top:213;width:4081;height:366" type="#_x0000_t75" stroked="false">
              <v:imagedata r:id="rId28" o:title=""/>
            </v:shape>
            <v:shape style="position:absolute;left:892;top:856;width:3284;height:976" type="#_x0000_t75" stroked="false">
              <v:imagedata r:id="rId29" o:title=""/>
            </v:shape>
            <v:shape style="position:absolute;left:1164;top:1069;width:2322;height:366" type="#_x0000_t75" stroked="false">
              <v:imagedata r:id="rId30" o:title=""/>
            </v:shape>
            <v:shape style="position:absolute;left:2048;top:1632;width:832;height:976" type="#_x0000_t75" stroked="false">
              <v:imagedata r:id="rId31"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6.png" descr=""/>
            <wp:cNvGraphicFramePr>
              <a:graphicFrameLocks noChangeAspect="1"/>
            </wp:cNvGraphicFramePr>
            <a:graphic>
              <a:graphicData uri="http://schemas.openxmlformats.org/drawingml/2006/picture">
                <pic:pic>
                  <pic:nvPicPr>
                    <pic:cNvPr id="4" name="image26.png"/>
                    <pic:cNvPicPr/>
                  </pic:nvPicPr>
                  <pic:blipFill>
                    <a:blip r:embed="rId32"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21" w:right="171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805" w:val="left" w:leader="none"/>
          <w:tab w:pos="6157" w:val="left" w:leader="none"/>
        </w:tabs>
        <w:spacing w:line="259" w:lineRule="auto" w:before="0"/>
        <w:ind w:left="4741" w:right="4731" w:firstLine="0"/>
        <w:jc w:val="center"/>
        <w:rPr>
          <w:sz w:val="18"/>
        </w:rPr>
      </w:pPr>
      <w:r>
        <w:rPr>
          <w:sz w:val="18"/>
        </w:rPr>
        <w:t>Fecha de publicación: JULIO</w:t>
      </w:r>
      <w:r>
        <w:rPr>
          <w:spacing w:val="-8"/>
          <w:sz w:val="18"/>
        </w:rPr>
        <w:t> </w:t>
      </w:r>
      <w:r>
        <w:rPr>
          <w:sz w:val="18"/>
        </w:rPr>
        <w:t>2016 Volumen:1</w:t>
        <w:tab/>
        <w:t>–</w:t>
        <w:tab/>
        <w:t>Numero:7</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36" w:right="4731" w:firstLine="0"/>
        <w:jc w:val="center"/>
        <w:rPr>
          <w:sz w:val="18"/>
        </w:rPr>
      </w:pPr>
      <w:r>
        <w:rPr>
          <w:sz w:val="18"/>
        </w:rPr>
        <w:t>Sabana Sur, San José-Costa Rica Teléfono: 8668002</w:t>
      </w:r>
    </w:p>
    <w:p>
      <w:pPr>
        <w:spacing w:before="13"/>
        <w:ind w:left="1721" w:right="1718" w:firstLine="0"/>
        <w:jc w:val="center"/>
        <w:rPr>
          <w:sz w:val="18"/>
        </w:rPr>
      </w:pPr>
      <w:r>
        <w:rPr>
          <w:sz w:val="18"/>
        </w:rPr>
        <w:t>E-mail: </w:t>
      </w:r>
      <w:hyperlink r:id="rId24">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1"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spacing w:before="236"/>
        <w:ind w:left="1576" w:right="1732" w:firstLine="0"/>
        <w:jc w:val="center"/>
        <w:rPr>
          <w:b/>
          <w:sz w:val="36"/>
        </w:rPr>
      </w:pPr>
      <w:r>
        <w:rPr/>
        <w:pict>
          <v:group style="position:absolute;margin-left:-.25pt;margin-top:-34.736183pt;width:610.65pt;height:81.1pt;mso-position-horizontal-relative:page;mso-position-vertical-relative:paragraph;z-index:-42832" coordorigin="-5,-695" coordsize="12213,1622">
            <v:shape style="position:absolute;left:5860;top:-695;width:832;height:976" type="#_x0000_t75" stroked="false">
              <v:imagedata r:id="rId31" o:title=""/>
            </v:shape>
            <v:shape style="position:absolute;left:-5;top:161;width:12213;height:765" type="#_x0000_t75" stroked="false">
              <v:imagedata r:id="rId35" o:title=""/>
            </v:shape>
            <w10:wrap type="none"/>
          </v:group>
        </w:pict>
      </w:r>
      <w:r>
        <w:rPr>
          <w:b/>
          <w:sz w:val="36"/>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Ricardo Sánchez Gaitán</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3"/>
        </w:rPr>
      </w:pPr>
    </w:p>
    <w:p>
      <w:pPr>
        <w:pStyle w:val="BodyText"/>
        <w:ind w:left="1440"/>
      </w:pPr>
      <w:r>
        <w:rPr/>
        <w:t>Rocío Arias Silva</w:t>
      </w:r>
    </w:p>
    <w:p>
      <w:pPr>
        <w:pStyle w:val="BodyText"/>
        <w:spacing w:before="14"/>
        <w:ind w:left="1440"/>
      </w:pPr>
      <w:r>
        <w:rPr/>
        <w:t>Médico General. Universidad de Ciencias Médicas.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2"/>
        </w:rPr>
      </w:pPr>
    </w:p>
    <w:p>
      <w:pPr>
        <w:pStyle w:val="BodyText"/>
        <w:ind w:left="1440"/>
      </w:pPr>
      <w:r>
        <w:rPr/>
        <w:t>Daniel Mondragón Bustos</w:t>
      </w:r>
    </w:p>
    <w:p>
      <w:pPr>
        <w:pStyle w:val="BodyText"/>
        <w:spacing w:before="15"/>
        <w:ind w:left="1440"/>
      </w:pPr>
      <w:r>
        <w:rPr/>
        <w:t>Médico General. Universidad de Ciencias Médicas.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line="256" w:lineRule="auto" w:before="1"/>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3"/>
          <w:footerReference w:type="default" r:id="rId34"/>
          <w:pgSz w:w="12240" w:h="15840"/>
          <w:pgMar w:footer="872" w:header="0" w:top="1320" w:bottom="1060" w:left="0" w:right="0"/>
          <w:pgNumType w:start="2"/>
        </w:sectPr>
      </w:pPr>
    </w:p>
    <w:p>
      <w:pPr>
        <w:spacing w:line="400" w:lineRule="atLeast" w:before="42"/>
        <w:ind w:left="1928" w:right="-13" w:hanging="268"/>
        <w:jc w:val="left"/>
        <w:rPr>
          <w:sz w:val="16"/>
        </w:rPr>
      </w:pPr>
      <w:r>
        <w:rPr>
          <w:sz w:val="16"/>
        </w:rPr>
        <w:t>Revista Médica</w:t>
      </w:r>
      <w:r>
        <w:rPr>
          <w:spacing w:val="-11"/>
          <w:sz w:val="16"/>
        </w:rPr>
        <w:t> </w:t>
      </w:r>
      <w:r>
        <w:rPr>
          <w:sz w:val="16"/>
        </w:rPr>
        <w:t>Sinergia ISSN</w:t>
      </w:r>
      <w:r>
        <w:rPr>
          <w:spacing w:val="-1"/>
          <w:sz w:val="16"/>
        </w:rPr>
        <w:t> </w:t>
      </w:r>
      <w:r>
        <w:rPr>
          <w:sz w:val="16"/>
        </w:rPr>
        <w:t>2215-4523</w:t>
      </w:r>
    </w:p>
    <w:p>
      <w:pPr>
        <w:spacing w:line="261" w:lineRule="auto" w:before="11"/>
        <w:ind w:left="1820" w:right="134" w:firstLine="259"/>
        <w:jc w:val="left"/>
        <w:rPr>
          <w:sz w:val="16"/>
        </w:rPr>
      </w:pPr>
      <w:r>
        <w:rPr>
          <w:sz w:val="16"/>
        </w:rPr>
        <w:t>Vol.1 Num:7 Julio 2016 pp:3 - 9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78" w:lineRule="auto" w:before="117"/>
        <w:ind w:left="1476" w:right="134" w:firstLine="0"/>
        <w:jc w:val="left"/>
        <w:rPr>
          <w:sz w:val="16"/>
        </w:rPr>
      </w:pPr>
      <w:r>
        <w:rPr>
          <w:sz w:val="16"/>
        </w:rPr>
        <w:t>*Médico General. Universidad de Ciencias Médicas (UCIMED). San José - Costa Rica</w:t>
      </w:r>
    </w:p>
    <w:p>
      <w:pPr>
        <w:pStyle w:val="BodyText"/>
        <w:rPr>
          <w:sz w:val="18"/>
        </w:rPr>
      </w:pPr>
    </w:p>
    <w:p>
      <w:pPr>
        <w:pStyle w:val="BodyText"/>
        <w:spacing w:before="4"/>
        <w:rPr>
          <w:sz w:val="23"/>
        </w:rPr>
      </w:pPr>
    </w:p>
    <w:p>
      <w:pPr>
        <w:pStyle w:val="Heading3"/>
        <w:ind w:left="1440"/>
      </w:pPr>
      <w:r>
        <w:rPr/>
        <w:t>INTRODUCCION</w:t>
      </w:r>
    </w:p>
    <w:p>
      <w:pPr>
        <w:spacing w:before="74"/>
        <w:ind w:left="837" w:right="1935" w:firstLine="0"/>
        <w:jc w:val="center"/>
        <w:rPr>
          <w:b/>
          <w:sz w:val="28"/>
        </w:rPr>
      </w:pPr>
      <w:r>
        <w:rPr/>
        <w:br w:type="column"/>
      </w:r>
      <w:r>
        <w:rPr>
          <w:b/>
          <w:sz w:val="28"/>
        </w:rPr>
        <w:t>HIPERPLASIA PROSTATICA BENIGNA (HPB)</w:t>
      </w:r>
    </w:p>
    <w:p>
      <w:pPr>
        <w:spacing w:before="54"/>
        <w:ind w:left="830" w:right="1935" w:firstLine="0"/>
        <w:jc w:val="center"/>
        <w:rPr>
          <w:sz w:val="22"/>
        </w:rPr>
      </w:pPr>
      <w:r>
        <w:rPr/>
        <w:pict>
          <v:group style="position:absolute;margin-left:73.800003pt;margin-top:-6.612146pt;width:465.45pt;height:508.8pt;mso-position-horizontal-relative:page;mso-position-vertical-relative:paragraph;z-index:-42808" coordorigin="1476,-132" coordsize="9309,10176">
            <v:shape style="position:absolute;left:3570;top:939;width:7215;height:9090" type="#_x0000_t75" stroked="false">
              <v:imagedata r:id="rId36" o:title=""/>
            </v:shape>
            <v:shape style="position:absolute;left:1476;top:-133;width:2088;height:10176" type="#_x0000_t75" stroked="false">
              <v:imagedata r:id="rId37" o:title=""/>
            </v:shape>
            <w10:wrap type="none"/>
          </v:group>
        </w:pict>
      </w:r>
      <w:r>
        <w:rPr>
          <w:sz w:val="22"/>
        </w:rPr>
        <w:t>(</w:t>
      </w:r>
      <w:r>
        <w:rPr>
          <w:sz w:val="20"/>
        </w:rPr>
        <w:t>BENIGN PROSTATIC HYPERPLASIA</w:t>
      </w:r>
      <w:r>
        <w:rPr>
          <w:sz w:val="22"/>
        </w:rPr>
        <w:t>)</w:t>
      </w:r>
    </w:p>
    <w:p>
      <w:pPr>
        <w:pStyle w:val="BodyText"/>
        <w:spacing w:before="4"/>
        <w:rPr>
          <w:sz w:val="20"/>
        </w:rPr>
      </w:pPr>
    </w:p>
    <w:p>
      <w:pPr>
        <w:pStyle w:val="BodyText"/>
        <w:ind w:left="4852"/>
      </w:pPr>
      <w:r>
        <w:rPr/>
        <w:t>* Ricardo Sánchez Gaitán</w:t>
      </w:r>
    </w:p>
    <w:p>
      <w:pPr>
        <w:pStyle w:val="BodyText"/>
        <w:spacing w:before="4"/>
        <w:rPr>
          <w:sz w:val="19"/>
        </w:rPr>
      </w:pPr>
    </w:p>
    <w:p>
      <w:pPr>
        <w:pStyle w:val="BodyText"/>
        <w:ind w:left="299"/>
      </w:pPr>
      <w:r>
        <w:rPr/>
        <w:t>RESUMEN</w:t>
      </w:r>
    </w:p>
    <w:p>
      <w:pPr>
        <w:pStyle w:val="BodyText"/>
        <w:spacing w:line="276" w:lineRule="auto" w:before="34"/>
        <w:ind w:left="299" w:right="1531"/>
      </w:pPr>
      <w:r>
        <w:rPr/>
        <w:t>El riesgo de la HPB aumenta cada año después de los 40 años, tenemos que tener en claro que la HPB es diferente al Ca. Próstata, esta última comienza en la zona periférica externa de la próstata y crece hacia afuera invadiendo el tejido circundante.</w:t>
      </w:r>
    </w:p>
    <w:p>
      <w:pPr>
        <w:pStyle w:val="BodyText"/>
        <w:spacing w:line="276" w:lineRule="auto"/>
        <w:ind w:left="299" w:right="2176"/>
      </w:pPr>
      <w:r>
        <w:rPr/>
        <w:t>Se debe de realizar una valoración completa de Historia clínica y exploración física</w:t>
      </w:r>
    </w:p>
    <w:p>
      <w:pPr>
        <w:pStyle w:val="BodyText"/>
        <w:spacing w:line="276" w:lineRule="auto" w:before="4"/>
        <w:ind w:left="299" w:right="2078"/>
      </w:pPr>
      <w:r>
        <w:rPr/>
        <w:t>En el tratamiento puede ser farmacológico o quirúrgicos, entre los primeros existen:</w:t>
      </w:r>
    </w:p>
    <w:p>
      <w:pPr>
        <w:pStyle w:val="ListParagraph"/>
        <w:numPr>
          <w:ilvl w:val="0"/>
          <w:numId w:val="4"/>
        </w:numPr>
        <w:tabs>
          <w:tab w:pos="904" w:val="left" w:leader="none"/>
          <w:tab w:pos="3164" w:val="left" w:leader="none"/>
        </w:tabs>
        <w:spacing w:line="251" w:lineRule="exact" w:before="0" w:after="0"/>
        <w:ind w:left="903" w:right="0" w:hanging="244"/>
        <w:jc w:val="left"/>
        <w:rPr>
          <w:sz w:val="22"/>
        </w:rPr>
      </w:pPr>
      <w:r>
        <w:rPr>
          <w:sz w:val="22"/>
        </w:rPr>
        <w:t>Bloqueantes</w:t>
        <w:tab/>
        <w:t>3. Inhibidores de</w:t>
      </w:r>
      <w:r>
        <w:rPr>
          <w:spacing w:val="-4"/>
          <w:sz w:val="22"/>
        </w:rPr>
        <w:t> </w:t>
      </w:r>
      <w:r>
        <w:rPr>
          <w:sz w:val="22"/>
        </w:rPr>
        <w:t>5α-reductasa</w:t>
      </w:r>
    </w:p>
    <w:p>
      <w:pPr>
        <w:pStyle w:val="ListParagraph"/>
        <w:numPr>
          <w:ilvl w:val="0"/>
          <w:numId w:val="4"/>
        </w:numPr>
        <w:tabs>
          <w:tab w:pos="904" w:val="left" w:leader="none"/>
        </w:tabs>
        <w:spacing w:line="240" w:lineRule="auto" w:before="40" w:after="0"/>
        <w:ind w:left="903" w:right="0" w:hanging="244"/>
        <w:jc w:val="left"/>
        <w:rPr>
          <w:sz w:val="22"/>
        </w:rPr>
      </w:pPr>
      <w:r>
        <w:rPr>
          <w:sz w:val="22"/>
        </w:rPr>
        <w:t>Fitoterapia</w:t>
      </w:r>
    </w:p>
    <w:p>
      <w:pPr>
        <w:pStyle w:val="BodyText"/>
        <w:spacing w:line="276" w:lineRule="auto" w:before="39"/>
        <w:ind w:left="299" w:right="2384"/>
      </w:pPr>
      <w:r>
        <w:rPr/>
        <w:t>Necesitan cirugía si los síntomas son moderados o graves con agrandamiento de la glándula prostática.</w:t>
      </w:r>
    </w:p>
    <w:p>
      <w:pPr>
        <w:pStyle w:val="BodyText"/>
        <w:spacing w:before="3"/>
        <w:rPr>
          <w:sz w:val="25"/>
        </w:rPr>
      </w:pPr>
    </w:p>
    <w:p>
      <w:pPr>
        <w:pStyle w:val="BodyText"/>
        <w:ind w:left="299"/>
      </w:pPr>
      <w:r>
        <w:rPr/>
        <w:t>DESCRIPTORES</w:t>
      </w:r>
    </w:p>
    <w:p>
      <w:pPr>
        <w:pStyle w:val="BodyText"/>
        <w:spacing w:before="38"/>
        <w:ind w:left="299"/>
      </w:pPr>
      <w:r>
        <w:rPr/>
        <w:t>Prostata, cáncer, hiperplasia prostática benigna, poliuria</w:t>
      </w:r>
    </w:p>
    <w:p>
      <w:pPr>
        <w:pStyle w:val="BodyText"/>
        <w:spacing w:before="4"/>
        <w:rPr>
          <w:sz w:val="28"/>
        </w:rPr>
      </w:pPr>
    </w:p>
    <w:p>
      <w:pPr>
        <w:pStyle w:val="BodyText"/>
        <w:ind w:left="299"/>
      </w:pPr>
      <w:r>
        <w:rPr/>
        <w:t>SUMMARY</w:t>
      </w:r>
    </w:p>
    <w:p>
      <w:pPr>
        <w:pStyle w:val="BodyText"/>
        <w:spacing w:line="276" w:lineRule="auto" w:before="38"/>
        <w:ind w:left="299" w:right="1531"/>
      </w:pPr>
      <w:r>
        <w:rPr/>
        <w:t>The risk of BPH increases every year after age 40, we have to be clear that BPH is different Ca. Prostate latter begins in the outer peripheral zone of the prostate and grows out invading surrounding tissue.</w:t>
      </w:r>
    </w:p>
    <w:p>
      <w:pPr>
        <w:pStyle w:val="BodyText"/>
        <w:spacing w:line="276" w:lineRule="auto" w:before="2"/>
        <w:ind w:left="299" w:right="2690"/>
      </w:pPr>
      <w:r>
        <w:rPr/>
        <w:t>It must make a full physical evaluation of clinical history and examination</w:t>
      </w:r>
    </w:p>
    <w:p>
      <w:pPr>
        <w:pStyle w:val="BodyText"/>
        <w:spacing w:before="2"/>
        <w:ind w:left="299"/>
      </w:pPr>
      <w:r>
        <w:rPr/>
        <w:t>In the treatment can be pharmacological or surgical, the top there:</w:t>
      </w:r>
    </w:p>
    <w:p>
      <w:pPr>
        <w:pStyle w:val="ListParagraph"/>
        <w:numPr>
          <w:ilvl w:val="0"/>
          <w:numId w:val="5"/>
        </w:numPr>
        <w:tabs>
          <w:tab w:pos="1020" w:val="left" w:leader="none"/>
          <w:tab w:pos="3388" w:val="left" w:leader="none"/>
        </w:tabs>
        <w:spacing w:line="240" w:lineRule="auto" w:before="34" w:after="0"/>
        <w:ind w:left="1019" w:right="0" w:hanging="360"/>
        <w:jc w:val="left"/>
        <w:rPr>
          <w:sz w:val="22"/>
        </w:rPr>
      </w:pPr>
      <w:r>
        <w:rPr>
          <w:sz w:val="22"/>
        </w:rPr>
        <w:t>Blockers</w:t>
        <w:tab/>
        <w:t>3. 5α-reductase</w:t>
      </w:r>
      <w:r>
        <w:rPr>
          <w:spacing w:val="-3"/>
          <w:sz w:val="22"/>
        </w:rPr>
        <w:t> </w:t>
      </w:r>
      <w:r>
        <w:rPr>
          <w:sz w:val="22"/>
        </w:rPr>
        <w:t>inhibitors</w:t>
      </w:r>
    </w:p>
    <w:p>
      <w:pPr>
        <w:pStyle w:val="ListParagraph"/>
        <w:numPr>
          <w:ilvl w:val="0"/>
          <w:numId w:val="5"/>
        </w:numPr>
        <w:tabs>
          <w:tab w:pos="1020" w:val="left" w:leader="none"/>
        </w:tabs>
        <w:spacing w:line="240" w:lineRule="auto" w:before="38" w:after="0"/>
        <w:ind w:left="1019" w:right="0" w:hanging="360"/>
        <w:jc w:val="left"/>
        <w:rPr>
          <w:sz w:val="22"/>
        </w:rPr>
      </w:pPr>
      <w:r>
        <w:rPr>
          <w:sz w:val="22"/>
        </w:rPr>
        <w:t>Phytotherapy</w:t>
      </w:r>
    </w:p>
    <w:p>
      <w:pPr>
        <w:pStyle w:val="BodyText"/>
        <w:spacing w:before="38"/>
        <w:ind w:left="299"/>
      </w:pPr>
      <w:r>
        <w:rPr/>
        <w:t>If the symptoms are moderate or severe and enlarged prostátic gland</w:t>
      </w:r>
    </w:p>
    <w:p>
      <w:pPr>
        <w:pStyle w:val="BodyText"/>
        <w:spacing w:before="38"/>
        <w:ind w:left="299"/>
      </w:pPr>
      <w:r>
        <w:rPr/>
        <w:t>so they need surgery.</w:t>
      </w:r>
    </w:p>
    <w:p>
      <w:pPr>
        <w:pStyle w:val="BodyText"/>
        <w:spacing w:before="5"/>
        <w:rPr>
          <w:sz w:val="20"/>
        </w:rPr>
      </w:pPr>
    </w:p>
    <w:p>
      <w:pPr>
        <w:pStyle w:val="BodyText"/>
        <w:ind w:left="299"/>
      </w:pPr>
      <w:r>
        <w:rPr/>
        <w:t>KEYWORDS</w:t>
      </w:r>
    </w:p>
    <w:p>
      <w:pPr>
        <w:pStyle w:val="BodyText"/>
        <w:spacing w:before="38"/>
        <w:ind w:left="299"/>
      </w:pPr>
      <w:r>
        <w:rPr/>
        <w:t>Prostate cancer, benign prostatic hyperplasia, polyuria</w:t>
      </w:r>
    </w:p>
    <w:p>
      <w:pPr>
        <w:pStyle w:val="BodyText"/>
        <w:spacing w:line="273" w:lineRule="auto" w:before="194"/>
        <w:ind w:left="3060" w:right="1531"/>
      </w:pPr>
      <w:r>
        <w:rPr/>
        <w:t>después de la edad de 40 años: la HPB estápresente en el 20% de los hombres de</w:t>
      </w:r>
    </w:p>
    <w:p>
      <w:pPr>
        <w:pStyle w:val="BodyText"/>
        <w:spacing w:line="223" w:lineRule="exact" w:before="4"/>
        <w:ind w:left="3060"/>
      </w:pPr>
      <w:r>
        <w:rPr/>
        <w:t>50   a  59   años   de  edad,  el  60%  de</w:t>
      </w:r>
      <w:r>
        <w:rPr>
          <w:spacing w:val="58"/>
        </w:rPr>
        <w:t> </w:t>
      </w:r>
      <w:r>
        <w:rPr/>
        <w:t>los</w:t>
      </w:r>
    </w:p>
    <w:p>
      <w:pPr>
        <w:spacing w:after="0" w:line="223" w:lineRule="exact"/>
        <w:sectPr>
          <w:pgSz w:w="12240" w:h="15840"/>
          <w:pgMar w:header="0" w:footer="882" w:top="1360" w:bottom="1080" w:left="0" w:right="0"/>
          <w:cols w:num="2" w:equalWidth="0">
            <w:col w:w="3382" w:space="40"/>
            <w:col w:w="8818"/>
          </w:cols>
        </w:sectPr>
      </w:pPr>
    </w:p>
    <w:p>
      <w:pPr>
        <w:pStyle w:val="BodyText"/>
        <w:spacing w:line="276" w:lineRule="auto"/>
        <w:ind w:left="1440"/>
        <w:jc w:val="both"/>
      </w:pPr>
      <w:r>
        <w:rPr/>
        <w:t>En la actualidad una enfermedad progresiva con origen hormonal en donde la dihidrotestosterona (DTH), el cual es producto de la acción de la enzima 5-alfa- reductasa tipo 2 sobre la testosterona. El riesgo de HPB aumenta cada año</w:t>
      </w:r>
    </w:p>
    <w:p>
      <w:pPr>
        <w:spacing w:line="276" w:lineRule="auto" w:before="68"/>
        <w:ind w:left="678" w:right="1432" w:firstLine="0"/>
        <w:jc w:val="both"/>
        <w:rPr>
          <w:b/>
          <w:sz w:val="22"/>
        </w:rPr>
      </w:pPr>
      <w:r>
        <w:rPr/>
        <w:br w:type="column"/>
      </w:r>
      <w:r>
        <w:rPr>
          <w:sz w:val="22"/>
        </w:rPr>
        <w:t>hombres de 60 a 69 años de edad y el 70% de los hombres al llegar a los 70 años de edad, 90% a los 85 años. </w:t>
      </w:r>
      <w:r>
        <w:rPr>
          <w:b/>
          <w:sz w:val="22"/>
        </w:rPr>
        <w:t>No significa que un hombre tenga mayores o menores probabilidades de contraer cáncer de</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b/>
          <w:sz w:val="20"/>
        </w:rPr>
      </w:pPr>
    </w:p>
    <w:p>
      <w:pPr>
        <w:spacing w:after="0"/>
        <w:rPr>
          <w:sz w:val="20"/>
        </w:rPr>
        <w:sectPr>
          <w:headerReference w:type="even" r:id="rId38"/>
          <w:headerReference w:type="default" r:id="rId39"/>
          <w:pgSz w:w="12240" w:h="15840"/>
          <w:pgMar w:header="723" w:footer="872" w:top="940" w:bottom="1060" w:left="0" w:right="0"/>
        </w:sectPr>
      </w:pPr>
    </w:p>
    <w:p>
      <w:pPr>
        <w:pStyle w:val="BodyText"/>
        <w:spacing w:before="4"/>
        <w:rPr>
          <w:b/>
        </w:rPr>
      </w:pPr>
    </w:p>
    <w:p>
      <w:pPr>
        <w:pStyle w:val="Heading4"/>
        <w:spacing w:before="1"/>
        <w:ind w:left="1440"/>
      </w:pPr>
      <w:r>
        <w:rPr/>
        <w:t>próstata.</w:t>
      </w:r>
    </w:p>
    <w:p>
      <w:pPr>
        <w:pStyle w:val="BodyText"/>
        <w:rPr>
          <w:b/>
          <w:sz w:val="20"/>
        </w:rPr>
      </w:pPr>
    </w:p>
    <w:p>
      <w:pPr>
        <w:pStyle w:val="BodyText"/>
        <w:spacing w:before="8"/>
        <w:rPr>
          <w:b/>
          <w:sz w:val="10"/>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2437"/>
      </w:tblGrid>
      <w:tr>
        <w:trPr>
          <w:trHeight w:val="893" w:hRule="atLeast"/>
        </w:trPr>
        <w:tc>
          <w:tcPr>
            <w:tcW w:w="4249" w:type="dxa"/>
            <w:gridSpan w:val="2"/>
          </w:tcPr>
          <w:p>
            <w:pPr>
              <w:pStyle w:val="TableParagraph"/>
              <w:spacing w:line="276" w:lineRule="auto" w:before="53"/>
              <w:ind w:left="107"/>
              <w:rPr>
                <w:sz w:val="20"/>
              </w:rPr>
            </w:pPr>
            <w:r>
              <w:rPr>
                <w:b/>
                <w:sz w:val="22"/>
              </w:rPr>
              <w:t>TABLA 1</w:t>
            </w:r>
            <w:r>
              <w:rPr>
                <w:b/>
                <w:sz w:val="24"/>
              </w:rPr>
              <w:t>: </w:t>
            </w:r>
            <w:r>
              <w:rPr>
                <w:sz w:val="20"/>
              </w:rPr>
              <w:t>Características entre síntomas irritativos y síntomas obstructivos</w:t>
            </w:r>
          </w:p>
        </w:tc>
      </w:tr>
      <w:tr>
        <w:trPr>
          <w:trHeight w:val="790" w:hRule="atLeast"/>
        </w:trPr>
        <w:tc>
          <w:tcPr>
            <w:tcW w:w="1812" w:type="dxa"/>
          </w:tcPr>
          <w:p>
            <w:pPr>
              <w:pStyle w:val="TableParagraph"/>
              <w:spacing w:line="273" w:lineRule="auto" w:before="50"/>
              <w:ind w:left="495" w:firstLine="4"/>
              <w:rPr>
                <w:b/>
                <w:sz w:val="18"/>
              </w:rPr>
            </w:pPr>
            <w:r>
              <w:rPr>
                <w:b/>
                <w:sz w:val="18"/>
              </w:rPr>
              <w:t>Síntomas irritativos</w:t>
            </w:r>
          </w:p>
        </w:tc>
        <w:tc>
          <w:tcPr>
            <w:tcW w:w="2437" w:type="dxa"/>
          </w:tcPr>
          <w:p>
            <w:pPr>
              <w:pStyle w:val="TableParagraph"/>
              <w:spacing w:before="50"/>
              <w:ind w:left="231"/>
              <w:rPr>
                <w:b/>
                <w:sz w:val="18"/>
              </w:rPr>
            </w:pPr>
            <w:r>
              <w:rPr>
                <w:b/>
                <w:sz w:val="18"/>
              </w:rPr>
              <w:t>Síntomas Obstructivos</w:t>
            </w:r>
          </w:p>
        </w:tc>
      </w:tr>
      <w:tr>
        <w:trPr>
          <w:trHeight w:val="554" w:hRule="atLeast"/>
        </w:trPr>
        <w:tc>
          <w:tcPr>
            <w:tcW w:w="1812" w:type="dxa"/>
          </w:tcPr>
          <w:p>
            <w:pPr>
              <w:pStyle w:val="TableParagraph"/>
              <w:spacing w:before="54"/>
              <w:ind w:left="107"/>
              <w:rPr>
                <w:sz w:val="18"/>
              </w:rPr>
            </w:pPr>
            <w:r>
              <w:rPr>
                <w:sz w:val="18"/>
              </w:rPr>
              <w:t>Polaquiuria</w:t>
            </w:r>
          </w:p>
        </w:tc>
        <w:tc>
          <w:tcPr>
            <w:tcW w:w="2437" w:type="dxa"/>
          </w:tcPr>
          <w:p>
            <w:pPr>
              <w:pStyle w:val="TableParagraph"/>
              <w:spacing w:before="54"/>
              <w:ind w:left="107"/>
              <w:rPr>
                <w:sz w:val="18"/>
              </w:rPr>
            </w:pPr>
            <w:r>
              <w:rPr>
                <w:sz w:val="18"/>
              </w:rPr>
              <w:t>Chorro miccional débil</w:t>
            </w:r>
          </w:p>
        </w:tc>
      </w:tr>
      <w:tr>
        <w:trPr>
          <w:trHeight w:val="790" w:hRule="atLeast"/>
        </w:trPr>
        <w:tc>
          <w:tcPr>
            <w:tcW w:w="1812" w:type="dxa"/>
          </w:tcPr>
          <w:p>
            <w:pPr>
              <w:pStyle w:val="TableParagraph"/>
              <w:spacing w:before="50"/>
              <w:ind w:left="107"/>
              <w:rPr>
                <w:sz w:val="18"/>
              </w:rPr>
            </w:pPr>
            <w:r>
              <w:rPr>
                <w:sz w:val="18"/>
              </w:rPr>
              <w:t>Nicturia</w:t>
            </w:r>
          </w:p>
        </w:tc>
        <w:tc>
          <w:tcPr>
            <w:tcW w:w="2437" w:type="dxa"/>
          </w:tcPr>
          <w:p>
            <w:pPr>
              <w:pStyle w:val="TableParagraph"/>
              <w:spacing w:line="278" w:lineRule="auto" w:before="50"/>
              <w:ind w:left="107" w:right="439"/>
              <w:rPr>
                <w:sz w:val="18"/>
              </w:rPr>
            </w:pPr>
            <w:r>
              <w:rPr>
                <w:sz w:val="18"/>
              </w:rPr>
              <w:t>Dificultad para iniciar la micción</w:t>
            </w:r>
          </w:p>
        </w:tc>
      </w:tr>
      <w:tr>
        <w:trPr>
          <w:trHeight w:val="550" w:hRule="atLeast"/>
        </w:trPr>
        <w:tc>
          <w:tcPr>
            <w:tcW w:w="1812" w:type="dxa"/>
          </w:tcPr>
          <w:p>
            <w:pPr>
              <w:pStyle w:val="TableParagraph"/>
              <w:spacing w:before="54"/>
              <w:ind w:left="107"/>
              <w:rPr>
                <w:sz w:val="18"/>
              </w:rPr>
            </w:pPr>
            <w:r>
              <w:rPr>
                <w:sz w:val="18"/>
              </w:rPr>
              <w:t>Urgencia miccional</w:t>
            </w:r>
          </w:p>
        </w:tc>
        <w:tc>
          <w:tcPr>
            <w:tcW w:w="2437" w:type="dxa"/>
          </w:tcPr>
          <w:p>
            <w:pPr>
              <w:pStyle w:val="TableParagraph"/>
              <w:spacing w:before="54"/>
              <w:ind w:left="107"/>
              <w:rPr>
                <w:sz w:val="18"/>
              </w:rPr>
            </w:pPr>
            <w:r>
              <w:rPr>
                <w:sz w:val="18"/>
              </w:rPr>
              <w:t>Chorro intermitente</w:t>
            </w:r>
          </w:p>
        </w:tc>
      </w:tr>
      <w:tr>
        <w:trPr>
          <w:trHeight w:val="790" w:hRule="atLeast"/>
        </w:trPr>
        <w:tc>
          <w:tcPr>
            <w:tcW w:w="1812" w:type="dxa"/>
          </w:tcPr>
          <w:p>
            <w:pPr>
              <w:pStyle w:val="TableParagraph"/>
              <w:spacing w:before="54"/>
              <w:ind w:left="107"/>
              <w:rPr>
                <w:sz w:val="18"/>
              </w:rPr>
            </w:pPr>
            <w:r>
              <w:rPr>
                <w:sz w:val="18"/>
              </w:rPr>
              <w:t>Incontinencia</w:t>
            </w:r>
          </w:p>
        </w:tc>
        <w:tc>
          <w:tcPr>
            <w:tcW w:w="2437" w:type="dxa"/>
          </w:tcPr>
          <w:p>
            <w:pPr>
              <w:pStyle w:val="TableParagraph"/>
              <w:spacing w:line="278" w:lineRule="auto" w:before="54"/>
              <w:ind w:left="107" w:right="728"/>
              <w:rPr>
                <w:sz w:val="18"/>
              </w:rPr>
            </w:pPr>
            <w:r>
              <w:rPr>
                <w:sz w:val="18"/>
              </w:rPr>
              <w:t>Sensación de vacío incompleto</w:t>
            </w:r>
          </w:p>
        </w:tc>
      </w:tr>
      <w:tr>
        <w:trPr>
          <w:trHeight w:val="554" w:hRule="atLeast"/>
        </w:trPr>
        <w:tc>
          <w:tcPr>
            <w:tcW w:w="1812" w:type="dxa"/>
          </w:tcPr>
          <w:p>
            <w:pPr>
              <w:pStyle w:val="TableParagraph"/>
              <w:rPr>
                <w:rFonts w:ascii="Times New Roman"/>
                <w:sz w:val="20"/>
              </w:rPr>
            </w:pPr>
          </w:p>
        </w:tc>
        <w:tc>
          <w:tcPr>
            <w:tcW w:w="2437" w:type="dxa"/>
          </w:tcPr>
          <w:p>
            <w:pPr>
              <w:pStyle w:val="TableParagraph"/>
              <w:spacing w:before="54"/>
              <w:ind w:left="107"/>
              <w:rPr>
                <w:sz w:val="18"/>
              </w:rPr>
            </w:pPr>
            <w:r>
              <w:rPr>
                <w:sz w:val="18"/>
              </w:rPr>
              <w:t>Goteo post miccional</w:t>
            </w:r>
          </w:p>
        </w:tc>
      </w:tr>
      <w:tr>
        <w:trPr>
          <w:trHeight w:val="553" w:hRule="atLeast"/>
        </w:trPr>
        <w:tc>
          <w:tcPr>
            <w:tcW w:w="1812" w:type="dxa"/>
          </w:tcPr>
          <w:p>
            <w:pPr>
              <w:pStyle w:val="TableParagraph"/>
              <w:rPr>
                <w:rFonts w:ascii="Times New Roman"/>
                <w:sz w:val="20"/>
              </w:rPr>
            </w:pPr>
          </w:p>
        </w:tc>
        <w:tc>
          <w:tcPr>
            <w:tcW w:w="2437" w:type="dxa"/>
          </w:tcPr>
          <w:p>
            <w:pPr>
              <w:pStyle w:val="TableParagraph"/>
              <w:spacing w:before="54"/>
              <w:ind w:left="107"/>
              <w:rPr>
                <w:sz w:val="18"/>
              </w:rPr>
            </w:pPr>
            <w:r>
              <w:rPr>
                <w:sz w:val="18"/>
              </w:rPr>
              <w:t>Retención de orina</w:t>
            </w:r>
          </w:p>
        </w:tc>
      </w:tr>
    </w:tbl>
    <w:p>
      <w:pPr>
        <w:pStyle w:val="BodyText"/>
        <w:spacing w:line="276" w:lineRule="auto"/>
        <w:ind w:left="1440"/>
        <w:jc w:val="both"/>
      </w:pPr>
      <w:r>
        <w:rPr/>
        <w:t>Si buscamos alguna diferencia entre cáncer de próstata y HPB podemos decir que el cáncer de próstata comienza en </w:t>
      </w:r>
      <w:r>
        <w:rPr>
          <w:spacing w:val="-3"/>
        </w:rPr>
        <w:t>la </w:t>
      </w:r>
      <w:r>
        <w:rPr/>
        <w:t>zona periférica </w:t>
      </w:r>
      <w:r>
        <w:rPr>
          <w:i/>
        </w:rPr>
        <w:t>externa </w:t>
      </w:r>
      <w:r>
        <w:rPr/>
        <w:t>de </w:t>
      </w:r>
      <w:r>
        <w:rPr>
          <w:spacing w:val="-3"/>
        </w:rPr>
        <w:t>la </w:t>
      </w:r>
      <w:r>
        <w:rPr/>
        <w:t>próstata y crece hacia fuera, invadiendo el tejido circundante.</w:t>
      </w:r>
    </w:p>
    <w:p>
      <w:pPr>
        <w:pStyle w:val="BodyText"/>
        <w:spacing w:line="276" w:lineRule="auto" w:before="202"/>
        <w:ind w:left="1440"/>
        <w:jc w:val="both"/>
      </w:pPr>
      <w:r>
        <w:rPr/>
        <w:t>Por otra parte, además de estrechar la luz de la uretra proximal, también existe una alteración del tono muscular del cuello de la vejiga urinaria y del músculo liso de la próstata que puede producir un efecto irritativo</w:t>
      </w:r>
    </w:p>
    <w:p>
      <w:pPr>
        <w:pStyle w:val="Heading3"/>
        <w:spacing w:before="199"/>
        <w:ind w:left="1440"/>
      </w:pPr>
      <w:r>
        <w:rPr/>
        <w:t>CLINICA</w:t>
      </w:r>
    </w:p>
    <w:p>
      <w:pPr>
        <w:pStyle w:val="BodyText"/>
        <w:spacing w:before="2"/>
        <w:rPr>
          <w:b/>
          <w:sz w:val="21"/>
        </w:rPr>
      </w:pPr>
    </w:p>
    <w:p>
      <w:pPr>
        <w:pStyle w:val="ListParagraph"/>
        <w:numPr>
          <w:ilvl w:val="1"/>
          <w:numId w:val="5"/>
        </w:numPr>
        <w:tabs>
          <w:tab w:pos="2161" w:val="left" w:leader="none"/>
        </w:tabs>
        <w:spacing w:line="271" w:lineRule="auto" w:before="0" w:after="0"/>
        <w:ind w:left="2160" w:right="1" w:hanging="360"/>
        <w:jc w:val="both"/>
        <w:rPr>
          <w:rFonts w:ascii="Symbol" w:hAnsi="Symbol"/>
          <w:sz w:val="24"/>
        </w:rPr>
      </w:pPr>
      <w:r>
        <w:rPr>
          <w:sz w:val="22"/>
        </w:rPr>
        <w:t>Síntomas relacionados con </w:t>
      </w:r>
      <w:r>
        <w:rPr>
          <w:spacing w:val="-3"/>
          <w:sz w:val="22"/>
        </w:rPr>
        <w:t>la </w:t>
      </w:r>
      <w:r>
        <w:rPr>
          <w:sz w:val="22"/>
        </w:rPr>
        <w:t>hiperplasia prostática benigna y definidos con el termino de síntomas del tracto urinario inferior</w:t>
      </w:r>
      <w:r>
        <w:rPr>
          <w:spacing w:val="-8"/>
          <w:sz w:val="22"/>
        </w:rPr>
        <w:t> </w:t>
      </w:r>
      <w:r>
        <w:rPr>
          <w:sz w:val="22"/>
        </w:rPr>
        <w:t>(STUI)</w:t>
      </w:r>
    </w:p>
    <w:p>
      <w:pPr>
        <w:pStyle w:val="ListParagraph"/>
        <w:numPr>
          <w:ilvl w:val="1"/>
          <w:numId w:val="5"/>
        </w:numPr>
        <w:tabs>
          <w:tab w:pos="2161" w:val="left" w:leader="none"/>
        </w:tabs>
        <w:spacing w:line="273" w:lineRule="auto" w:before="8" w:after="0"/>
        <w:ind w:left="2160" w:right="1" w:hanging="360"/>
        <w:jc w:val="both"/>
        <w:rPr>
          <w:rFonts w:ascii="Symbol" w:hAnsi="Symbol"/>
          <w:sz w:val="22"/>
        </w:rPr>
      </w:pPr>
      <w:r>
        <w:rPr>
          <w:sz w:val="22"/>
        </w:rPr>
        <w:t>Aumento de volumen de </w:t>
      </w:r>
      <w:r>
        <w:rPr>
          <w:spacing w:val="-3"/>
          <w:sz w:val="22"/>
        </w:rPr>
        <w:t>la </w:t>
      </w:r>
      <w:r>
        <w:rPr>
          <w:sz w:val="22"/>
        </w:rPr>
        <w:t>próstata detectado por el examen rectal digital o por</w:t>
      </w:r>
      <w:r>
        <w:rPr>
          <w:spacing w:val="-9"/>
          <w:sz w:val="22"/>
        </w:rPr>
        <w:t> </w:t>
      </w:r>
      <w:r>
        <w:rPr>
          <w:sz w:val="22"/>
        </w:rPr>
        <w:t>US.</w:t>
      </w:r>
    </w:p>
    <w:p>
      <w:pPr>
        <w:pStyle w:val="BodyText"/>
        <w:spacing w:before="10"/>
      </w:pPr>
      <w:r>
        <w:rPr/>
        <w:br w:type="column"/>
      </w:r>
      <w:r>
        <w:rPr/>
      </w:r>
    </w:p>
    <w:p>
      <w:pPr>
        <w:pStyle w:val="ListParagraph"/>
        <w:numPr>
          <w:ilvl w:val="0"/>
          <w:numId w:val="6"/>
        </w:numPr>
        <w:tabs>
          <w:tab w:pos="1400" w:val="left" w:leader="none"/>
        </w:tabs>
        <w:spacing w:line="273" w:lineRule="auto" w:before="0" w:after="0"/>
        <w:ind w:left="1399" w:right="1429" w:hanging="361"/>
        <w:jc w:val="both"/>
        <w:rPr>
          <w:sz w:val="22"/>
        </w:rPr>
      </w:pPr>
      <w:r>
        <w:rPr>
          <w:sz w:val="22"/>
        </w:rPr>
        <w:t>Detección microscópica de </w:t>
      </w:r>
      <w:r>
        <w:rPr>
          <w:spacing w:val="-3"/>
          <w:sz w:val="22"/>
        </w:rPr>
        <w:t>la </w:t>
      </w:r>
      <w:r>
        <w:rPr>
          <w:sz w:val="22"/>
        </w:rPr>
        <w:t>hiperplasia prostática benigna (proliferación del estroma y el epitelio</w:t>
      </w:r>
    </w:p>
    <w:p>
      <w:pPr>
        <w:pStyle w:val="BodyText"/>
        <w:spacing w:line="276" w:lineRule="auto" w:before="4"/>
        <w:ind w:left="678" w:right="1435"/>
        <w:jc w:val="both"/>
      </w:pPr>
      <w:r>
        <w:rPr/>
        <w:t>Los síntomas pueden ser causados por la hiperactividad de detrusor muscular de la vejiga, los factores de condiciones, medicamentos, o el estilo de vida no urológicas por ello antes de dar el diagnostico debemos descartar otras causas.</w:t>
      </w:r>
    </w:p>
    <w:p>
      <w:pPr>
        <w:pStyle w:val="BodyText"/>
        <w:spacing w:line="276" w:lineRule="auto" w:before="1"/>
        <w:ind w:left="678" w:right="1437"/>
        <w:jc w:val="both"/>
      </w:pPr>
      <w:r>
        <w:rPr/>
        <w:t>Aunque fisiopatológicamente debería estar relacionado el tamaño de la próstata con los STUI, un estudio nos muestra que estos parámetros no tienen que estar necesariamente relacionados y pueden comportarse de forma independiente.</w:t>
      </w:r>
    </w:p>
    <w:p>
      <w:pPr>
        <w:pStyle w:val="BodyText"/>
        <w:spacing w:line="276" w:lineRule="auto" w:before="1"/>
        <w:ind w:left="678" w:right="1435"/>
        <w:jc w:val="both"/>
      </w:pPr>
      <w:r>
        <w:rPr/>
        <w:t>Menos del 50% de los hombres sintomáticos consultan al médico. Los principales motivos por los que no se consulta son: por considerarlos síntomas normales para </w:t>
      </w:r>
      <w:r>
        <w:rPr>
          <w:spacing w:val="-3"/>
        </w:rPr>
        <w:t>la </w:t>
      </w:r>
      <w:r>
        <w:rPr/>
        <w:t>edad (70%), escepticismo sobre </w:t>
      </w:r>
      <w:r>
        <w:rPr>
          <w:spacing w:val="-3"/>
        </w:rPr>
        <w:t>la </w:t>
      </w:r>
      <w:r>
        <w:rPr/>
        <w:t>eficacia del tratamiento (50%) y por miedo a </w:t>
      </w:r>
      <w:r>
        <w:rPr>
          <w:spacing w:val="-3"/>
        </w:rPr>
        <w:t>la </w:t>
      </w:r>
      <w:r>
        <w:rPr/>
        <w:t>cirugía</w:t>
      </w:r>
      <w:r>
        <w:rPr>
          <w:spacing w:val="1"/>
        </w:rPr>
        <w:t> </w:t>
      </w:r>
      <w:r>
        <w:rPr/>
        <w:t>(25%)</w:t>
      </w:r>
    </w:p>
    <w:p>
      <w:pPr>
        <w:pStyle w:val="BodyText"/>
        <w:spacing w:line="278" w:lineRule="auto"/>
        <w:ind w:left="678" w:right="1433"/>
        <w:jc w:val="both"/>
      </w:pPr>
      <w:r>
        <w:rPr/>
        <w:t>Para poder tener una buena valoración tenemos que saber las diferencias de síntomas irritativos y síntomas obstructivos.</w:t>
      </w:r>
    </w:p>
    <w:p>
      <w:pPr>
        <w:pStyle w:val="BodyText"/>
        <w:spacing w:before="11"/>
        <w:rPr>
          <w:sz w:val="24"/>
        </w:rPr>
      </w:pPr>
    </w:p>
    <w:p>
      <w:pPr>
        <w:pStyle w:val="Heading3"/>
        <w:ind w:left="678"/>
        <w:jc w:val="both"/>
      </w:pPr>
      <w:r>
        <w:rPr/>
        <w:t>VALORACION</w:t>
      </w:r>
    </w:p>
    <w:p>
      <w:pPr>
        <w:pStyle w:val="BodyText"/>
        <w:spacing w:before="6"/>
        <w:rPr>
          <w:b/>
          <w:sz w:val="21"/>
        </w:rPr>
      </w:pPr>
    </w:p>
    <w:p>
      <w:pPr>
        <w:pStyle w:val="ListParagraph"/>
        <w:numPr>
          <w:ilvl w:val="0"/>
          <w:numId w:val="6"/>
        </w:numPr>
        <w:tabs>
          <w:tab w:pos="1399" w:val="left" w:leader="none"/>
          <w:tab w:pos="1400" w:val="left" w:leader="none"/>
        </w:tabs>
        <w:spacing w:line="268" w:lineRule="auto" w:before="0" w:after="0"/>
        <w:ind w:left="1399" w:right="1848" w:hanging="361"/>
        <w:jc w:val="left"/>
        <w:rPr>
          <w:sz w:val="22"/>
        </w:rPr>
      </w:pPr>
      <w:r>
        <w:rPr>
          <w:sz w:val="22"/>
        </w:rPr>
        <w:t>Historia clínica completa (IPSS</w:t>
      </w:r>
      <w:r>
        <w:rPr>
          <w:spacing w:val="-18"/>
          <w:sz w:val="22"/>
        </w:rPr>
        <w:t> </w:t>
      </w:r>
      <w:r>
        <w:rPr>
          <w:sz w:val="22"/>
        </w:rPr>
        <w:t>y calidad de</w:t>
      </w:r>
      <w:r>
        <w:rPr>
          <w:spacing w:val="-4"/>
          <w:sz w:val="22"/>
        </w:rPr>
        <w:t> </w:t>
      </w:r>
      <w:r>
        <w:rPr>
          <w:sz w:val="22"/>
        </w:rPr>
        <w:t>vida)</w:t>
      </w:r>
    </w:p>
    <w:p>
      <w:pPr>
        <w:pStyle w:val="ListParagraph"/>
        <w:numPr>
          <w:ilvl w:val="0"/>
          <w:numId w:val="6"/>
        </w:numPr>
        <w:tabs>
          <w:tab w:pos="1399" w:val="left" w:leader="none"/>
          <w:tab w:pos="1400" w:val="left" w:leader="none"/>
        </w:tabs>
        <w:spacing w:line="271" w:lineRule="auto" w:before="10" w:after="0"/>
        <w:ind w:left="1399" w:right="1924" w:hanging="361"/>
        <w:jc w:val="left"/>
        <w:rPr>
          <w:sz w:val="22"/>
        </w:rPr>
      </w:pPr>
      <w:r>
        <w:rPr>
          <w:sz w:val="22"/>
        </w:rPr>
        <w:t>Exploración física: Tacto rectal</w:t>
      </w:r>
      <w:r>
        <w:rPr>
          <w:spacing w:val="-23"/>
          <w:sz w:val="22"/>
        </w:rPr>
        <w:t> </w:t>
      </w:r>
      <w:r>
        <w:rPr>
          <w:sz w:val="22"/>
        </w:rPr>
        <w:t>/ palpación</w:t>
      </w:r>
      <w:r>
        <w:rPr>
          <w:spacing w:val="-1"/>
          <w:sz w:val="22"/>
        </w:rPr>
        <w:t> </w:t>
      </w:r>
      <w:r>
        <w:rPr>
          <w:sz w:val="22"/>
        </w:rPr>
        <w:t>abdominal</w:t>
      </w:r>
    </w:p>
    <w:p>
      <w:pPr>
        <w:pStyle w:val="BodyText"/>
        <w:spacing w:before="11"/>
        <w:rPr>
          <w:sz w:val="25"/>
        </w:rPr>
      </w:pPr>
    </w:p>
    <w:p>
      <w:pPr>
        <w:pStyle w:val="BodyText"/>
        <w:ind w:left="678"/>
        <w:jc w:val="both"/>
      </w:pPr>
      <w:r>
        <w:rPr>
          <w:u w:val="single"/>
        </w:rPr>
        <w:t>Historia clínica completa</w:t>
      </w:r>
      <w:r>
        <w:rPr/>
        <w:t>:</w:t>
      </w:r>
    </w:p>
    <w:p>
      <w:pPr>
        <w:pStyle w:val="BodyText"/>
        <w:spacing w:line="276" w:lineRule="auto" w:before="34"/>
        <w:ind w:left="678" w:right="1434"/>
        <w:jc w:val="both"/>
      </w:pPr>
      <w:r>
        <w:rPr/>
        <w:t>Nos permite identificar los síntomas irritativos y obstructivos los cuales son conocidos como “prostatismo”, y no son específicos de la HBP, a estos síntomas se les llama </w:t>
      </w:r>
      <w:r>
        <w:rPr>
          <w:i/>
        </w:rPr>
        <w:t>síntomas del tracto urinario inferior </w:t>
      </w:r>
      <w:r>
        <w:rPr/>
        <w:t>(STUI</w:t>
      </w:r>
      <w:r>
        <w:rPr>
          <w:i/>
        </w:rPr>
        <w:t>). </w:t>
      </w:r>
      <w:r>
        <w:rPr/>
        <w:t>Estos síntomas también pueden ser secundarios a otras patologías por ello</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8" w:lineRule="auto"/>
        <w:ind w:left="1440" w:right="3"/>
        <w:jc w:val="both"/>
      </w:pPr>
      <w:r>
        <w:rPr/>
        <w:t>debe de tener en cuenta los diagnósticos diferenciales.</w:t>
      </w:r>
    </w:p>
    <w:p>
      <w:pPr>
        <w:pStyle w:val="BodyText"/>
        <w:spacing w:line="276" w:lineRule="auto"/>
        <w:ind w:left="1440" w:right="1"/>
        <w:jc w:val="both"/>
      </w:pPr>
      <w:r>
        <w:rPr/>
        <w:t>En la historia clínica debe de ir registrada la puntuación del IPSS, el cual nos orienta tanto sobre la severidad de los síntomas como sobre la repercusión en la calidad de vida y también nos permite valorar el efecto del tratamiento</w:t>
      </w:r>
    </w:p>
    <w:p>
      <w:pPr>
        <w:pStyle w:val="BodyText"/>
        <w:rPr>
          <w:sz w:val="26"/>
        </w:rPr>
      </w:pPr>
    </w:p>
    <w:p>
      <w:pPr>
        <w:pStyle w:val="BodyText"/>
        <w:ind w:left="1440"/>
        <w:jc w:val="both"/>
      </w:pPr>
      <w:r>
        <w:rPr>
          <w:u w:val="single"/>
        </w:rPr>
        <w:t>Exploración física:</w:t>
      </w:r>
    </w:p>
    <w:p>
      <w:pPr>
        <w:pStyle w:val="BodyText"/>
        <w:spacing w:before="4"/>
        <w:rPr>
          <w:sz w:val="28"/>
        </w:rPr>
      </w:pPr>
    </w:p>
    <w:p>
      <w:pPr>
        <w:pStyle w:val="BodyText"/>
        <w:spacing w:line="276" w:lineRule="auto"/>
        <w:ind w:left="1440" w:right="1"/>
        <w:jc w:val="both"/>
      </w:pPr>
      <w:r>
        <w:rPr/>
        <w:t>Es necesario realizar un tacto rectal (TR) a los hombres que consulten por síndrome prostático, nos brinda información sobre el tamaño, la forma, la existencia de nódulos, la consistencia y la sensibilidad de la próstata.</w:t>
      </w:r>
    </w:p>
    <w:p>
      <w:pPr>
        <w:pStyle w:val="BodyText"/>
        <w:spacing w:line="276" w:lineRule="auto"/>
        <w:ind w:left="1440"/>
        <w:jc w:val="both"/>
      </w:pPr>
      <w:r>
        <w:rPr/>
        <w:t>Aunque el TR es muy útil para diagnosticar un aumento del tamaño de </w:t>
      </w:r>
      <w:r>
        <w:rPr>
          <w:spacing w:val="-3"/>
        </w:rPr>
        <w:t>la </w:t>
      </w:r>
      <w:r>
        <w:rPr/>
        <w:t>próstata, su papel para estimar el volumen es limitado, en un estudio en el cual compraron el tacto rectal con </w:t>
      </w:r>
      <w:r>
        <w:rPr>
          <w:spacing w:val="-3"/>
        </w:rPr>
        <w:t>la </w:t>
      </w:r>
      <w:r>
        <w:rPr/>
        <w:t>ecografía trans rectal se llegó a </w:t>
      </w:r>
      <w:r>
        <w:rPr>
          <w:spacing w:val="-3"/>
        </w:rPr>
        <w:t>la </w:t>
      </w:r>
      <w:r>
        <w:rPr/>
        <w:t>conclusión que esta última proporciona un mejor papel para estimar el volumen de </w:t>
      </w:r>
      <w:r>
        <w:rPr>
          <w:spacing w:val="-3"/>
        </w:rPr>
        <w:t>la </w:t>
      </w:r>
      <w:r>
        <w:rPr/>
        <w:t>próstata. Palpación abdominal nos permite identificar globo</w:t>
      </w:r>
      <w:r>
        <w:rPr>
          <w:spacing w:val="-2"/>
        </w:rPr>
        <w:t> </w:t>
      </w:r>
      <w:r>
        <w:rPr/>
        <w:t>vesical.</w:t>
      </w:r>
    </w:p>
    <w:p>
      <w:pPr>
        <w:pStyle w:val="BodyText"/>
        <w:spacing w:before="2"/>
        <w:rPr>
          <w:sz w:val="24"/>
        </w:rPr>
      </w:pPr>
    </w:p>
    <w:p>
      <w:pPr>
        <w:pStyle w:val="Heading3"/>
        <w:ind w:left="1440"/>
        <w:jc w:val="both"/>
      </w:pPr>
      <w:r>
        <w:rPr/>
        <w:t>LABORATORIO Y GABINETE</w:t>
      </w:r>
    </w:p>
    <w:p>
      <w:pPr>
        <w:pStyle w:val="BodyText"/>
        <w:rPr>
          <w:b/>
          <w:sz w:val="21"/>
        </w:rPr>
      </w:pPr>
    </w:p>
    <w:p>
      <w:pPr>
        <w:pStyle w:val="BodyText"/>
        <w:spacing w:line="276" w:lineRule="auto" w:before="1"/>
        <w:ind w:left="1440"/>
        <w:jc w:val="both"/>
      </w:pPr>
      <w:r>
        <w:rPr/>
        <w:t>PSA: Se debe de realizar, aunque los pacientes con HPB no tengan un mayor riesgo de cáncer de próstata. Pero si durante </w:t>
      </w:r>
      <w:r>
        <w:rPr>
          <w:spacing w:val="-3"/>
        </w:rPr>
        <w:t>la </w:t>
      </w:r>
      <w:r>
        <w:rPr/>
        <w:t>exploración hemos encontrado un tacto rectal sospechoso de neoplasia, en ese caso sí debe solicitarse el PSA para avanzar en </w:t>
      </w:r>
      <w:r>
        <w:rPr>
          <w:spacing w:val="-3"/>
        </w:rPr>
        <w:t>la </w:t>
      </w:r>
      <w:r>
        <w:rPr/>
        <w:t>confirmación</w:t>
      </w:r>
      <w:r>
        <w:rPr>
          <w:spacing w:val="-4"/>
        </w:rPr>
        <w:t> </w:t>
      </w:r>
      <w:r>
        <w:rPr/>
        <w:t>diagnóstica.</w:t>
      </w:r>
    </w:p>
    <w:p>
      <w:pPr>
        <w:pStyle w:val="BodyText"/>
        <w:ind w:left="1440"/>
      </w:pPr>
      <w:r>
        <w:rPr/>
        <w:t>Se puede tener como referencia un cuadro de valores de PSA, desacuerdo a la edad (Tabla 5)</w:t>
      </w:r>
    </w:p>
    <w:p>
      <w:pPr>
        <w:pStyle w:val="BodyText"/>
      </w:pPr>
    </w:p>
    <w:p>
      <w:pPr>
        <w:pStyle w:val="BodyText"/>
        <w:spacing w:line="276" w:lineRule="auto"/>
        <w:ind w:left="1440" w:right="1" w:firstLine="60"/>
        <w:jc w:val="both"/>
      </w:pPr>
      <w:r>
        <w:rPr/>
        <w:t>El US Vesico-prostático y medición de orina residual nos ayuda a determinar el tamaño prostático y el volumen urinario residual, </w:t>
      </w:r>
      <w:r>
        <w:rPr>
          <w:spacing w:val="-3"/>
        </w:rPr>
        <w:t>lo </w:t>
      </w:r>
      <w:r>
        <w:rPr/>
        <w:t>cual nos ayudaría a pensar en</w:t>
      </w:r>
      <w:r>
        <w:rPr>
          <w:spacing w:val="-10"/>
        </w:rPr>
        <w:t> </w:t>
      </w:r>
      <w:r>
        <w:rPr/>
        <w:t>el</w:t>
      </w:r>
    </w:p>
    <w:p>
      <w:pPr>
        <w:pStyle w:val="BodyText"/>
        <w:spacing w:before="8"/>
      </w:pPr>
      <w:r>
        <w:rPr/>
        <w:br w:type="column"/>
      </w:r>
      <w:r>
        <w:rPr/>
      </w:r>
    </w:p>
    <w:p>
      <w:pPr>
        <w:pStyle w:val="BodyText"/>
        <w:spacing w:line="278" w:lineRule="auto"/>
        <w:ind w:left="679" w:right="1437"/>
        <w:jc w:val="both"/>
      </w:pPr>
      <w:r>
        <w:rPr/>
        <w:t>beneficio de un tratamiento médico o quirúrgico.</w:t>
      </w:r>
    </w:p>
    <w:p>
      <w:pPr>
        <w:pStyle w:val="BodyText"/>
        <w:spacing w:line="278" w:lineRule="auto"/>
        <w:ind w:left="679" w:right="1433" w:firstLine="60"/>
        <w:jc w:val="both"/>
      </w:pPr>
      <w:r>
        <w:rPr/>
        <w:t>Por otro lado, nos puede ayudar a descartar litiasis en caso de infecciones urinarias a repetición o tumores en caso de hematurias</w:t>
      </w:r>
      <w:r>
        <w:rPr>
          <w:spacing w:val="-1"/>
        </w:rPr>
        <w:t> </w:t>
      </w:r>
      <w:r>
        <w:rPr/>
        <w:t>persistentes</w:t>
      </w:r>
    </w:p>
    <w:p>
      <w:pPr>
        <w:pStyle w:val="BodyText"/>
        <w:spacing w:line="276" w:lineRule="auto" w:before="1"/>
        <w:ind w:left="679" w:right="1434"/>
        <w:jc w:val="both"/>
      </w:pPr>
      <w:r>
        <w:rPr/>
        <w:t>Es necesario que toda persona que ingresa para estudio de HPB debe de tener un US vesical – prostático con medición de orina residual basal .La creatinina y glucemia nos puede ayudar a excluir condiciones asociadas que aumentan el riesgo de </w:t>
      </w:r>
      <w:r>
        <w:rPr>
          <w:spacing w:val="-3"/>
        </w:rPr>
        <w:t>falla </w:t>
      </w:r>
      <w:r>
        <w:rPr/>
        <w:t>al</w:t>
      </w:r>
      <w:r>
        <w:rPr>
          <w:spacing w:val="-6"/>
        </w:rPr>
        <w:t> </w:t>
      </w:r>
      <w:r>
        <w:rPr/>
        <w:t>tratamiento:</w:t>
      </w:r>
    </w:p>
    <w:p>
      <w:pPr>
        <w:pStyle w:val="BodyText"/>
        <w:spacing w:line="273" w:lineRule="auto" w:before="2"/>
        <w:ind w:left="679" w:right="1438"/>
        <w:jc w:val="both"/>
      </w:pPr>
      <w:r>
        <w:rPr/>
        <w:t>Creatinina: Para evaluación de función renal</w:t>
      </w:r>
    </w:p>
    <w:p>
      <w:pPr>
        <w:pStyle w:val="BodyText"/>
        <w:spacing w:before="4"/>
        <w:ind w:left="679"/>
        <w:jc w:val="both"/>
      </w:pPr>
      <w:r>
        <w:rPr/>
        <w:t>Glucemia: Para descartar Diabetes</w:t>
      </w:r>
    </w:p>
    <w:p>
      <w:pPr>
        <w:pStyle w:val="BodyText"/>
        <w:spacing w:line="276" w:lineRule="auto" w:before="38"/>
        <w:ind w:left="679" w:right="1438"/>
        <w:jc w:val="both"/>
      </w:pPr>
      <w:r>
        <w:rPr/>
        <w:t>Estas 2 pruebas se consideran necesario de acuerdo al criterio medico en casos seleccionados.</w:t>
      </w:r>
    </w:p>
    <w:p>
      <w:pPr>
        <w:pStyle w:val="BodyText"/>
        <w:spacing w:before="3"/>
        <w:rPr>
          <w:sz w:val="25"/>
        </w:rPr>
      </w:pPr>
    </w:p>
    <w:p>
      <w:pPr>
        <w:pStyle w:val="Heading3"/>
        <w:spacing w:before="1"/>
        <w:ind w:left="679"/>
        <w:jc w:val="both"/>
      </w:pPr>
      <w:r>
        <w:rPr/>
        <w:t>TRATAMIENTO</w:t>
      </w:r>
    </w:p>
    <w:p>
      <w:pPr>
        <w:pStyle w:val="BodyText"/>
        <w:spacing w:before="1"/>
        <w:rPr>
          <w:b/>
          <w:sz w:val="21"/>
        </w:rPr>
      </w:pPr>
    </w:p>
    <w:p>
      <w:pPr>
        <w:pStyle w:val="BodyText"/>
        <w:spacing w:line="276" w:lineRule="auto"/>
        <w:ind w:left="679" w:right="1441"/>
        <w:jc w:val="both"/>
      </w:pPr>
      <w:r>
        <w:rPr/>
        <w:t>Disponemos de 3 tipos de fármacos para el manejo de la HBP:</w:t>
      </w:r>
    </w:p>
    <w:p>
      <w:pPr>
        <w:pStyle w:val="BodyText"/>
        <w:spacing w:before="2"/>
        <w:rPr>
          <w:sz w:val="25"/>
        </w:rPr>
      </w:pPr>
    </w:p>
    <w:p>
      <w:pPr>
        <w:pStyle w:val="ListParagraph"/>
        <w:numPr>
          <w:ilvl w:val="0"/>
          <w:numId w:val="7"/>
        </w:numPr>
        <w:tabs>
          <w:tab w:pos="1401" w:val="left" w:leader="none"/>
        </w:tabs>
        <w:spacing w:line="240" w:lineRule="auto" w:before="0" w:after="0"/>
        <w:ind w:left="1400" w:right="0" w:hanging="361"/>
        <w:jc w:val="left"/>
        <w:rPr>
          <w:sz w:val="22"/>
        </w:rPr>
      </w:pPr>
      <w:r>
        <w:rPr>
          <w:sz w:val="22"/>
        </w:rPr>
        <w:t>α</w:t>
      </w:r>
      <w:r>
        <w:rPr>
          <w:spacing w:val="-2"/>
          <w:sz w:val="22"/>
        </w:rPr>
        <w:t> </w:t>
      </w:r>
      <w:r>
        <w:rPr>
          <w:sz w:val="22"/>
        </w:rPr>
        <w:t>bloqueantes</w:t>
      </w:r>
    </w:p>
    <w:p>
      <w:pPr>
        <w:pStyle w:val="ListParagraph"/>
        <w:numPr>
          <w:ilvl w:val="0"/>
          <w:numId w:val="7"/>
        </w:numPr>
        <w:tabs>
          <w:tab w:pos="1401" w:val="left" w:leader="none"/>
        </w:tabs>
        <w:spacing w:line="240" w:lineRule="auto" w:before="39" w:after="0"/>
        <w:ind w:left="1400" w:right="0" w:hanging="361"/>
        <w:jc w:val="left"/>
        <w:rPr>
          <w:sz w:val="22"/>
        </w:rPr>
      </w:pPr>
      <w:r>
        <w:rPr>
          <w:sz w:val="22"/>
        </w:rPr>
        <w:t>inhibidores de</w:t>
      </w:r>
      <w:r>
        <w:rPr>
          <w:spacing w:val="-1"/>
          <w:sz w:val="22"/>
        </w:rPr>
        <w:t> </w:t>
      </w:r>
      <w:r>
        <w:rPr>
          <w:sz w:val="22"/>
        </w:rPr>
        <w:t>5α-reductasa</w:t>
      </w:r>
    </w:p>
    <w:p>
      <w:pPr>
        <w:pStyle w:val="ListParagraph"/>
        <w:numPr>
          <w:ilvl w:val="0"/>
          <w:numId w:val="7"/>
        </w:numPr>
        <w:tabs>
          <w:tab w:pos="1401" w:val="left" w:leader="none"/>
        </w:tabs>
        <w:spacing w:line="240" w:lineRule="auto" w:before="38" w:after="0"/>
        <w:ind w:left="1400" w:right="0" w:hanging="361"/>
        <w:jc w:val="left"/>
        <w:rPr>
          <w:sz w:val="22"/>
        </w:rPr>
      </w:pPr>
      <w:r>
        <w:rPr>
          <w:sz w:val="22"/>
        </w:rPr>
        <w:t>fitoterapia.</w:t>
      </w:r>
    </w:p>
    <w:p>
      <w:pPr>
        <w:pStyle w:val="BodyText"/>
        <w:spacing w:line="276" w:lineRule="auto" w:before="34"/>
        <w:ind w:left="679" w:right="1438"/>
        <w:jc w:val="both"/>
      </w:pPr>
      <w:r>
        <w:rPr/>
        <w:t>El tratamiento combinado (α bloqueantes e inhibidores de 5α-reductasa) reduce la progresión de la hiperplasia benigna de próstata.</w:t>
      </w:r>
    </w:p>
    <w:p>
      <w:pPr>
        <w:pStyle w:val="BodyText"/>
        <w:spacing w:line="278" w:lineRule="auto"/>
        <w:ind w:left="679" w:right="1438"/>
        <w:jc w:val="both"/>
      </w:pPr>
      <w:r>
        <w:rPr/>
        <w:t>Necesitan cirugía si los síntomas son moderados o graves con agrandamiento de la glándula prostática.</w:t>
      </w:r>
    </w:p>
    <w:p>
      <w:pPr>
        <w:pStyle w:val="BodyText"/>
        <w:spacing w:line="276" w:lineRule="auto"/>
        <w:ind w:left="679" w:right="1437"/>
        <w:jc w:val="both"/>
      </w:pPr>
      <w:r>
        <w:rPr/>
        <w:t>La cirugía mínimamente invasiva puede proporcionar beneficios comparables a la resección trans uretral de la próstata, con menos efectos adversos.</w:t>
      </w:r>
    </w:p>
    <w:p>
      <w:pPr>
        <w:pStyle w:val="BodyText"/>
        <w:spacing w:before="2"/>
        <w:rPr>
          <w:sz w:val="25"/>
        </w:rPr>
      </w:pPr>
    </w:p>
    <w:p>
      <w:pPr>
        <w:pStyle w:val="Heading3"/>
        <w:ind w:left="679"/>
        <w:jc w:val="both"/>
      </w:pPr>
      <w:r>
        <w:rPr/>
        <w:t>MORTALIDAD</w:t>
      </w:r>
    </w:p>
    <w:p>
      <w:pPr>
        <w:pStyle w:val="BodyText"/>
        <w:spacing w:before="4"/>
        <w:rPr>
          <w:b/>
          <w:sz w:val="21"/>
        </w:rPr>
      </w:pPr>
    </w:p>
    <w:p>
      <w:pPr>
        <w:pStyle w:val="BodyText"/>
        <w:spacing w:line="276" w:lineRule="auto"/>
        <w:ind w:left="679" w:right="1437"/>
        <w:jc w:val="both"/>
      </w:pPr>
      <w:r>
        <w:rPr/>
        <w:t>La mortalidad y frecuencia de complicaciones serias asociadas con </w:t>
      </w:r>
      <w:r>
        <w:rPr>
          <w:spacing w:val="-3"/>
        </w:rPr>
        <w:t>la </w:t>
      </w:r>
      <w:r>
        <w:rPr/>
        <w:t>HPB son bajas, se reporta en un estudio</w:t>
      </w:r>
      <w:r>
        <w:rPr>
          <w:spacing w:val="-16"/>
        </w:rPr>
        <w:t> </w:t>
      </w:r>
      <w:r>
        <w:rPr/>
        <w:t>de</w:t>
      </w:r>
    </w:p>
    <w:p>
      <w:pPr>
        <w:spacing w:after="0" w:line="276" w:lineRule="auto"/>
        <w:jc w:val="both"/>
        <w:sectPr>
          <w:type w:val="continuous"/>
          <w:pgSz w:w="12240" w:h="15840"/>
          <w:pgMar w:top="1500" w:bottom="0" w:left="0" w:right="0"/>
          <w:cols w:num="2" w:equalWidth="0">
            <w:col w:w="5763" w:space="40"/>
            <w:col w:w="6437"/>
          </w:cols>
        </w:sect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tbl>
      <w:tblPr>
        <w:tblW w:w="0" w:type="auto"/>
        <w:jc w:val="left"/>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992"/>
        <w:gridCol w:w="1168"/>
        <w:gridCol w:w="1137"/>
        <w:gridCol w:w="1133"/>
        <w:gridCol w:w="993"/>
        <w:gridCol w:w="994"/>
      </w:tblGrid>
      <w:tr>
        <w:trPr>
          <w:trHeight w:val="601" w:hRule="atLeast"/>
        </w:trPr>
        <w:tc>
          <w:tcPr>
            <w:tcW w:w="9422" w:type="dxa"/>
            <w:gridSpan w:val="7"/>
          </w:tcPr>
          <w:p>
            <w:pPr>
              <w:pStyle w:val="TableParagraph"/>
              <w:spacing w:before="48"/>
              <w:ind w:left="83"/>
              <w:rPr>
                <w:sz w:val="22"/>
              </w:rPr>
            </w:pPr>
            <w:r>
              <w:rPr>
                <w:b/>
                <w:sz w:val="22"/>
              </w:rPr>
              <w:t>TABLA 2: </w:t>
            </w:r>
            <w:r>
              <w:rPr>
                <w:sz w:val="22"/>
              </w:rPr>
              <w:t>Puntuación internacional de los síntomas prostáticos (IPSS)</w:t>
            </w:r>
          </w:p>
        </w:tc>
      </w:tr>
      <w:tr>
        <w:trPr>
          <w:trHeight w:val="1574" w:hRule="atLeast"/>
        </w:trPr>
        <w:tc>
          <w:tcPr>
            <w:tcW w:w="3005" w:type="dxa"/>
          </w:tcPr>
          <w:p>
            <w:pPr>
              <w:pStyle w:val="TableParagraph"/>
              <w:rPr>
                <w:rFonts w:ascii="Times New Roman"/>
                <w:sz w:val="20"/>
              </w:rPr>
            </w:pPr>
          </w:p>
        </w:tc>
        <w:tc>
          <w:tcPr>
            <w:tcW w:w="992" w:type="dxa"/>
          </w:tcPr>
          <w:p>
            <w:pPr>
              <w:pStyle w:val="TableParagraph"/>
              <w:spacing w:before="55"/>
              <w:ind w:left="68" w:right="127"/>
              <w:jc w:val="center"/>
              <w:rPr>
                <w:sz w:val="20"/>
              </w:rPr>
            </w:pPr>
            <w:r>
              <w:rPr>
                <w:sz w:val="20"/>
              </w:rPr>
              <w:t>Ninguna</w:t>
            </w:r>
          </w:p>
        </w:tc>
        <w:tc>
          <w:tcPr>
            <w:tcW w:w="1168" w:type="dxa"/>
          </w:tcPr>
          <w:p>
            <w:pPr>
              <w:pStyle w:val="TableParagraph"/>
              <w:spacing w:line="276" w:lineRule="auto" w:before="55"/>
              <w:ind w:left="83" w:right="176"/>
              <w:rPr>
                <w:sz w:val="20"/>
              </w:rPr>
            </w:pPr>
            <w:r>
              <w:rPr>
                <w:sz w:val="20"/>
              </w:rPr>
              <w:t>Menos de 1</w:t>
            </w:r>
          </w:p>
          <w:p>
            <w:pPr>
              <w:pStyle w:val="TableParagraph"/>
              <w:spacing w:before="5"/>
              <w:rPr>
                <w:rFonts w:ascii="Times New Roman"/>
                <w:sz w:val="17"/>
              </w:rPr>
            </w:pPr>
          </w:p>
          <w:p>
            <w:pPr>
              <w:pStyle w:val="TableParagraph"/>
              <w:spacing w:line="276" w:lineRule="auto"/>
              <w:ind w:left="83" w:right="454"/>
              <w:rPr>
                <w:sz w:val="20"/>
              </w:rPr>
            </w:pPr>
            <w:r>
              <w:rPr>
                <w:sz w:val="20"/>
              </w:rPr>
              <w:t>vez de cada 5</w:t>
            </w:r>
          </w:p>
        </w:tc>
        <w:tc>
          <w:tcPr>
            <w:tcW w:w="1137" w:type="dxa"/>
          </w:tcPr>
          <w:p>
            <w:pPr>
              <w:pStyle w:val="TableParagraph"/>
              <w:spacing w:line="276" w:lineRule="auto" w:before="55"/>
              <w:ind w:left="83" w:right="145"/>
              <w:rPr>
                <w:sz w:val="20"/>
              </w:rPr>
            </w:pPr>
            <w:r>
              <w:rPr>
                <w:sz w:val="20"/>
              </w:rPr>
              <w:t>Menos de la mitad de las veces</w:t>
            </w:r>
          </w:p>
        </w:tc>
        <w:tc>
          <w:tcPr>
            <w:tcW w:w="1133" w:type="dxa"/>
          </w:tcPr>
          <w:p>
            <w:pPr>
              <w:pStyle w:val="TableParagraph"/>
              <w:spacing w:line="276" w:lineRule="auto" w:before="55"/>
              <w:ind w:left="83"/>
              <w:rPr>
                <w:sz w:val="20"/>
              </w:rPr>
            </w:pPr>
            <w:r>
              <w:rPr>
                <w:sz w:val="20"/>
              </w:rPr>
              <w:t>Aproximad amente</w:t>
            </w:r>
          </w:p>
          <w:p>
            <w:pPr>
              <w:pStyle w:val="TableParagraph"/>
              <w:spacing w:before="5"/>
              <w:rPr>
                <w:rFonts w:ascii="Times New Roman"/>
                <w:sz w:val="17"/>
              </w:rPr>
            </w:pPr>
          </w:p>
          <w:p>
            <w:pPr>
              <w:pStyle w:val="TableParagraph"/>
              <w:spacing w:line="276" w:lineRule="auto"/>
              <w:ind w:left="83" w:right="219"/>
              <w:rPr>
                <w:sz w:val="20"/>
              </w:rPr>
            </w:pPr>
            <w:r>
              <w:rPr>
                <w:sz w:val="20"/>
              </w:rPr>
              <w:t>la mitad de veces</w:t>
            </w:r>
          </w:p>
        </w:tc>
        <w:tc>
          <w:tcPr>
            <w:tcW w:w="993" w:type="dxa"/>
          </w:tcPr>
          <w:p>
            <w:pPr>
              <w:pStyle w:val="TableParagraph"/>
              <w:spacing w:line="276" w:lineRule="auto" w:before="55"/>
              <w:ind w:left="82" w:right="180"/>
              <w:rPr>
                <w:sz w:val="20"/>
              </w:rPr>
            </w:pPr>
            <w:r>
              <w:rPr>
                <w:sz w:val="20"/>
              </w:rPr>
              <w:t>Más de la mitad</w:t>
            </w:r>
          </w:p>
          <w:p>
            <w:pPr>
              <w:pStyle w:val="TableParagraph"/>
              <w:spacing w:before="5"/>
              <w:rPr>
                <w:rFonts w:ascii="Times New Roman"/>
                <w:sz w:val="17"/>
              </w:rPr>
            </w:pPr>
          </w:p>
          <w:p>
            <w:pPr>
              <w:pStyle w:val="TableParagraph"/>
              <w:ind w:left="82"/>
              <w:rPr>
                <w:sz w:val="20"/>
              </w:rPr>
            </w:pPr>
            <w:r>
              <w:rPr>
                <w:sz w:val="20"/>
              </w:rPr>
              <w:t>de veces</w:t>
            </w:r>
          </w:p>
        </w:tc>
        <w:tc>
          <w:tcPr>
            <w:tcW w:w="994" w:type="dxa"/>
          </w:tcPr>
          <w:p>
            <w:pPr>
              <w:pStyle w:val="TableParagraph"/>
              <w:spacing w:line="276" w:lineRule="auto" w:before="55"/>
              <w:ind w:left="81" w:right="171"/>
              <w:rPr>
                <w:sz w:val="20"/>
              </w:rPr>
            </w:pPr>
            <w:r>
              <w:rPr>
                <w:sz w:val="20"/>
              </w:rPr>
              <w:t>Casi siempre</w:t>
            </w:r>
          </w:p>
        </w:tc>
      </w:tr>
      <w:tr>
        <w:trPr>
          <w:trHeight w:val="1494" w:hRule="atLeast"/>
        </w:trPr>
        <w:tc>
          <w:tcPr>
            <w:tcW w:w="3005" w:type="dxa"/>
          </w:tcPr>
          <w:p>
            <w:pPr>
              <w:pStyle w:val="TableParagraph"/>
              <w:spacing w:line="242" w:lineRule="auto" w:before="51"/>
              <w:ind w:left="83" w:right="324"/>
              <w:rPr>
                <w:sz w:val="20"/>
              </w:rPr>
            </w:pPr>
            <w:r>
              <w:rPr>
                <w:sz w:val="20"/>
              </w:rPr>
              <w:t>1.- Durante más o menos los últimos 30 días,</w:t>
            </w:r>
          </w:p>
          <w:p>
            <w:pPr>
              <w:pStyle w:val="TableParagraph"/>
              <w:ind w:left="83" w:right="357"/>
              <w:rPr>
                <w:sz w:val="20"/>
              </w:rPr>
            </w:pPr>
            <w:r>
              <w:rPr>
                <w:sz w:val="20"/>
              </w:rPr>
              <w:t>¿Cuántas veces ha tenido la sensación de no vaciar completamente la vejiga al terminar de orinar?</w:t>
            </w:r>
          </w:p>
        </w:tc>
        <w:tc>
          <w:tcPr>
            <w:tcW w:w="992" w:type="dxa"/>
          </w:tcPr>
          <w:p>
            <w:pPr>
              <w:pStyle w:val="TableParagraph"/>
              <w:spacing w:before="51"/>
              <w:ind w:left="15"/>
              <w:jc w:val="center"/>
              <w:rPr>
                <w:sz w:val="20"/>
              </w:rPr>
            </w:pPr>
            <w:r>
              <w:rPr>
                <w:w w:val="99"/>
                <w:sz w:val="20"/>
              </w:rPr>
              <w:t>0</w:t>
            </w:r>
          </w:p>
        </w:tc>
        <w:tc>
          <w:tcPr>
            <w:tcW w:w="1168" w:type="dxa"/>
          </w:tcPr>
          <w:p>
            <w:pPr>
              <w:pStyle w:val="TableParagraph"/>
              <w:spacing w:before="51"/>
              <w:ind w:left="523"/>
              <w:rPr>
                <w:sz w:val="20"/>
              </w:rPr>
            </w:pPr>
            <w:r>
              <w:rPr>
                <w:w w:val="99"/>
                <w:sz w:val="20"/>
              </w:rPr>
              <w:t>1</w:t>
            </w:r>
          </w:p>
        </w:tc>
        <w:tc>
          <w:tcPr>
            <w:tcW w:w="1137" w:type="dxa"/>
          </w:tcPr>
          <w:p>
            <w:pPr>
              <w:pStyle w:val="TableParagraph"/>
              <w:spacing w:before="51"/>
              <w:ind w:left="507"/>
              <w:rPr>
                <w:sz w:val="20"/>
              </w:rPr>
            </w:pPr>
            <w:r>
              <w:rPr>
                <w:w w:val="99"/>
                <w:sz w:val="20"/>
              </w:rPr>
              <w:t>2</w:t>
            </w:r>
          </w:p>
        </w:tc>
        <w:tc>
          <w:tcPr>
            <w:tcW w:w="1133" w:type="dxa"/>
          </w:tcPr>
          <w:p>
            <w:pPr>
              <w:pStyle w:val="TableParagraph"/>
              <w:spacing w:before="51"/>
              <w:ind w:left="507"/>
              <w:rPr>
                <w:sz w:val="20"/>
              </w:rPr>
            </w:pPr>
            <w:r>
              <w:rPr>
                <w:w w:val="99"/>
                <w:sz w:val="20"/>
              </w:rPr>
              <w:t>3</w:t>
            </w:r>
          </w:p>
        </w:tc>
        <w:tc>
          <w:tcPr>
            <w:tcW w:w="993" w:type="dxa"/>
          </w:tcPr>
          <w:p>
            <w:pPr>
              <w:pStyle w:val="TableParagraph"/>
              <w:spacing w:before="51"/>
              <w:ind w:left="5"/>
              <w:jc w:val="center"/>
              <w:rPr>
                <w:sz w:val="20"/>
              </w:rPr>
            </w:pPr>
            <w:r>
              <w:rPr>
                <w:w w:val="99"/>
                <w:sz w:val="20"/>
              </w:rPr>
              <w:t>4</w:t>
            </w:r>
          </w:p>
        </w:tc>
        <w:tc>
          <w:tcPr>
            <w:tcW w:w="994" w:type="dxa"/>
          </w:tcPr>
          <w:p>
            <w:pPr>
              <w:pStyle w:val="TableParagraph"/>
              <w:spacing w:before="51"/>
              <w:ind w:left="3"/>
              <w:jc w:val="center"/>
              <w:rPr>
                <w:sz w:val="20"/>
              </w:rPr>
            </w:pPr>
            <w:r>
              <w:rPr>
                <w:w w:val="99"/>
                <w:sz w:val="20"/>
              </w:rPr>
              <w:t>5</w:t>
            </w:r>
          </w:p>
        </w:tc>
      </w:tr>
      <w:tr>
        <w:trPr>
          <w:trHeight w:val="1494" w:hRule="atLeast"/>
        </w:trPr>
        <w:tc>
          <w:tcPr>
            <w:tcW w:w="3005" w:type="dxa"/>
          </w:tcPr>
          <w:p>
            <w:pPr>
              <w:pStyle w:val="TableParagraph"/>
              <w:spacing w:line="242" w:lineRule="auto" w:before="51"/>
              <w:ind w:left="83" w:right="324"/>
              <w:rPr>
                <w:sz w:val="20"/>
              </w:rPr>
            </w:pPr>
            <w:r>
              <w:rPr>
                <w:sz w:val="20"/>
              </w:rPr>
              <w:t>2.- Durante más o menos los últimos 30 días,</w:t>
            </w:r>
          </w:p>
          <w:p>
            <w:pPr>
              <w:pStyle w:val="TableParagraph"/>
              <w:ind w:left="83" w:right="101"/>
              <w:rPr>
                <w:sz w:val="20"/>
              </w:rPr>
            </w:pPr>
            <w:r>
              <w:rPr>
                <w:sz w:val="20"/>
              </w:rPr>
              <w:t>¿Cuántas veces ha tenido que volver a orinar en las dos horas siguientes después de haber orinado?</w:t>
            </w:r>
          </w:p>
        </w:tc>
        <w:tc>
          <w:tcPr>
            <w:tcW w:w="992" w:type="dxa"/>
          </w:tcPr>
          <w:p>
            <w:pPr>
              <w:pStyle w:val="TableParagraph"/>
              <w:spacing w:before="51"/>
              <w:ind w:left="15"/>
              <w:jc w:val="center"/>
              <w:rPr>
                <w:sz w:val="20"/>
              </w:rPr>
            </w:pPr>
            <w:r>
              <w:rPr>
                <w:w w:val="99"/>
                <w:sz w:val="20"/>
              </w:rPr>
              <w:t>0</w:t>
            </w:r>
          </w:p>
        </w:tc>
        <w:tc>
          <w:tcPr>
            <w:tcW w:w="1168" w:type="dxa"/>
          </w:tcPr>
          <w:p>
            <w:pPr>
              <w:pStyle w:val="TableParagraph"/>
              <w:spacing w:before="51"/>
              <w:ind w:left="523"/>
              <w:rPr>
                <w:sz w:val="20"/>
              </w:rPr>
            </w:pPr>
            <w:r>
              <w:rPr>
                <w:w w:val="99"/>
                <w:sz w:val="20"/>
              </w:rPr>
              <w:t>1</w:t>
            </w:r>
          </w:p>
        </w:tc>
        <w:tc>
          <w:tcPr>
            <w:tcW w:w="1137" w:type="dxa"/>
          </w:tcPr>
          <w:p>
            <w:pPr>
              <w:pStyle w:val="TableParagraph"/>
              <w:spacing w:before="51"/>
              <w:ind w:left="507"/>
              <w:rPr>
                <w:sz w:val="20"/>
              </w:rPr>
            </w:pPr>
            <w:r>
              <w:rPr>
                <w:w w:val="99"/>
                <w:sz w:val="20"/>
              </w:rPr>
              <w:t>2</w:t>
            </w:r>
          </w:p>
        </w:tc>
        <w:tc>
          <w:tcPr>
            <w:tcW w:w="1133" w:type="dxa"/>
          </w:tcPr>
          <w:p>
            <w:pPr>
              <w:pStyle w:val="TableParagraph"/>
              <w:spacing w:before="51"/>
              <w:ind w:left="507"/>
              <w:rPr>
                <w:sz w:val="20"/>
              </w:rPr>
            </w:pPr>
            <w:r>
              <w:rPr>
                <w:w w:val="99"/>
                <w:sz w:val="20"/>
              </w:rPr>
              <w:t>3</w:t>
            </w:r>
          </w:p>
        </w:tc>
        <w:tc>
          <w:tcPr>
            <w:tcW w:w="993" w:type="dxa"/>
          </w:tcPr>
          <w:p>
            <w:pPr>
              <w:pStyle w:val="TableParagraph"/>
              <w:spacing w:before="51"/>
              <w:ind w:left="5"/>
              <w:jc w:val="center"/>
              <w:rPr>
                <w:sz w:val="20"/>
              </w:rPr>
            </w:pPr>
            <w:r>
              <w:rPr>
                <w:w w:val="99"/>
                <w:sz w:val="20"/>
              </w:rPr>
              <w:t>4</w:t>
            </w:r>
          </w:p>
        </w:tc>
        <w:tc>
          <w:tcPr>
            <w:tcW w:w="994" w:type="dxa"/>
          </w:tcPr>
          <w:p>
            <w:pPr>
              <w:pStyle w:val="TableParagraph"/>
              <w:spacing w:before="51"/>
              <w:ind w:left="3"/>
              <w:jc w:val="center"/>
              <w:rPr>
                <w:sz w:val="20"/>
              </w:rPr>
            </w:pPr>
            <w:r>
              <w:rPr>
                <w:w w:val="99"/>
                <w:sz w:val="20"/>
              </w:rPr>
              <w:t>5</w:t>
            </w:r>
          </w:p>
        </w:tc>
      </w:tr>
      <w:tr>
        <w:trPr>
          <w:trHeight w:val="1262" w:hRule="atLeast"/>
        </w:trPr>
        <w:tc>
          <w:tcPr>
            <w:tcW w:w="3005" w:type="dxa"/>
          </w:tcPr>
          <w:p>
            <w:pPr>
              <w:pStyle w:val="TableParagraph"/>
              <w:spacing w:line="242" w:lineRule="auto" w:before="52"/>
              <w:ind w:left="83" w:right="324"/>
              <w:rPr>
                <w:sz w:val="20"/>
              </w:rPr>
            </w:pPr>
            <w:r>
              <w:rPr>
                <w:sz w:val="20"/>
              </w:rPr>
              <w:t>3.- Durante más o menos los últimos 30 días,</w:t>
            </w:r>
          </w:p>
          <w:p>
            <w:pPr>
              <w:pStyle w:val="TableParagraph"/>
              <w:ind w:left="83" w:right="56"/>
              <w:rPr>
                <w:sz w:val="20"/>
              </w:rPr>
            </w:pPr>
            <w:r>
              <w:rPr>
                <w:sz w:val="20"/>
              </w:rPr>
              <w:t>¿Cuántas veces ha notado que, al orinar, paraba y comenzaba de nuevo varias veces?</w:t>
            </w:r>
          </w:p>
        </w:tc>
        <w:tc>
          <w:tcPr>
            <w:tcW w:w="992" w:type="dxa"/>
          </w:tcPr>
          <w:p>
            <w:pPr>
              <w:pStyle w:val="TableParagraph"/>
              <w:spacing w:before="52"/>
              <w:ind w:left="15"/>
              <w:jc w:val="center"/>
              <w:rPr>
                <w:sz w:val="20"/>
              </w:rPr>
            </w:pPr>
            <w:r>
              <w:rPr>
                <w:w w:val="99"/>
                <w:sz w:val="20"/>
              </w:rPr>
              <w:t>0</w:t>
            </w:r>
          </w:p>
        </w:tc>
        <w:tc>
          <w:tcPr>
            <w:tcW w:w="1168" w:type="dxa"/>
          </w:tcPr>
          <w:p>
            <w:pPr>
              <w:pStyle w:val="TableParagraph"/>
              <w:spacing w:before="52"/>
              <w:ind w:left="523"/>
              <w:rPr>
                <w:sz w:val="20"/>
              </w:rPr>
            </w:pPr>
            <w:r>
              <w:rPr>
                <w:w w:val="99"/>
                <w:sz w:val="20"/>
              </w:rPr>
              <w:t>1</w:t>
            </w:r>
          </w:p>
        </w:tc>
        <w:tc>
          <w:tcPr>
            <w:tcW w:w="1137" w:type="dxa"/>
          </w:tcPr>
          <w:p>
            <w:pPr>
              <w:pStyle w:val="TableParagraph"/>
              <w:spacing w:before="52"/>
              <w:ind w:left="507"/>
              <w:rPr>
                <w:sz w:val="20"/>
              </w:rPr>
            </w:pPr>
            <w:r>
              <w:rPr>
                <w:w w:val="99"/>
                <w:sz w:val="20"/>
              </w:rPr>
              <w:t>2</w:t>
            </w:r>
          </w:p>
        </w:tc>
        <w:tc>
          <w:tcPr>
            <w:tcW w:w="1133" w:type="dxa"/>
          </w:tcPr>
          <w:p>
            <w:pPr>
              <w:pStyle w:val="TableParagraph"/>
              <w:spacing w:before="52"/>
              <w:ind w:left="507"/>
              <w:rPr>
                <w:sz w:val="20"/>
              </w:rPr>
            </w:pPr>
            <w:r>
              <w:rPr>
                <w:w w:val="99"/>
                <w:sz w:val="20"/>
              </w:rPr>
              <w:t>3</w:t>
            </w:r>
          </w:p>
        </w:tc>
        <w:tc>
          <w:tcPr>
            <w:tcW w:w="993" w:type="dxa"/>
          </w:tcPr>
          <w:p>
            <w:pPr>
              <w:pStyle w:val="TableParagraph"/>
              <w:spacing w:before="52"/>
              <w:ind w:left="5"/>
              <w:jc w:val="center"/>
              <w:rPr>
                <w:sz w:val="20"/>
              </w:rPr>
            </w:pPr>
            <w:r>
              <w:rPr>
                <w:w w:val="99"/>
                <w:sz w:val="20"/>
              </w:rPr>
              <w:t>4</w:t>
            </w:r>
          </w:p>
        </w:tc>
        <w:tc>
          <w:tcPr>
            <w:tcW w:w="994" w:type="dxa"/>
          </w:tcPr>
          <w:p>
            <w:pPr>
              <w:pStyle w:val="TableParagraph"/>
              <w:spacing w:before="52"/>
              <w:ind w:left="3"/>
              <w:jc w:val="center"/>
              <w:rPr>
                <w:sz w:val="20"/>
              </w:rPr>
            </w:pPr>
            <w:r>
              <w:rPr>
                <w:w w:val="99"/>
                <w:sz w:val="20"/>
              </w:rPr>
              <w:t>5</w:t>
            </w:r>
          </w:p>
        </w:tc>
      </w:tr>
      <w:tr>
        <w:trPr>
          <w:trHeight w:val="1726" w:hRule="atLeast"/>
        </w:trPr>
        <w:tc>
          <w:tcPr>
            <w:tcW w:w="3005" w:type="dxa"/>
          </w:tcPr>
          <w:p>
            <w:pPr>
              <w:pStyle w:val="TableParagraph"/>
              <w:spacing w:before="55"/>
              <w:ind w:left="83" w:right="324"/>
              <w:rPr>
                <w:sz w:val="20"/>
              </w:rPr>
            </w:pPr>
            <w:r>
              <w:rPr>
                <w:sz w:val="20"/>
              </w:rPr>
              <w:t>7.- Durante más o menos los últimos 30 días,</w:t>
            </w:r>
          </w:p>
          <w:p>
            <w:pPr>
              <w:pStyle w:val="TableParagraph"/>
              <w:spacing w:before="1"/>
              <w:ind w:left="83" w:right="108"/>
              <w:rPr>
                <w:sz w:val="20"/>
              </w:rPr>
            </w:pPr>
            <w:r>
              <w:rPr>
                <w:sz w:val="20"/>
              </w:rPr>
              <w:t>¿Cuántas veces suele tener que levantarse para orinar desde que se va a la cama por la noche hasta que se levanta por la mañana?</w:t>
            </w:r>
          </w:p>
        </w:tc>
        <w:tc>
          <w:tcPr>
            <w:tcW w:w="992" w:type="dxa"/>
          </w:tcPr>
          <w:p>
            <w:pPr>
              <w:pStyle w:val="TableParagraph"/>
              <w:spacing w:before="55"/>
              <w:ind w:left="15"/>
              <w:jc w:val="center"/>
              <w:rPr>
                <w:sz w:val="20"/>
              </w:rPr>
            </w:pPr>
            <w:r>
              <w:rPr>
                <w:w w:val="99"/>
                <w:sz w:val="20"/>
              </w:rPr>
              <w:t>0</w:t>
            </w:r>
          </w:p>
        </w:tc>
        <w:tc>
          <w:tcPr>
            <w:tcW w:w="1168" w:type="dxa"/>
          </w:tcPr>
          <w:p>
            <w:pPr>
              <w:pStyle w:val="TableParagraph"/>
              <w:spacing w:before="55"/>
              <w:ind w:left="523"/>
              <w:rPr>
                <w:sz w:val="20"/>
              </w:rPr>
            </w:pPr>
            <w:r>
              <w:rPr>
                <w:w w:val="99"/>
                <w:sz w:val="20"/>
              </w:rPr>
              <w:t>1</w:t>
            </w:r>
          </w:p>
        </w:tc>
        <w:tc>
          <w:tcPr>
            <w:tcW w:w="1137" w:type="dxa"/>
          </w:tcPr>
          <w:p>
            <w:pPr>
              <w:pStyle w:val="TableParagraph"/>
              <w:spacing w:before="55"/>
              <w:ind w:left="507"/>
              <w:rPr>
                <w:sz w:val="20"/>
              </w:rPr>
            </w:pPr>
            <w:r>
              <w:rPr>
                <w:w w:val="99"/>
                <w:sz w:val="20"/>
              </w:rPr>
              <w:t>2</w:t>
            </w:r>
          </w:p>
        </w:tc>
        <w:tc>
          <w:tcPr>
            <w:tcW w:w="1133" w:type="dxa"/>
          </w:tcPr>
          <w:p>
            <w:pPr>
              <w:pStyle w:val="TableParagraph"/>
              <w:spacing w:before="55"/>
              <w:ind w:left="507"/>
              <w:rPr>
                <w:sz w:val="20"/>
              </w:rPr>
            </w:pPr>
            <w:r>
              <w:rPr>
                <w:w w:val="99"/>
                <w:sz w:val="20"/>
              </w:rPr>
              <w:t>3</w:t>
            </w:r>
          </w:p>
        </w:tc>
        <w:tc>
          <w:tcPr>
            <w:tcW w:w="993" w:type="dxa"/>
          </w:tcPr>
          <w:p>
            <w:pPr>
              <w:pStyle w:val="TableParagraph"/>
              <w:spacing w:before="55"/>
              <w:ind w:left="5"/>
              <w:jc w:val="center"/>
              <w:rPr>
                <w:sz w:val="20"/>
              </w:rPr>
            </w:pPr>
            <w:r>
              <w:rPr>
                <w:w w:val="99"/>
                <w:sz w:val="20"/>
              </w:rPr>
              <w:t>4</w:t>
            </w:r>
          </w:p>
        </w:tc>
        <w:tc>
          <w:tcPr>
            <w:tcW w:w="994" w:type="dxa"/>
          </w:tcPr>
          <w:p>
            <w:pPr>
              <w:pStyle w:val="TableParagraph"/>
              <w:spacing w:before="55"/>
              <w:ind w:left="3"/>
              <w:jc w:val="center"/>
              <w:rPr>
                <w:sz w:val="20"/>
              </w:rPr>
            </w:pPr>
            <w:r>
              <w:rPr>
                <w:w w:val="99"/>
                <w:sz w:val="20"/>
              </w:rPr>
              <w:t>5</w:t>
            </w:r>
          </w:p>
        </w:tc>
      </w:tr>
      <w:tr>
        <w:trPr>
          <w:trHeight w:val="1262" w:hRule="atLeast"/>
        </w:trPr>
        <w:tc>
          <w:tcPr>
            <w:tcW w:w="3005" w:type="dxa"/>
          </w:tcPr>
          <w:p>
            <w:pPr>
              <w:pStyle w:val="TableParagraph"/>
              <w:spacing w:line="242" w:lineRule="auto" w:before="51"/>
              <w:ind w:left="83" w:right="324"/>
              <w:rPr>
                <w:sz w:val="20"/>
              </w:rPr>
            </w:pPr>
            <w:r>
              <w:rPr>
                <w:sz w:val="20"/>
              </w:rPr>
              <w:t>4.- Durante más o menos los últimos 30 días,</w:t>
            </w:r>
          </w:p>
          <w:p>
            <w:pPr>
              <w:pStyle w:val="TableParagraph"/>
              <w:ind w:left="83" w:right="279"/>
              <w:rPr>
                <w:sz w:val="20"/>
              </w:rPr>
            </w:pPr>
            <w:r>
              <w:rPr>
                <w:sz w:val="20"/>
              </w:rPr>
              <w:t>¿Cuántas veces ha tenido dificultad para aguantarse las ganas de orinar?</w:t>
            </w:r>
          </w:p>
        </w:tc>
        <w:tc>
          <w:tcPr>
            <w:tcW w:w="992" w:type="dxa"/>
          </w:tcPr>
          <w:p>
            <w:pPr>
              <w:pStyle w:val="TableParagraph"/>
              <w:spacing w:before="51"/>
              <w:ind w:left="15"/>
              <w:jc w:val="center"/>
              <w:rPr>
                <w:sz w:val="20"/>
              </w:rPr>
            </w:pPr>
            <w:r>
              <w:rPr>
                <w:w w:val="99"/>
                <w:sz w:val="20"/>
              </w:rPr>
              <w:t>0</w:t>
            </w:r>
          </w:p>
        </w:tc>
        <w:tc>
          <w:tcPr>
            <w:tcW w:w="1168" w:type="dxa"/>
          </w:tcPr>
          <w:p>
            <w:pPr>
              <w:pStyle w:val="TableParagraph"/>
              <w:spacing w:before="51"/>
              <w:ind w:left="523"/>
              <w:rPr>
                <w:sz w:val="20"/>
              </w:rPr>
            </w:pPr>
            <w:r>
              <w:rPr>
                <w:w w:val="99"/>
                <w:sz w:val="20"/>
              </w:rPr>
              <w:t>1</w:t>
            </w:r>
          </w:p>
        </w:tc>
        <w:tc>
          <w:tcPr>
            <w:tcW w:w="1137" w:type="dxa"/>
          </w:tcPr>
          <w:p>
            <w:pPr>
              <w:pStyle w:val="TableParagraph"/>
              <w:spacing w:before="51"/>
              <w:ind w:left="507"/>
              <w:rPr>
                <w:sz w:val="20"/>
              </w:rPr>
            </w:pPr>
            <w:r>
              <w:rPr>
                <w:w w:val="99"/>
                <w:sz w:val="20"/>
              </w:rPr>
              <w:t>2</w:t>
            </w:r>
          </w:p>
        </w:tc>
        <w:tc>
          <w:tcPr>
            <w:tcW w:w="1133" w:type="dxa"/>
          </w:tcPr>
          <w:p>
            <w:pPr>
              <w:pStyle w:val="TableParagraph"/>
              <w:spacing w:before="51"/>
              <w:ind w:left="507"/>
              <w:rPr>
                <w:sz w:val="20"/>
              </w:rPr>
            </w:pPr>
            <w:r>
              <w:rPr>
                <w:w w:val="99"/>
                <w:sz w:val="20"/>
              </w:rPr>
              <w:t>3</w:t>
            </w:r>
          </w:p>
        </w:tc>
        <w:tc>
          <w:tcPr>
            <w:tcW w:w="993" w:type="dxa"/>
          </w:tcPr>
          <w:p>
            <w:pPr>
              <w:pStyle w:val="TableParagraph"/>
              <w:spacing w:before="51"/>
              <w:ind w:left="5"/>
              <w:jc w:val="center"/>
              <w:rPr>
                <w:sz w:val="20"/>
              </w:rPr>
            </w:pPr>
            <w:r>
              <w:rPr>
                <w:w w:val="99"/>
                <w:sz w:val="20"/>
              </w:rPr>
              <w:t>4</w:t>
            </w:r>
          </w:p>
        </w:tc>
        <w:tc>
          <w:tcPr>
            <w:tcW w:w="994" w:type="dxa"/>
          </w:tcPr>
          <w:p>
            <w:pPr>
              <w:pStyle w:val="TableParagraph"/>
              <w:spacing w:before="51"/>
              <w:ind w:left="3"/>
              <w:jc w:val="center"/>
              <w:rPr>
                <w:sz w:val="20"/>
              </w:rPr>
            </w:pPr>
            <w:r>
              <w:rPr>
                <w:w w:val="99"/>
                <w:sz w:val="20"/>
              </w:rPr>
              <w:t>5</w:t>
            </w:r>
          </w:p>
        </w:tc>
      </w:tr>
      <w:tr>
        <w:trPr>
          <w:trHeight w:val="1265" w:hRule="atLeast"/>
        </w:trPr>
        <w:tc>
          <w:tcPr>
            <w:tcW w:w="3005" w:type="dxa"/>
          </w:tcPr>
          <w:p>
            <w:pPr>
              <w:pStyle w:val="TableParagraph"/>
              <w:spacing w:before="55"/>
              <w:ind w:left="83" w:right="324"/>
              <w:rPr>
                <w:sz w:val="20"/>
              </w:rPr>
            </w:pPr>
            <w:r>
              <w:rPr>
                <w:sz w:val="20"/>
              </w:rPr>
              <w:t>5.- Durante más o menos los últimos 30 días,</w:t>
            </w:r>
          </w:p>
          <w:p>
            <w:pPr>
              <w:pStyle w:val="TableParagraph"/>
              <w:spacing w:before="1"/>
              <w:ind w:left="83" w:right="197"/>
              <w:jc w:val="both"/>
              <w:rPr>
                <w:sz w:val="20"/>
              </w:rPr>
            </w:pPr>
            <w:r>
              <w:rPr>
                <w:sz w:val="20"/>
              </w:rPr>
              <w:t>¿Cuántas veces ha observado que el chorro de orina es poco fuerte?</w:t>
            </w:r>
          </w:p>
        </w:tc>
        <w:tc>
          <w:tcPr>
            <w:tcW w:w="992" w:type="dxa"/>
          </w:tcPr>
          <w:p>
            <w:pPr>
              <w:pStyle w:val="TableParagraph"/>
              <w:spacing w:before="55"/>
              <w:ind w:left="15"/>
              <w:jc w:val="center"/>
              <w:rPr>
                <w:sz w:val="20"/>
              </w:rPr>
            </w:pPr>
            <w:r>
              <w:rPr>
                <w:w w:val="99"/>
                <w:sz w:val="20"/>
              </w:rPr>
              <w:t>0</w:t>
            </w:r>
          </w:p>
        </w:tc>
        <w:tc>
          <w:tcPr>
            <w:tcW w:w="1168" w:type="dxa"/>
          </w:tcPr>
          <w:p>
            <w:pPr>
              <w:pStyle w:val="TableParagraph"/>
              <w:spacing w:before="55"/>
              <w:ind w:left="523"/>
              <w:rPr>
                <w:sz w:val="20"/>
              </w:rPr>
            </w:pPr>
            <w:r>
              <w:rPr>
                <w:w w:val="99"/>
                <w:sz w:val="20"/>
              </w:rPr>
              <w:t>1</w:t>
            </w:r>
          </w:p>
        </w:tc>
        <w:tc>
          <w:tcPr>
            <w:tcW w:w="1137" w:type="dxa"/>
          </w:tcPr>
          <w:p>
            <w:pPr>
              <w:pStyle w:val="TableParagraph"/>
              <w:spacing w:before="55"/>
              <w:ind w:left="507"/>
              <w:rPr>
                <w:sz w:val="20"/>
              </w:rPr>
            </w:pPr>
            <w:r>
              <w:rPr>
                <w:w w:val="99"/>
                <w:sz w:val="20"/>
              </w:rPr>
              <w:t>2</w:t>
            </w:r>
          </w:p>
        </w:tc>
        <w:tc>
          <w:tcPr>
            <w:tcW w:w="1133" w:type="dxa"/>
          </w:tcPr>
          <w:p>
            <w:pPr>
              <w:pStyle w:val="TableParagraph"/>
              <w:spacing w:before="55"/>
              <w:ind w:left="507"/>
              <w:rPr>
                <w:sz w:val="20"/>
              </w:rPr>
            </w:pPr>
            <w:r>
              <w:rPr>
                <w:w w:val="99"/>
                <w:sz w:val="20"/>
              </w:rPr>
              <w:t>3</w:t>
            </w:r>
          </w:p>
        </w:tc>
        <w:tc>
          <w:tcPr>
            <w:tcW w:w="993" w:type="dxa"/>
          </w:tcPr>
          <w:p>
            <w:pPr>
              <w:pStyle w:val="TableParagraph"/>
              <w:spacing w:before="55"/>
              <w:ind w:left="5"/>
              <w:jc w:val="center"/>
              <w:rPr>
                <w:sz w:val="20"/>
              </w:rPr>
            </w:pPr>
            <w:r>
              <w:rPr>
                <w:w w:val="99"/>
                <w:sz w:val="20"/>
              </w:rPr>
              <w:t>4</w:t>
            </w:r>
          </w:p>
        </w:tc>
        <w:tc>
          <w:tcPr>
            <w:tcW w:w="994" w:type="dxa"/>
          </w:tcPr>
          <w:p>
            <w:pPr>
              <w:pStyle w:val="TableParagraph"/>
              <w:spacing w:before="55"/>
              <w:ind w:left="3"/>
              <w:jc w:val="center"/>
              <w:rPr>
                <w:sz w:val="20"/>
              </w:rPr>
            </w:pPr>
            <w:r>
              <w:rPr>
                <w:w w:val="99"/>
                <w:sz w:val="20"/>
              </w:rPr>
              <w:t>5</w:t>
            </w:r>
          </w:p>
        </w:tc>
      </w:tr>
      <w:tr>
        <w:trPr>
          <w:trHeight w:val="1266" w:hRule="atLeast"/>
        </w:trPr>
        <w:tc>
          <w:tcPr>
            <w:tcW w:w="3005" w:type="dxa"/>
          </w:tcPr>
          <w:p>
            <w:pPr>
              <w:pStyle w:val="TableParagraph"/>
              <w:spacing w:line="242" w:lineRule="auto" w:before="51"/>
              <w:ind w:left="83" w:right="324"/>
              <w:rPr>
                <w:sz w:val="20"/>
              </w:rPr>
            </w:pPr>
            <w:r>
              <w:rPr>
                <w:sz w:val="20"/>
              </w:rPr>
              <w:t>6.- Durante más o menos los últimos 30 días,</w:t>
            </w:r>
          </w:p>
          <w:p>
            <w:pPr>
              <w:pStyle w:val="TableParagraph"/>
              <w:ind w:left="83" w:right="179"/>
              <w:rPr>
                <w:sz w:val="20"/>
              </w:rPr>
            </w:pPr>
            <w:r>
              <w:rPr>
                <w:sz w:val="20"/>
              </w:rPr>
              <w:t>¿Cuántas veces ha tenido que apretar o hacer fuerza para comenzar a orinar?</w:t>
            </w:r>
          </w:p>
        </w:tc>
        <w:tc>
          <w:tcPr>
            <w:tcW w:w="992" w:type="dxa"/>
          </w:tcPr>
          <w:p>
            <w:pPr>
              <w:pStyle w:val="TableParagraph"/>
              <w:spacing w:before="51"/>
              <w:ind w:left="15"/>
              <w:jc w:val="center"/>
              <w:rPr>
                <w:sz w:val="20"/>
              </w:rPr>
            </w:pPr>
            <w:r>
              <w:rPr>
                <w:w w:val="99"/>
                <w:sz w:val="20"/>
              </w:rPr>
              <w:t>0</w:t>
            </w:r>
          </w:p>
        </w:tc>
        <w:tc>
          <w:tcPr>
            <w:tcW w:w="1168" w:type="dxa"/>
          </w:tcPr>
          <w:p>
            <w:pPr>
              <w:pStyle w:val="TableParagraph"/>
              <w:spacing w:before="51"/>
              <w:ind w:left="523"/>
              <w:rPr>
                <w:sz w:val="20"/>
              </w:rPr>
            </w:pPr>
            <w:r>
              <w:rPr>
                <w:w w:val="99"/>
                <w:sz w:val="20"/>
              </w:rPr>
              <w:t>1</w:t>
            </w:r>
          </w:p>
        </w:tc>
        <w:tc>
          <w:tcPr>
            <w:tcW w:w="1137" w:type="dxa"/>
          </w:tcPr>
          <w:p>
            <w:pPr>
              <w:pStyle w:val="TableParagraph"/>
              <w:spacing w:before="51"/>
              <w:ind w:left="507"/>
              <w:rPr>
                <w:sz w:val="20"/>
              </w:rPr>
            </w:pPr>
            <w:r>
              <w:rPr>
                <w:w w:val="99"/>
                <w:sz w:val="20"/>
              </w:rPr>
              <w:t>2</w:t>
            </w:r>
          </w:p>
        </w:tc>
        <w:tc>
          <w:tcPr>
            <w:tcW w:w="1133" w:type="dxa"/>
          </w:tcPr>
          <w:p>
            <w:pPr>
              <w:pStyle w:val="TableParagraph"/>
              <w:spacing w:before="51"/>
              <w:ind w:left="507"/>
              <w:rPr>
                <w:sz w:val="20"/>
              </w:rPr>
            </w:pPr>
            <w:r>
              <w:rPr>
                <w:w w:val="99"/>
                <w:sz w:val="20"/>
              </w:rPr>
              <w:t>3</w:t>
            </w:r>
          </w:p>
        </w:tc>
        <w:tc>
          <w:tcPr>
            <w:tcW w:w="993" w:type="dxa"/>
          </w:tcPr>
          <w:p>
            <w:pPr>
              <w:pStyle w:val="TableParagraph"/>
              <w:spacing w:before="51"/>
              <w:ind w:left="5"/>
              <w:jc w:val="center"/>
              <w:rPr>
                <w:sz w:val="20"/>
              </w:rPr>
            </w:pPr>
            <w:r>
              <w:rPr>
                <w:w w:val="99"/>
                <w:sz w:val="20"/>
              </w:rPr>
              <w:t>4</w:t>
            </w:r>
          </w:p>
        </w:tc>
        <w:tc>
          <w:tcPr>
            <w:tcW w:w="994" w:type="dxa"/>
          </w:tcPr>
          <w:p>
            <w:pPr>
              <w:pStyle w:val="TableParagraph"/>
              <w:spacing w:before="51"/>
              <w:ind w:left="3"/>
              <w:jc w:val="center"/>
              <w:rPr>
                <w:sz w:val="20"/>
              </w:rPr>
            </w:pPr>
            <w:r>
              <w:rPr>
                <w:w w:val="99"/>
                <w:sz w:val="20"/>
              </w:rPr>
              <w:t>5</w:t>
            </w:r>
          </w:p>
        </w:tc>
      </w:tr>
    </w:tbl>
    <w:p>
      <w:pPr>
        <w:spacing w:after="0"/>
        <w:jc w:val="center"/>
        <w:rPr>
          <w:sz w:val="20"/>
        </w:rPr>
        <w:sectPr>
          <w:pgSz w:w="12240" w:h="15840"/>
          <w:pgMar w:header="723" w:footer="872" w:top="940" w:bottom="1060" w:left="0" w:right="0"/>
        </w:sect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7"/>
        <w:gridCol w:w="993"/>
        <w:gridCol w:w="997"/>
        <w:gridCol w:w="993"/>
        <w:gridCol w:w="1278"/>
        <w:gridCol w:w="1134"/>
        <w:gridCol w:w="1138"/>
        <w:gridCol w:w="685"/>
      </w:tblGrid>
      <w:tr>
        <w:trPr>
          <w:trHeight w:val="513" w:hRule="atLeast"/>
        </w:trPr>
        <w:tc>
          <w:tcPr>
            <w:tcW w:w="9515" w:type="dxa"/>
            <w:gridSpan w:val="8"/>
          </w:tcPr>
          <w:p>
            <w:pPr>
              <w:pStyle w:val="TableParagraph"/>
              <w:spacing w:line="270" w:lineRule="exact"/>
              <w:ind w:left="107"/>
              <w:rPr>
                <w:sz w:val="22"/>
              </w:rPr>
            </w:pPr>
            <w:r>
              <w:rPr>
                <w:b/>
                <w:sz w:val="24"/>
              </w:rPr>
              <w:t>TABLA 3</w:t>
            </w:r>
            <w:r>
              <w:rPr>
                <w:b/>
                <w:sz w:val="22"/>
              </w:rPr>
              <w:t>: </w:t>
            </w:r>
            <w:r>
              <w:rPr>
                <w:sz w:val="22"/>
              </w:rPr>
              <w:t>Puntuación IPSS total</w:t>
            </w:r>
          </w:p>
        </w:tc>
      </w:tr>
      <w:tr>
        <w:trPr>
          <w:trHeight w:val="838" w:hRule="atLeast"/>
        </w:trPr>
        <w:tc>
          <w:tcPr>
            <w:tcW w:w="2297" w:type="dxa"/>
          </w:tcPr>
          <w:p>
            <w:pPr>
              <w:pStyle w:val="TableParagraph"/>
              <w:rPr>
                <w:rFonts w:ascii="Times New Roman"/>
                <w:sz w:val="18"/>
              </w:rPr>
            </w:pPr>
          </w:p>
        </w:tc>
        <w:tc>
          <w:tcPr>
            <w:tcW w:w="993" w:type="dxa"/>
          </w:tcPr>
          <w:p>
            <w:pPr>
              <w:pStyle w:val="TableParagraph"/>
              <w:spacing w:line="181" w:lineRule="exact"/>
              <w:ind w:left="85" w:right="92"/>
              <w:jc w:val="center"/>
              <w:rPr>
                <w:sz w:val="16"/>
              </w:rPr>
            </w:pPr>
            <w:r>
              <w:rPr>
                <w:sz w:val="16"/>
              </w:rPr>
              <w:t>Encantado</w:t>
            </w:r>
          </w:p>
        </w:tc>
        <w:tc>
          <w:tcPr>
            <w:tcW w:w="997" w:type="dxa"/>
          </w:tcPr>
          <w:p>
            <w:pPr>
              <w:pStyle w:val="TableParagraph"/>
              <w:spacing w:line="276" w:lineRule="auto"/>
              <w:ind w:left="106"/>
              <w:rPr>
                <w:sz w:val="16"/>
              </w:rPr>
            </w:pPr>
            <w:r>
              <w:rPr>
                <w:sz w:val="16"/>
              </w:rPr>
              <w:t>Muy satisfecho</w:t>
            </w:r>
          </w:p>
        </w:tc>
        <w:tc>
          <w:tcPr>
            <w:tcW w:w="993" w:type="dxa"/>
          </w:tcPr>
          <w:p>
            <w:pPr>
              <w:pStyle w:val="TableParagraph"/>
              <w:spacing w:line="537" w:lineRule="auto"/>
              <w:ind w:left="101"/>
              <w:rPr>
                <w:sz w:val="16"/>
              </w:rPr>
            </w:pPr>
            <w:r>
              <w:rPr>
                <w:sz w:val="16"/>
              </w:rPr>
              <w:t>Más bien satisfecho</w:t>
            </w:r>
          </w:p>
        </w:tc>
        <w:tc>
          <w:tcPr>
            <w:tcW w:w="1278" w:type="dxa"/>
          </w:tcPr>
          <w:p>
            <w:pPr>
              <w:pStyle w:val="TableParagraph"/>
              <w:spacing w:line="276" w:lineRule="auto"/>
              <w:ind w:left="100"/>
              <w:rPr>
                <w:sz w:val="16"/>
              </w:rPr>
            </w:pPr>
            <w:r>
              <w:rPr>
                <w:sz w:val="16"/>
              </w:rPr>
              <w:t>Tan satisfecho como insatisfecho</w:t>
            </w:r>
          </w:p>
        </w:tc>
        <w:tc>
          <w:tcPr>
            <w:tcW w:w="1134" w:type="dxa"/>
          </w:tcPr>
          <w:p>
            <w:pPr>
              <w:pStyle w:val="TableParagraph"/>
              <w:spacing w:line="537" w:lineRule="auto"/>
              <w:ind w:left="103"/>
              <w:rPr>
                <w:sz w:val="16"/>
              </w:rPr>
            </w:pPr>
            <w:r>
              <w:rPr>
                <w:sz w:val="16"/>
              </w:rPr>
              <w:t>Más bien insatisfecho</w:t>
            </w:r>
          </w:p>
        </w:tc>
        <w:tc>
          <w:tcPr>
            <w:tcW w:w="1138" w:type="dxa"/>
          </w:tcPr>
          <w:p>
            <w:pPr>
              <w:pStyle w:val="TableParagraph"/>
              <w:spacing w:line="537" w:lineRule="auto"/>
              <w:ind w:left="101"/>
              <w:rPr>
                <w:sz w:val="16"/>
              </w:rPr>
            </w:pPr>
            <w:r>
              <w:rPr>
                <w:sz w:val="16"/>
              </w:rPr>
              <w:t>Muy insatisfecho</w:t>
            </w:r>
          </w:p>
        </w:tc>
        <w:tc>
          <w:tcPr>
            <w:tcW w:w="685" w:type="dxa"/>
          </w:tcPr>
          <w:p>
            <w:pPr>
              <w:pStyle w:val="TableParagraph"/>
              <w:spacing w:line="181" w:lineRule="exact"/>
              <w:ind w:left="95"/>
              <w:rPr>
                <w:sz w:val="16"/>
              </w:rPr>
            </w:pPr>
            <w:r>
              <w:rPr>
                <w:sz w:val="16"/>
              </w:rPr>
              <w:t>Fatal</w:t>
            </w:r>
          </w:p>
        </w:tc>
      </w:tr>
      <w:tr>
        <w:trPr>
          <w:trHeight w:val="1385" w:hRule="atLeast"/>
        </w:trPr>
        <w:tc>
          <w:tcPr>
            <w:tcW w:w="2297" w:type="dxa"/>
          </w:tcPr>
          <w:p>
            <w:pPr>
              <w:pStyle w:val="TableParagraph"/>
              <w:spacing w:line="276" w:lineRule="auto"/>
              <w:ind w:left="107" w:right="128"/>
              <w:rPr>
                <w:sz w:val="18"/>
              </w:rPr>
            </w:pPr>
            <w:r>
              <w:rPr>
                <w:sz w:val="18"/>
              </w:rPr>
              <w:t>8. ¿Cómo se sentiría si tuviera que pasar el resto de la vida con los síntomas prostáticos tal y como los siente ahora?</w:t>
            </w:r>
          </w:p>
        </w:tc>
        <w:tc>
          <w:tcPr>
            <w:tcW w:w="993" w:type="dxa"/>
          </w:tcPr>
          <w:p>
            <w:pPr>
              <w:pStyle w:val="TableParagraph"/>
              <w:spacing w:line="225" w:lineRule="exact"/>
              <w:ind w:left="6"/>
              <w:jc w:val="center"/>
              <w:rPr>
                <w:sz w:val="20"/>
              </w:rPr>
            </w:pPr>
            <w:r>
              <w:rPr>
                <w:w w:val="99"/>
                <w:sz w:val="20"/>
              </w:rPr>
              <w:t>0</w:t>
            </w:r>
          </w:p>
        </w:tc>
        <w:tc>
          <w:tcPr>
            <w:tcW w:w="997" w:type="dxa"/>
          </w:tcPr>
          <w:p>
            <w:pPr>
              <w:pStyle w:val="TableParagraph"/>
              <w:spacing w:line="225" w:lineRule="exact"/>
              <w:jc w:val="center"/>
              <w:rPr>
                <w:sz w:val="20"/>
              </w:rPr>
            </w:pPr>
            <w:r>
              <w:rPr>
                <w:w w:val="99"/>
                <w:sz w:val="20"/>
              </w:rPr>
              <w:t>1</w:t>
            </w:r>
          </w:p>
        </w:tc>
        <w:tc>
          <w:tcPr>
            <w:tcW w:w="993" w:type="dxa"/>
          </w:tcPr>
          <w:p>
            <w:pPr>
              <w:pStyle w:val="TableParagraph"/>
              <w:spacing w:line="225" w:lineRule="exact"/>
              <w:ind w:right="2"/>
              <w:jc w:val="center"/>
              <w:rPr>
                <w:sz w:val="20"/>
              </w:rPr>
            </w:pPr>
            <w:r>
              <w:rPr>
                <w:w w:val="99"/>
                <w:sz w:val="20"/>
              </w:rPr>
              <w:t>2</w:t>
            </w:r>
          </w:p>
        </w:tc>
        <w:tc>
          <w:tcPr>
            <w:tcW w:w="1278" w:type="dxa"/>
          </w:tcPr>
          <w:p>
            <w:pPr>
              <w:pStyle w:val="TableParagraph"/>
              <w:spacing w:line="225" w:lineRule="exact"/>
              <w:ind w:right="8"/>
              <w:jc w:val="center"/>
              <w:rPr>
                <w:sz w:val="20"/>
              </w:rPr>
            </w:pPr>
            <w:r>
              <w:rPr>
                <w:w w:val="99"/>
                <w:sz w:val="20"/>
              </w:rPr>
              <w:t>3</w:t>
            </w:r>
          </w:p>
        </w:tc>
        <w:tc>
          <w:tcPr>
            <w:tcW w:w="1134" w:type="dxa"/>
          </w:tcPr>
          <w:p>
            <w:pPr>
              <w:pStyle w:val="TableParagraph"/>
              <w:spacing w:line="225" w:lineRule="exact"/>
              <w:ind w:right="4"/>
              <w:jc w:val="center"/>
              <w:rPr>
                <w:sz w:val="20"/>
              </w:rPr>
            </w:pPr>
            <w:r>
              <w:rPr>
                <w:w w:val="99"/>
                <w:sz w:val="20"/>
              </w:rPr>
              <w:t>4</w:t>
            </w:r>
          </w:p>
        </w:tc>
        <w:tc>
          <w:tcPr>
            <w:tcW w:w="1138" w:type="dxa"/>
          </w:tcPr>
          <w:p>
            <w:pPr>
              <w:pStyle w:val="TableParagraph"/>
              <w:spacing w:line="225" w:lineRule="exact"/>
              <w:ind w:right="11"/>
              <w:jc w:val="center"/>
              <w:rPr>
                <w:sz w:val="20"/>
              </w:rPr>
            </w:pPr>
            <w:r>
              <w:rPr>
                <w:w w:val="99"/>
                <w:sz w:val="20"/>
              </w:rPr>
              <w:t>5</w:t>
            </w:r>
          </w:p>
        </w:tc>
        <w:tc>
          <w:tcPr>
            <w:tcW w:w="685" w:type="dxa"/>
          </w:tcPr>
          <w:p>
            <w:pPr>
              <w:pStyle w:val="TableParagraph"/>
              <w:spacing w:line="225" w:lineRule="exact"/>
              <w:ind w:right="17"/>
              <w:jc w:val="center"/>
              <w:rPr>
                <w:sz w:val="20"/>
              </w:rPr>
            </w:pPr>
            <w:r>
              <w:rPr>
                <w:w w:val="99"/>
                <w:sz w:val="20"/>
              </w:rPr>
              <w:t>6</w:t>
            </w:r>
          </w:p>
        </w:tc>
      </w:tr>
    </w:tbl>
    <w:p>
      <w:pPr>
        <w:pStyle w:val="BodyText"/>
        <w:rPr>
          <w:rFonts w:ascii="Times New Roman"/>
          <w:sz w:val="20"/>
        </w:rPr>
      </w:pPr>
    </w:p>
    <w:p>
      <w:pPr>
        <w:pStyle w:val="BodyText"/>
        <w:spacing w:before="8"/>
        <w:rPr>
          <w:rFonts w:ascii="Times New Roman"/>
          <w:sz w:val="28"/>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3"/>
        <w:gridCol w:w="4393"/>
      </w:tblGrid>
      <w:tr>
        <w:trPr>
          <w:trHeight w:val="558" w:hRule="atLeast"/>
        </w:trPr>
        <w:tc>
          <w:tcPr>
            <w:tcW w:w="9466" w:type="dxa"/>
            <w:gridSpan w:val="2"/>
          </w:tcPr>
          <w:p>
            <w:pPr>
              <w:pStyle w:val="TableParagraph"/>
              <w:spacing w:line="274" w:lineRule="exact"/>
              <w:ind w:left="70"/>
              <w:rPr>
                <w:sz w:val="22"/>
              </w:rPr>
            </w:pPr>
            <w:r>
              <w:rPr>
                <w:b/>
                <w:sz w:val="24"/>
              </w:rPr>
              <w:t>TABLA 4: </w:t>
            </w:r>
            <w:r>
              <w:rPr>
                <w:sz w:val="22"/>
              </w:rPr>
              <w:t>Interpretación de la IPSS</w:t>
            </w:r>
          </w:p>
        </w:tc>
      </w:tr>
      <w:tr>
        <w:trPr>
          <w:trHeight w:val="478" w:hRule="atLeast"/>
        </w:trPr>
        <w:tc>
          <w:tcPr>
            <w:tcW w:w="9466" w:type="dxa"/>
            <w:gridSpan w:val="2"/>
          </w:tcPr>
          <w:p>
            <w:pPr>
              <w:pStyle w:val="TableParagraph"/>
              <w:spacing w:line="205" w:lineRule="exact"/>
              <w:ind w:left="70"/>
              <w:rPr>
                <w:sz w:val="18"/>
              </w:rPr>
            </w:pPr>
            <w:r>
              <w:rPr>
                <w:sz w:val="18"/>
              </w:rPr>
              <w:t>La puntuación obtenida en el IPSS se interpreta de la siguiente forma</w:t>
            </w:r>
          </w:p>
        </w:tc>
      </w:tr>
      <w:tr>
        <w:trPr>
          <w:trHeight w:val="477" w:hRule="atLeast"/>
        </w:trPr>
        <w:tc>
          <w:tcPr>
            <w:tcW w:w="5073" w:type="dxa"/>
          </w:tcPr>
          <w:p>
            <w:pPr>
              <w:pStyle w:val="TableParagraph"/>
              <w:spacing w:line="205" w:lineRule="exact"/>
              <w:ind w:left="107"/>
              <w:rPr>
                <w:sz w:val="18"/>
              </w:rPr>
            </w:pPr>
            <w:r>
              <w:rPr>
                <w:sz w:val="18"/>
              </w:rPr>
              <w:t>Sintomatología (preguntas 17)</w:t>
            </w:r>
          </w:p>
        </w:tc>
        <w:tc>
          <w:tcPr>
            <w:tcW w:w="4393" w:type="dxa"/>
          </w:tcPr>
          <w:p>
            <w:pPr>
              <w:pStyle w:val="TableParagraph"/>
              <w:spacing w:line="205" w:lineRule="exact"/>
              <w:ind w:left="107"/>
              <w:rPr>
                <w:sz w:val="18"/>
              </w:rPr>
            </w:pPr>
            <w:r>
              <w:rPr>
                <w:sz w:val="18"/>
              </w:rPr>
              <w:t>Afectación de la calidad de vida (pregunta 8):</w:t>
            </w:r>
          </w:p>
        </w:tc>
      </w:tr>
      <w:tr>
        <w:trPr>
          <w:trHeight w:val="478" w:hRule="atLeast"/>
        </w:trPr>
        <w:tc>
          <w:tcPr>
            <w:tcW w:w="5073" w:type="dxa"/>
          </w:tcPr>
          <w:p>
            <w:pPr>
              <w:pStyle w:val="TableParagraph"/>
              <w:spacing w:line="205" w:lineRule="exact"/>
              <w:ind w:left="107"/>
              <w:rPr>
                <w:sz w:val="18"/>
              </w:rPr>
            </w:pPr>
            <w:r>
              <w:rPr>
                <w:sz w:val="18"/>
              </w:rPr>
              <w:t>0-7 puntos: sintomatología leve.</w:t>
            </w:r>
          </w:p>
        </w:tc>
        <w:tc>
          <w:tcPr>
            <w:tcW w:w="4393" w:type="dxa"/>
          </w:tcPr>
          <w:p>
            <w:pPr>
              <w:pStyle w:val="TableParagraph"/>
              <w:spacing w:line="205" w:lineRule="exact"/>
              <w:ind w:left="107"/>
              <w:rPr>
                <w:sz w:val="18"/>
              </w:rPr>
            </w:pPr>
            <w:r>
              <w:rPr>
                <w:sz w:val="18"/>
              </w:rPr>
              <w:t>0-2 puntos: ligera</w:t>
            </w:r>
          </w:p>
        </w:tc>
      </w:tr>
      <w:tr>
        <w:trPr>
          <w:trHeight w:val="478" w:hRule="atLeast"/>
        </w:trPr>
        <w:tc>
          <w:tcPr>
            <w:tcW w:w="5073" w:type="dxa"/>
          </w:tcPr>
          <w:p>
            <w:pPr>
              <w:pStyle w:val="TableParagraph"/>
              <w:spacing w:line="205" w:lineRule="exact"/>
              <w:ind w:left="107"/>
              <w:rPr>
                <w:sz w:val="18"/>
              </w:rPr>
            </w:pPr>
            <w:r>
              <w:rPr>
                <w:sz w:val="18"/>
              </w:rPr>
              <w:t>8-19 puntos: sintomatología moderado</w:t>
            </w:r>
          </w:p>
        </w:tc>
        <w:tc>
          <w:tcPr>
            <w:tcW w:w="4393" w:type="dxa"/>
          </w:tcPr>
          <w:p>
            <w:pPr>
              <w:pStyle w:val="TableParagraph"/>
              <w:spacing w:line="205" w:lineRule="exact"/>
              <w:ind w:left="107"/>
              <w:rPr>
                <w:sz w:val="18"/>
              </w:rPr>
            </w:pPr>
            <w:r>
              <w:rPr>
                <w:sz w:val="18"/>
              </w:rPr>
              <w:t>3 puntos: moderada</w:t>
            </w:r>
          </w:p>
        </w:tc>
      </w:tr>
      <w:tr>
        <w:trPr>
          <w:trHeight w:val="478" w:hRule="atLeast"/>
        </w:trPr>
        <w:tc>
          <w:tcPr>
            <w:tcW w:w="5073" w:type="dxa"/>
          </w:tcPr>
          <w:p>
            <w:pPr>
              <w:pStyle w:val="TableParagraph"/>
              <w:spacing w:line="205" w:lineRule="exact"/>
              <w:ind w:left="107"/>
              <w:rPr>
                <w:sz w:val="18"/>
              </w:rPr>
            </w:pPr>
            <w:r>
              <w:rPr>
                <w:sz w:val="18"/>
              </w:rPr>
              <w:t>20-35 puntos: sintomatología severa</w:t>
            </w:r>
          </w:p>
        </w:tc>
        <w:tc>
          <w:tcPr>
            <w:tcW w:w="4393" w:type="dxa"/>
          </w:tcPr>
          <w:p>
            <w:pPr>
              <w:pStyle w:val="TableParagraph"/>
              <w:spacing w:line="205" w:lineRule="exact"/>
              <w:ind w:left="107"/>
              <w:rPr>
                <w:sz w:val="18"/>
              </w:rPr>
            </w:pPr>
            <w:r>
              <w:rPr>
                <w:sz w:val="18"/>
              </w:rPr>
              <w:t>4-6 puntos: severa</w:t>
            </w:r>
          </w:p>
        </w:tc>
      </w:tr>
    </w:tbl>
    <w:p>
      <w:pPr>
        <w:pStyle w:val="BodyText"/>
        <w:rPr>
          <w:rFonts w:ascii="Times New Roman"/>
          <w:sz w:val="20"/>
        </w:rPr>
      </w:pPr>
    </w:p>
    <w:p>
      <w:pPr>
        <w:pStyle w:val="BodyText"/>
        <w:spacing w:before="2"/>
        <w:rPr>
          <w:rFonts w:ascii="Times New Roman"/>
          <w:sz w:val="20"/>
        </w:rPr>
      </w:pPr>
    </w:p>
    <w:p>
      <w:pPr>
        <w:spacing w:after="0"/>
        <w:rPr>
          <w:rFonts w:ascii="Times New Roman"/>
          <w:sz w:val="20"/>
        </w:rPr>
        <w:sectPr>
          <w:pgSz w:w="12240" w:h="15840"/>
          <w:pgMar w:header="723" w:footer="882" w:top="940" w:bottom="1080" w:left="0" w:right="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3"/>
        </w:rPr>
      </w:pPr>
    </w:p>
    <w:p>
      <w:pPr>
        <w:pStyle w:val="BodyText"/>
        <w:spacing w:line="276" w:lineRule="auto" w:before="1"/>
        <w:ind w:left="1440"/>
        <w:jc w:val="both"/>
      </w:pPr>
      <w:r>
        <w:rPr/>
        <w:t>seguimiento a 5 años de pacientes con síntomas de tracto urinaria inferior secundario a HPB que un 16% evoluciono empeoramiento, 52% sin modificaciones, 32% mostraron mejoría.</w:t>
      </w:r>
    </w:p>
    <w:p>
      <w:pPr>
        <w:pStyle w:val="Heading3"/>
        <w:spacing w:before="93"/>
        <w:ind w:left="681"/>
      </w:pPr>
      <w:r>
        <w:rPr>
          <w:b w:val="0"/>
        </w:rPr>
        <w:br w:type="column"/>
      </w:r>
      <w:r>
        <w:rPr/>
        <w:t>CONCLUSIONES</w:t>
      </w:r>
    </w:p>
    <w:p>
      <w:pPr>
        <w:pStyle w:val="BodyText"/>
        <w:spacing w:before="2"/>
        <w:rPr>
          <w:b/>
          <w:sz w:val="21"/>
        </w:rPr>
      </w:pPr>
    </w:p>
    <w:p>
      <w:pPr>
        <w:pStyle w:val="ListParagraph"/>
        <w:numPr>
          <w:ilvl w:val="0"/>
          <w:numId w:val="6"/>
        </w:numPr>
        <w:tabs>
          <w:tab w:pos="1402" w:val="left" w:leader="none"/>
        </w:tabs>
        <w:spacing w:line="273" w:lineRule="auto" w:before="1" w:after="0"/>
        <w:ind w:left="1401" w:right="1432" w:hanging="360"/>
        <w:jc w:val="both"/>
        <w:rPr>
          <w:sz w:val="22"/>
        </w:rPr>
      </w:pPr>
      <w:r>
        <w:rPr/>
        <w:pict>
          <v:shape style="position:absolute;margin-left:66.425003pt;margin-top:-25.710922pt;width:223.7pt;height:187.85pt;mso-position-horizontal-relative:page;mso-position-vertical-relative:paragraph;z-index:1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2229"/>
                  </w:tblGrid>
                  <w:tr>
                    <w:trPr>
                      <w:trHeight w:val="1062" w:hRule="atLeast"/>
                    </w:trPr>
                    <w:tc>
                      <w:tcPr>
                        <w:tcW w:w="4461" w:type="dxa"/>
                        <w:gridSpan w:val="2"/>
                      </w:tcPr>
                      <w:p>
                        <w:pPr>
                          <w:pStyle w:val="TableParagraph"/>
                          <w:spacing w:line="276" w:lineRule="auto"/>
                          <w:ind w:left="70" w:right="49"/>
                          <w:jc w:val="both"/>
                          <w:rPr>
                            <w:sz w:val="20"/>
                          </w:rPr>
                        </w:pPr>
                        <w:r>
                          <w:rPr>
                            <w:b/>
                            <w:sz w:val="22"/>
                          </w:rPr>
                          <w:t>TABLA </w:t>
                        </w:r>
                        <w:r>
                          <w:rPr>
                            <w:b/>
                            <w:spacing w:val="1"/>
                            <w:sz w:val="22"/>
                          </w:rPr>
                          <w:t>5</w:t>
                        </w:r>
                        <w:r>
                          <w:rPr>
                            <w:spacing w:val="1"/>
                            <w:sz w:val="22"/>
                          </w:rPr>
                          <w:t>: </w:t>
                        </w:r>
                        <w:r>
                          <w:rPr>
                            <w:sz w:val="20"/>
                          </w:rPr>
                          <w:t>Valores normales de antígeno prostático específico (APE) de acuerdo a la edad</w:t>
                        </w:r>
                      </w:p>
                    </w:tc>
                  </w:tr>
                  <w:tr>
                    <w:trPr>
                      <w:trHeight w:val="714" w:hRule="atLeast"/>
                    </w:trPr>
                    <w:tc>
                      <w:tcPr>
                        <w:tcW w:w="2232" w:type="dxa"/>
                      </w:tcPr>
                      <w:p>
                        <w:pPr>
                          <w:pStyle w:val="TableParagraph"/>
                          <w:spacing w:line="201" w:lineRule="exact"/>
                          <w:ind w:left="107"/>
                          <w:rPr>
                            <w:sz w:val="18"/>
                          </w:rPr>
                        </w:pPr>
                        <w:r>
                          <w:rPr>
                            <w:sz w:val="18"/>
                          </w:rPr>
                          <w:t>Edad (años)</w:t>
                        </w:r>
                      </w:p>
                    </w:tc>
                    <w:tc>
                      <w:tcPr>
                        <w:tcW w:w="2229" w:type="dxa"/>
                      </w:tcPr>
                      <w:p>
                        <w:pPr>
                          <w:pStyle w:val="TableParagraph"/>
                          <w:spacing w:line="278" w:lineRule="auto"/>
                          <w:ind w:left="107" w:right="93"/>
                          <w:rPr>
                            <w:sz w:val="18"/>
                          </w:rPr>
                        </w:pPr>
                        <w:r>
                          <w:rPr>
                            <w:sz w:val="18"/>
                          </w:rPr>
                          <w:t>Límite superior normal del APE</w:t>
                        </w:r>
                      </w:p>
                    </w:tc>
                  </w:tr>
                  <w:tr>
                    <w:trPr>
                      <w:trHeight w:val="477" w:hRule="atLeast"/>
                    </w:trPr>
                    <w:tc>
                      <w:tcPr>
                        <w:tcW w:w="2232" w:type="dxa"/>
                      </w:tcPr>
                      <w:p>
                        <w:pPr>
                          <w:pStyle w:val="TableParagraph"/>
                          <w:spacing w:line="205" w:lineRule="exact"/>
                          <w:ind w:left="107"/>
                          <w:rPr>
                            <w:sz w:val="18"/>
                          </w:rPr>
                        </w:pPr>
                        <w:r>
                          <w:rPr>
                            <w:sz w:val="18"/>
                          </w:rPr>
                          <w:t>40 a 50</w:t>
                        </w:r>
                      </w:p>
                    </w:tc>
                    <w:tc>
                      <w:tcPr>
                        <w:tcW w:w="2229" w:type="dxa"/>
                      </w:tcPr>
                      <w:p>
                        <w:pPr>
                          <w:pStyle w:val="TableParagraph"/>
                          <w:spacing w:line="205" w:lineRule="exact"/>
                          <w:ind w:left="107"/>
                          <w:rPr>
                            <w:sz w:val="18"/>
                          </w:rPr>
                        </w:pPr>
                        <w:r>
                          <w:rPr>
                            <w:sz w:val="18"/>
                          </w:rPr>
                          <w:t>2.5ng/ml</w:t>
                        </w:r>
                      </w:p>
                    </w:tc>
                  </w:tr>
                  <w:tr>
                    <w:trPr>
                      <w:trHeight w:val="478" w:hRule="atLeast"/>
                    </w:trPr>
                    <w:tc>
                      <w:tcPr>
                        <w:tcW w:w="2232" w:type="dxa"/>
                      </w:tcPr>
                      <w:p>
                        <w:pPr>
                          <w:pStyle w:val="TableParagraph"/>
                          <w:spacing w:line="206" w:lineRule="exact"/>
                          <w:ind w:left="107"/>
                          <w:rPr>
                            <w:sz w:val="18"/>
                          </w:rPr>
                        </w:pPr>
                        <w:r>
                          <w:rPr>
                            <w:sz w:val="18"/>
                          </w:rPr>
                          <w:t>51 a 60</w:t>
                        </w:r>
                      </w:p>
                    </w:tc>
                    <w:tc>
                      <w:tcPr>
                        <w:tcW w:w="2229" w:type="dxa"/>
                      </w:tcPr>
                      <w:p>
                        <w:pPr>
                          <w:pStyle w:val="TableParagraph"/>
                          <w:spacing w:line="206" w:lineRule="exact"/>
                          <w:ind w:left="107"/>
                          <w:rPr>
                            <w:sz w:val="18"/>
                          </w:rPr>
                        </w:pPr>
                        <w:r>
                          <w:rPr>
                            <w:sz w:val="18"/>
                          </w:rPr>
                          <w:t>3.5ng/ml</w:t>
                        </w:r>
                      </w:p>
                    </w:tc>
                  </w:tr>
                  <w:tr>
                    <w:trPr>
                      <w:trHeight w:val="478" w:hRule="atLeast"/>
                    </w:trPr>
                    <w:tc>
                      <w:tcPr>
                        <w:tcW w:w="2232" w:type="dxa"/>
                      </w:tcPr>
                      <w:p>
                        <w:pPr>
                          <w:pStyle w:val="TableParagraph"/>
                          <w:spacing w:line="205" w:lineRule="exact"/>
                          <w:ind w:left="107"/>
                          <w:rPr>
                            <w:sz w:val="18"/>
                          </w:rPr>
                        </w:pPr>
                        <w:r>
                          <w:rPr>
                            <w:sz w:val="18"/>
                          </w:rPr>
                          <w:t>61 a 70</w:t>
                        </w:r>
                      </w:p>
                    </w:tc>
                    <w:tc>
                      <w:tcPr>
                        <w:tcW w:w="2229" w:type="dxa"/>
                      </w:tcPr>
                      <w:p>
                        <w:pPr>
                          <w:pStyle w:val="TableParagraph"/>
                          <w:spacing w:line="205" w:lineRule="exact"/>
                          <w:ind w:left="107"/>
                          <w:rPr>
                            <w:sz w:val="18"/>
                          </w:rPr>
                        </w:pPr>
                        <w:r>
                          <w:rPr>
                            <w:sz w:val="18"/>
                          </w:rPr>
                          <w:t>4.5ng/ml</w:t>
                        </w:r>
                      </w:p>
                    </w:tc>
                  </w:tr>
                  <w:tr>
                    <w:trPr>
                      <w:trHeight w:val="477" w:hRule="atLeast"/>
                    </w:trPr>
                    <w:tc>
                      <w:tcPr>
                        <w:tcW w:w="2232" w:type="dxa"/>
                      </w:tcPr>
                      <w:p>
                        <w:pPr>
                          <w:pStyle w:val="TableParagraph"/>
                          <w:spacing w:line="205" w:lineRule="exact"/>
                          <w:ind w:left="107"/>
                          <w:rPr>
                            <w:sz w:val="18"/>
                          </w:rPr>
                        </w:pPr>
                        <w:r>
                          <w:rPr>
                            <w:sz w:val="18"/>
                          </w:rPr>
                          <w:t>Mayor 70</w:t>
                        </w:r>
                      </w:p>
                    </w:tc>
                    <w:tc>
                      <w:tcPr>
                        <w:tcW w:w="2229" w:type="dxa"/>
                      </w:tcPr>
                      <w:p>
                        <w:pPr>
                          <w:pStyle w:val="TableParagraph"/>
                          <w:spacing w:line="205" w:lineRule="exact"/>
                          <w:ind w:left="107"/>
                          <w:rPr>
                            <w:sz w:val="18"/>
                          </w:rPr>
                        </w:pPr>
                        <w:r>
                          <w:rPr>
                            <w:sz w:val="18"/>
                          </w:rPr>
                          <w:t>6.5ng/ml</w:t>
                        </w:r>
                      </w:p>
                    </w:tc>
                  </w:tr>
                </w:tbl>
                <w:p>
                  <w:pPr>
                    <w:pStyle w:val="BodyText"/>
                  </w:pPr>
                </w:p>
              </w:txbxContent>
            </v:textbox>
            <w10:wrap type="none"/>
          </v:shape>
        </w:pict>
      </w:r>
      <w:r>
        <w:rPr>
          <w:sz w:val="22"/>
        </w:rPr>
        <w:t>La gravedad de los síntomas generalmente progresa con el tiempo, pero rara vez es potencialmente</w:t>
      </w:r>
      <w:r>
        <w:rPr>
          <w:spacing w:val="-5"/>
          <w:sz w:val="22"/>
        </w:rPr>
        <w:t> </w:t>
      </w:r>
      <w:r>
        <w:rPr>
          <w:sz w:val="22"/>
        </w:rPr>
        <w:t>mortal.</w:t>
      </w:r>
    </w:p>
    <w:p>
      <w:pPr>
        <w:pStyle w:val="ListParagraph"/>
        <w:numPr>
          <w:ilvl w:val="0"/>
          <w:numId w:val="6"/>
        </w:numPr>
        <w:tabs>
          <w:tab w:pos="1402" w:val="left" w:leader="none"/>
        </w:tabs>
        <w:spacing w:line="276" w:lineRule="auto" w:before="6" w:after="0"/>
        <w:ind w:left="1401" w:right="1435" w:hanging="360"/>
        <w:jc w:val="both"/>
        <w:rPr>
          <w:sz w:val="22"/>
        </w:rPr>
      </w:pPr>
      <w:r>
        <w:rPr>
          <w:sz w:val="22"/>
        </w:rPr>
        <w:t>Los hombres con síntomas del tracto urinario inferior, moderadas y graves identificados en un gran estudio de cohorte en Estados Unidos se revelo que estos pacientes tienen un peor estado de salud en varias dimensiones de </w:t>
      </w:r>
      <w:r>
        <w:rPr>
          <w:spacing w:val="-3"/>
          <w:sz w:val="22"/>
        </w:rPr>
        <w:t>la </w:t>
      </w:r>
      <w:r>
        <w:rPr>
          <w:sz w:val="22"/>
        </w:rPr>
        <w:t>vida afectando grandemente </w:t>
      </w:r>
      <w:r>
        <w:rPr>
          <w:spacing w:val="-3"/>
          <w:sz w:val="22"/>
        </w:rPr>
        <w:t>la </w:t>
      </w:r>
      <w:r>
        <w:rPr>
          <w:sz w:val="22"/>
        </w:rPr>
        <w:t>calidad de</w:t>
      </w:r>
      <w:r>
        <w:rPr>
          <w:spacing w:val="-4"/>
          <w:sz w:val="22"/>
        </w:rPr>
        <w:t> </w:t>
      </w:r>
      <w:r>
        <w:rPr>
          <w:sz w:val="22"/>
        </w:rPr>
        <w:t>vida.</w:t>
      </w:r>
    </w:p>
    <w:p>
      <w:pPr>
        <w:pStyle w:val="ListParagraph"/>
        <w:numPr>
          <w:ilvl w:val="0"/>
          <w:numId w:val="6"/>
        </w:numPr>
        <w:tabs>
          <w:tab w:pos="1402" w:val="left" w:leader="none"/>
        </w:tabs>
        <w:spacing w:line="276" w:lineRule="auto" w:before="0" w:after="0"/>
        <w:ind w:left="1401" w:right="1435" w:hanging="360"/>
        <w:jc w:val="both"/>
        <w:rPr>
          <w:sz w:val="22"/>
        </w:rPr>
      </w:pPr>
      <w:r>
        <w:rPr>
          <w:sz w:val="22"/>
        </w:rPr>
        <w:t>Son muchos los factores clínicos y de estilo de vida que pueden causar o empeorar los síntomas, los</w:t>
      </w:r>
      <w:r>
        <w:rPr>
          <w:spacing w:val="-17"/>
          <w:sz w:val="22"/>
        </w:rPr>
        <w:t> </w:t>
      </w:r>
      <w:r>
        <w:rPr>
          <w:sz w:val="22"/>
        </w:rPr>
        <w:t>cuales</w:t>
      </w:r>
    </w:p>
    <w:p>
      <w:pPr>
        <w:spacing w:after="0" w:line="276" w:lineRule="auto"/>
        <w:jc w:val="both"/>
        <w:rPr>
          <w:sz w:val="22"/>
        </w:rPr>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59" w:lineRule="auto"/>
        <w:ind w:left="2148" w:right="880"/>
      </w:pPr>
      <w:r>
        <w:rPr/>
        <w:t>pueden ser modificados por intervenciones sencillas.</w:t>
      </w:r>
    </w:p>
    <w:p>
      <w:pPr>
        <w:pStyle w:val="ListParagraph"/>
        <w:numPr>
          <w:ilvl w:val="1"/>
          <w:numId w:val="6"/>
        </w:numPr>
        <w:tabs>
          <w:tab w:pos="2161" w:val="left" w:leader="none"/>
        </w:tabs>
        <w:spacing w:line="276" w:lineRule="auto" w:before="163" w:after="0"/>
        <w:ind w:left="2160" w:right="0" w:hanging="360"/>
        <w:jc w:val="both"/>
        <w:rPr>
          <w:rFonts w:ascii="Symbol" w:hAnsi="Symbol"/>
          <w:sz w:val="22"/>
        </w:rPr>
      </w:pPr>
      <w:r>
        <w:rPr>
          <w:sz w:val="22"/>
        </w:rPr>
        <w:t>Siempre preguntar sobre qué tan molestos son los síntomas y cómo afectan a </w:t>
      </w:r>
      <w:r>
        <w:rPr>
          <w:spacing w:val="-3"/>
          <w:sz w:val="22"/>
        </w:rPr>
        <w:t>la </w:t>
      </w:r>
      <w:r>
        <w:rPr>
          <w:sz w:val="22"/>
        </w:rPr>
        <w:t>calidad de vida del paciente, esto es importarte para considerar </w:t>
      </w:r>
      <w:r>
        <w:rPr>
          <w:spacing w:val="-3"/>
          <w:sz w:val="22"/>
        </w:rPr>
        <w:t>la </w:t>
      </w:r>
      <w:r>
        <w:rPr>
          <w:sz w:val="22"/>
        </w:rPr>
        <w:t>posibilidad de usar tratamiento</w:t>
      </w:r>
      <w:r>
        <w:rPr>
          <w:spacing w:val="-1"/>
          <w:sz w:val="22"/>
        </w:rPr>
        <w:t> </w:t>
      </w:r>
      <w:r>
        <w:rPr>
          <w:sz w:val="22"/>
        </w:rPr>
        <w:t>adicional.</w:t>
      </w:r>
    </w:p>
    <w:p>
      <w:pPr>
        <w:pStyle w:val="BodyText"/>
        <w:spacing w:before="10"/>
      </w:pPr>
      <w:r>
        <w:rPr/>
        <w:br w:type="column"/>
      </w:r>
      <w:r>
        <w:rPr/>
      </w:r>
    </w:p>
    <w:p>
      <w:pPr>
        <w:pStyle w:val="ListParagraph"/>
        <w:numPr>
          <w:ilvl w:val="0"/>
          <w:numId w:val="6"/>
        </w:numPr>
        <w:tabs>
          <w:tab w:pos="1401" w:val="left" w:leader="none"/>
        </w:tabs>
        <w:spacing w:line="276" w:lineRule="auto" w:before="0" w:after="0"/>
        <w:ind w:left="1400" w:right="1432" w:hanging="361"/>
        <w:jc w:val="both"/>
        <w:rPr>
          <w:sz w:val="22"/>
        </w:rPr>
      </w:pPr>
      <w:r>
        <w:rPr>
          <w:sz w:val="22"/>
        </w:rPr>
        <w:t>La hiperplasia prostática benigna no aumenta el riesgo de cáncer de próstata, pero se asocia con mayores niveles de antígeno prostático</w:t>
      </w:r>
      <w:r>
        <w:rPr>
          <w:spacing w:val="-1"/>
          <w:sz w:val="22"/>
        </w:rPr>
        <w:t> </w:t>
      </w:r>
      <w:r>
        <w:rPr>
          <w:sz w:val="22"/>
        </w:rPr>
        <w:t>específico</w:t>
      </w:r>
    </w:p>
    <w:p>
      <w:pPr>
        <w:pStyle w:val="ListParagraph"/>
        <w:numPr>
          <w:ilvl w:val="0"/>
          <w:numId w:val="6"/>
        </w:numPr>
        <w:tabs>
          <w:tab w:pos="1401" w:val="left" w:leader="none"/>
        </w:tabs>
        <w:spacing w:line="273" w:lineRule="auto" w:before="0" w:after="0"/>
        <w:ind w:left="1400" w:right="1433" w:hanging="361"/>
        <w:jc w:val="both"/>
        <w:rPr>
          <w:sz w:val="22"/>
        </w:rPr>
      </w:pPr>
      <w:r>
        <w:rPr>
          <w:sz w:val="22"/>
        </w:rPr>
        <w:t>La mayoría de los hombres pueden ser evaluados y tratados por médicos de atención primaria según </w:t>
      </w:r>
      <w:r>
        <w:rPr>
          <w:spacing w:val="-3"/>
          <w:sz w:val="22"/>
        </w:rPr>
        <w:t>la </w:t>
      </w:r>
      <w:r>
        <w:rPr>
          <w:sz w:val="22"/>
        </w:rPr>
        <w:t>gravedad de los</w:t>
      </w:r>
      <w:r>
        <w:rPr>
          <w:spacing w:val="0"/>
          <w:sz w:val="22"/>
        </w:rPr>
        <w:t> </w:t>
      </w:r>
      <w:r>
        <w:rPr>
          <w:sz w:val="22"/>
        </w:rPr>
        <w:t>síntomas.</w:t>
      </w:r>
    </w:p>
    <w:p>
      <w:pPr>
        <w:spacing w:after="0" w:line="273" w:lineRule="auto"/>
        <w:jc w:val="both"/>
        <w:rPr>
          <w:sz w:val="22"/>
        </w:rPr>
        <w:sectPr>
          <w:type w:val="continuous"/>
          <w:pgSz w:w="12240" w:h="15840"/>
          <w:pgMar w:top="1500" w:bottom="0" w:left="0" w:right="0"/>
          <w:cols w:num="2" w:equalWidth="0">
            <w:col w:w="5763" w:space="40"/>
            <w:col w:w="6437"/>
          </w:cols>
        </w:sectPr>
      </w:pPr>
    </w:p>
    <w:p>
      <w:pPr>
        <w:pStyle w:val="BodyText"/>
        <w:spacing w:before="1"/>
        <w:rPr>
          <w:sz w:val="15"/>
        </w:rPr>
      </w:pPr>
    </w:p>
    <w:p>
      <w:pPr>
        <w:tabs>
          <w:tab w:pos="6857" w:val="left" w:leader="none"/>
        </w:tabs>
        <w:spacing w:before="94"/>
        <w:ind w:left="1440" w:right="0" w:firstLine="0"/>
        <w:jc w:val="left"/>
        <w:rPr>
          <w:sz w:val="20"/>
        </w:rPr>
      </w:pPr>
      <w:r>
        <w:rPr>
          <w:sz w:val="20"/>
        </w:rPr>
        <w:t>Recepción: 10 Noviembre</w:t>
      </w:r>
      <w:r>
        <w:rPr>
          <w:spacing w:val="-2"/>
          <w:sz w:val="20"/>
        </w:rPr>
        <w:t> </w:t>
      </w:r>
      <w:r>
        <w:rPr>
          <w:sz w:val="20"/>
        </w:rPr>
        <w:t>de</w:t>
      </w:r>
      <w:r>
        <w:rPr>
          <w:spacing w:val="-2"/>
          <w:sz w:val="20"/>
        </w:rPr>
        <w:t> </w:t>
      </w:r>
      <w:r>
        <w:rPr>
          <w:sz w:val="20"/>
        </w:rPr>
        <w:t>2015</w:t>
        <w:tab/>
        <w:t>Aprobación: 7 Diciembre de</w:t>
      </w:r>
      <w:r>
        <w:rPr>
          <w:spacing w:val="0"/>
          <w:sz w:val="20"/>
        </w:rPr>
        <w:t> </w:t>
      </w:r>
      <w:r>
        <w:rPr>
          <w:sz w:val="20"/>
        </w:rPr>
        <w:t>2015</w:t>
      </w:r>
    </w:p>
    <w:p>
      <w:pPr>
        <w:pStyle w:val="BodyText"/>
      </w:pPr>
    </w:p>
    <w:p>
      <w:pPr>
        <w:pStyle w:val="BodyText"/>
        <w:spacing w:before="6"/>
        <w:rPr>
          <w:sz w:val="29"/>
        </w:rPr>
      </w:pPr>
    </w:p>
    <w:p>
      <w:pPr>
        <w:pStyle w:val="Heading3"/>
        <w:ind w:left="1440"/>
      </w:pPr>
      <w:r>
        <w:rPr/>
        <w:t>BIBLIOGRAFÍA</w:t>
      </w:r>
    </w:p>
    <w:p>
      <w:pPr>
        <w:pStyle w:val="ListParagraph"/>
        <w:numPr>
          <w:ilvl w:val="1"/>
          <w:numId w:val="6"/>
        </w:numPr>
        <w:tabs>
          <w:tab w:pos="2420" w:val="left" w:leader="none"/>
          <w:tab w:pos="2421" w:val="left" w:leader="none"/>
        </w:tabs>
        <w:spacing w:line="273" w:lineRule="auto" w:before="203" w:after="0"/>
        <w:ind w:left="2421" w:right="1738" w:hanging="361"/>
        <w:jc w:val="left"/>
        <w:rPr>
          <w:rFonts w:ascii="Symbol"/>
          <w:sz w:val="20"/>
        </w:rPr>
      </w:pPr>
      <w:r>
        <w:rPr>
          <w:sz w:val="20"/>
        </w:rPr>
        <w:t>Brown CT1, O'Flynn E, Van Der Meulen J, Newman S, Mundy AR, Emberton M. (enero de 2003). PubMed. Re do el 31 de octubre de 2014, de </w:t>
      </w:r>
      <w:hyperlink r:id="rId40">
        <w:r>
          <w:rPr>
            <w:sz w:val="20"/>
          </w:rPr>
          <w:t>http://www.ncbi.nlm.nih.gov:</w:t>
        </w:r>
      </w:hyperlink>
      <w:hyperlink r:id="rId41">
        <w:r>
          <w:rPr>
            <w:sz w:val="20"/>
          </w:rPr>
          <w:t> </w:t>
        </w:r>
        <w:r>
          <w:rPr>
            <w:spacing w:val="-1"/>
            <w:sz w:val="20"/>
          </w:rPr>
          <w:t>http://www.ncbi.nlm.nih.gov/pubmed/12614245?itool=EntrezSystem2.PEntrez.Pubmed.Pub</w:t>
        </w:r>
      </w:hyperlink>
      <w:r>
        <w:rPr>
          <w:spacing w:val="-1"/>
          <w:sz w:val="20"/>
        </w:rPr>
        <w:t> </w:t>
      </w:r>
      <w:r>
        <w:rPr>
          <w:sz w:val="20"/>
        </w:rPr>
        <w:t>med_ResultsPanel.Pubmed_RVDocSum&amp;ordinalpos=1</w:t>
      </w:r>
    </w:p>
    <w:p>
      <w:pPr>
        <w:pStyle w:val="ListParagraph"/>
        <w:numPr>
          <w:ilvl w:val="1"/>
          <w:numId w:val="6"/>
        </w:numPr>
        <w:tabs>
          <w:tab w:pos="2420" w:val="left" w:leader="none"/>
          <w:tab w:pos="2421" w:val="left" w:leader="none"/>
        </w:tabs>
        <w:spacing w:line="276" w:lineRule="auto" w:before="1" w:after="0"/>
        <w:ind w:left="2421" w:right="1778" w:hanging="361"/>
        <w:jc w:val="left"/>
        <w:rPr>
          <w:rFonts w:ascii="Symbol" w:hAnsi="Symbol"/>
          <w:sz w:val="20"/>
        </w:rPr>
      </w:pPr>
      <w:r>
        <w:rPr>
          <w:sz w:val="20"/>
        </w:rPr>
        <w:t>CENETEC, Centro Nacional de Excelencia tecnologica en Salud. (2009). Guia Diagnóstico y tratamiento de Hiperplasia Prostática Benigna. Centro Nacional de Excelencia tecnologica en</w:t>
      </w:r>
      <w:r>
        <w:rPr>
          <w:spacing w:val="-1"/>
          <w:sz w:val="20"/>
        </w:rPr>
        <w:t> </w:t>
      </w:r>
      <w:r>
        <w:rPr>
          <w:sz w:val="20"/>
        </w:rPr>
        <w:t>Salud.</w:t>
      </w:r>
    </w:p>
    <w:p>
      <w:pPr>
        <w:pStyle w:val="ListParagraph"/>
        <w:numPr>
          <w:ilvl w:val="1"/>
          <w:numId w:val="6"/>
        </w:numPr>
        <w:tabs>
          <w:tab w:pos="2420" w:val="left" w:leader="none"/>
          <w:tab w:pos="2421" w:val="left" w:leader="none"/>
        </w:tabs>
        <w:spacing w:line="276" w:lineRule="auto" w:before="0" w:after="0"/>
        <w:ind w:left="2421" w:right="2342" w:hanging="361"/>
        <w:jc w:val="left"/>
        <w:rPr>
          <w:rFonts w:ascii="Symbol"/>
          <w:sz w:val="20"/>
        </w:rPr>
      </w:pPr>
      <w:r>
        <w:rPr>
          <w:sz w:val="20"/>
        </w:rPr>
        <w:t>ChicharroMolero, B.-R. R.-C.-S.-C.-V. (marzo de 1998). PubMed. (U. N. Health, Ed.) Recuperado el 30 de octubre de 2014,</w:t>
      </w:r>
      <w:r>
        <w:rPr>
          <w:spacing w:val="-2"/>
          <w:sz w:val="20"/>
        </w:rPr>
        <w:t> </w:t>
      </w:r>
      <w:r>
        <w:rPr>
          <w:sz w:val="20"/>
        </w:rPr>
        <w:t>de</w:t>
      </w:r>
    </w:p>
    <w:p>
      <w:pPr>
        <w:pStyle w:val="ListParagraph"/>
        <w:numPr>
          <w:ilvl w:val="1"/>
          <w:numId w:val="6"/>
        </w:numPr>
        <w:tabs>
          <w:tab w:pos="2420" w:val="left" w:leader="none"/>
          <w:tab w:pos="2421" w:val="left" w:leader="none"/>
        </w:tabs>
        <w:spacing w:line="273" w:lineRule="auto" w:before="0" w:after="0"/>
        <w:ind w:left="2421" w:right="1738" w:hanging="361"/>
        <w:jc w:val="left"/>
        <w:rPr>
          <w:rFonts w:ascii="Symbol"/>
          <w:sz w:val="20"/>
        </w:rPr>
      </w:pPr>
      <w:r>
        <w:rPr>
          <w:sz w:val="20"/>
        </w:rPr>
        <w:t>Brown CT1, O'Flynn E, Van Der Meulen J, Newman S, Mundy AR, Emberton M. (enero de 2003). PubMed. Re do el 31 de octubre de 2014, de </w:t>
      </w:r>
      <w:hyperlink r:id="rId40">
        <w:r>
          <w:rPr>
            <w:sz w:val="20"/>
          </w:rPr>
          <w:t>http://www.ncbi.nlm.nih.gov:</w:t>
        </w:r>
      </w:hyperlink>
      <w:hyperlink r:id="rId41">
        <w:r>
          <w:rPr>
            <w:sz w:val="20"/>
          </w:rPr>
          <w:t> </w:t>
        </w:r>
        <w:r>
          <w:rPr>
            <w:spacing w:val="-1"/>
            <w:sz w:val="20"/>
          </w:rPr>
          <w:t>http://www.ncbi.nlm.nih.gov/pubmed/12614245?itool=EntrezSystem2.PEntrez.Pubmed.Pub</w:t>
        </w:r>
      </w:hyperlink>
      <w:r>
        <w:rPr>
          <w:spacing w:val="-1"/>
          <w:sz w:val="20"/>
        </w:rPr>
        <w:t> </w:t>
      </w:r>
      <w:r>
        <w:rPr>
          <w:sz w:val="20"/>
        </w:rPr>
        <w:t>med_ResultsPanel.Pubmed_RVDocSum&amp;ordinalpos=1</w:t>
      </w:r>
    </w:p>
    <w:p>
      <w:pPr>
        <w:pStyle w:val="ListParagraph"/>
        <w:numPr>
          <w:ilvl w:val="1"/>
          <w:numId w:val="6"/>
        </w:numPr>
        <w:tabs>
          <w:tab w:pos="2420" w:val="left" w:leader="none"/>
          <w:tab w:pos="2421" w:val="left" w:leader="none"/>
        </w:tabs>
        <w:spacing w:line="273" w:lineRule="auto" w:before="5" w:after="0"/>
        <w:ind w:left="2421" w:right="1785" w:hanging="361"/>
        <w:jc w:val="left"/>
        <w:rPr>
          <w:rFonts w:ascii="Symbol" w:hAnsi="Symbol"/>
          <w:sz w:val="20"/>
        </w:rPr>
      </w:pPr>
      <w:r>
        <w:rPr>
          <w:sz w:val="20"/>
        </w:rPr>
        <w:t>CENETEC, Centro Nacional de Excelencia tecnologica en Salud. (2009). Guia</w:t>
      </w:r>
      <w:r>
        <w:rPr>
          <w:spacing w:val="-32"/>
          <w:sz w:val="20"/>
        </w:rPr>
        <w:t> </w:t>
      </w:r>
      <w:r>
        <w:rPr>
          <w:sz w:val="20"/>
        </w:rPr>
        <w:t>Diagnóstico y tratamiento de Hiperplasia Prostática Benigna. Centro Nacional de Excelencia tecnologica en</w:t>
      </w:r>
      <w:r>
        <w:rPr>
          <w:spacing w:val="-1"/>
          <w:sz w:val="20"/>
        </w:rPr>
        <w:t> </w:t>
      </w:r>
      <w:r>
        <w:rPr>
          <w:sz w:val="20"/>
        </w:rPr>
        <w:t>Salud.</w:t>
      </w:r>
    </w:p>
    <w:p>
      <w:pPr>
        <w:pStyle w:val="ListParagraph"/>
        <w:numPr>
          <w:ilvl w:val="1"/>
          <w:numId w:val="6"/>
        </w:numPr>
        <w:tabs>
          <w:tab w:pos="2420" w:val="left" w:leader="none"/>
          <w:tab w:pos="2421" w:val="left" w:leader="none"/>
        </w:tabs>
        <w:spacing w:line="276" w:lineRule="auto" w:before="0" w:after="0"/>
        <w:ind w:left="2421" w:right="1850" w:hanging="361"/>
        <w:jc w:val="left"/>
        <w:rPr>
          <w:rFonts w:ascii="Symbol"/>
          <w:sz w:val="20"/>
        </w:rPr>
      </w:pPr>
      <w:r>
        <w:rPr>
          <w:sz w:val="20"/>
        </w:rPr>
        <w:t>ChicharroMolero, B.-R. R.-C.-S.-C.-V. (marzo de 1998). PubMed. (U. N. Health, Ed.) Recuperado el 30 de octubre de 2014, de</w:t>
      </w:r>
      <w:hyperlink r:id="rId42">
        <w:r>
          <w:rPr>
            <w:sz w:val="20"/>
          </w:rPr>
          <w:t> </w:t>
        </w:r>
        <w:r>
          <w:rPr>
            <w:spacing w:val="-1"/>
            <w:sz w:val="20"/>
          </w:rPr>
          <w:t>http://www.ncbi.nlm.nih.gov/pubmed/9474174?itool=EntrezSystem2.PEntrez.Pubmed.Pub</w:t>
        </w:r>
      </w:hyperlink>
      <w:r>
        <w:rPr>
          <w:spacing w:val="-1"/>
          <w:sz w:val="20"/>
        </w:rPr>
        <w:t> </w:t>
      </w:r>
      <w:r>
        <w:rPr>
          <w:sz w:val="20"/>
        </w:rPr>
        <w:t>med_ResultsPanel.Pubmed_RVDocSum&amp;ordinalpos=2</w:t>
      </w:r>
    </w:p>
    <w:p>
      <w:pPr>
        <w:pStyle w:val="ListParagraph"/>
        <w:numPr>
          <w:ilvl w:val="1"/>
          <w:numId w:val="6"/>
        </w:numPr>
        <w:tabs>
          <w:tab w:pos="2420" w:val="left" w:leader="none"/>
          <w:tab w:pos="2421" w:val="left" w:leader="none"/>
        </w:tabs>
        <w:spacing w:line="276" w:lineRule="auto" w:before="0" w:after="0"/>
        <w:ind w:left="2421" w:right="1738" w:hanging="361"/>
        <w:jc w:val="left"/>
        <w:rPr>
          <w:rFonts w:ascii="Symbol"/>
          <w:sz w:val="20"/>
        </w:rPr>
      </w:pPr>
      <w:r>
        <w:rPr>
          <w:sz w:val="20"/>
        </w:rPr>
        <w:t>Loeb S1, Han M, Roehl KA, Antenor JA, Catalona WJ. (enero de 2005). PubMed. Recuperado el octubre de 2014, de </w:t>
      </w:r>
      <w:hyperlink r:id="rId43">
        <w:r>
          <w:rPr>
            <w:sz w:val="20"/>
          </w:rPr>
          <w:t>http://www.ncbi.nlm.nih.go:</w:t>
        </w:r>
      </w:hyperlink>
      <w:hyperlink r:id="rId44">
        <w:r>
          <w:rPr>
            <w:sz w:val="20"/>
          </w:rPr>
          <w:t> </w:t>
        </w:r>
        <w:r>
          <w:rPr>
            <w:spacing w:val="-1"/>
            <w:sz w:val="20"/>
          </w:rPr>
          <w:t>http://www.ncbi.nlm.nih.gov/pubmed/15592029?itool=EntrezSystem2.PEntrez.Pubmed.Pub</w:t>
        </w:r>
      </w:hyperlink>
      <w:r>
        <w:rPr>
          <w:spacing w:val="-1"/>
          <w:sz w:val="20"/>
        </w:rPr>
        <w:t> </w:t>
      </w:r>
      <w:r>
        <w:rPr>
          <w:sz w:val="20"/>
        </w:rPr>
        <w:t>med_ResultsPanel.Pubmed_RVDocSum&amp;ordinalpos=9</w:t>
      </w:r>
    </w:p>
    <w:p>
      <w:pPr>
        <w:pStyle w:val="ListParagraph"/>
        <w:numPr>
          <w:ilvl w:val="1"/>
          <w:numId w:val="6"/>
        </w:numPr>
        <w:tabs>
          <w:tab w:pos="2420" w:val="left" w:leader="none"/>
          <w:tab w:pos="2421" w:val="left" w:leader="none"/>
        </w:tabs>
        <w:spacing w:line="276" w:lineRule="auto" w:before="0" w:after="0"/>
        <w:ind w:left="2421" w:right="2118" w:hanging="361"/>
        <w:jc w:val="left"/>
        <w:rPr>
          <w:rFonts w:ascii="Symbol"/>
          <w:sz w:val="20"/>
        </w:rPr>
      </w:pPr>
      <w:r>
        <w:rPr>
          <w:sz w:val="20"/>
        </w:rPr>
        <w:t>Ministry of health new zealand. (2008). </w:t>
      </w:r>
      <w:hyperlink r:id="rId45">
        <w:r>
          <w:rPr>
            <w:sz w:val="20"/>
          </w:rPr>
          <w:t>http://www.health.govt.nz. </w:t>
        </w:r>
      </w:hyperlink>
      <w:r>
        <w:rPr>
          <w:sz w:val="20"/>
        </w:rPr>
        <w:t>Recuperado el 30 de Octubre de 2014,</w:t>
      </w:r>
      <w:r>
        <w:rPr>
          <w:spacing w:val="-1"/>
          <w:sz w:val="20"/>
        </w:rPr>
        <w:t> </w:t>
      </w:r>
      <w:r>
        <w:rPr>
          <w:sz w:val="20"/>
        </w:rPr>
        <w:t>de</w:t>
      </w:r>
    </w:p>
    <w:p>
      <w:pPr>
        <w:pStyle w:val="ListParagraph"/>
        <w:numPr>
          <w:ilvl w:val="1"/>
          <w:numId w:val="6"/>
        </w:numPr>
        <w:tabs>
          <w:tab w:pos="2420" w:val="left" w:leader="none"/>
          <w:tab w:pos="2421" w:val="left" w:leader="none"/>
        </w:tabs>
        <w:spacing w:line="271" w:lineRule="auto" w:before="0" w:after="0"/>
        <w:ind w:left="2421" w:right="1776" w:hanging="361"/>
        <w:jc w:val="left"/>
        <w:rPr>
          <w:rFonts w:ascii="Symbol"/>
          <w:sz w:val="20"/>
        </w:rPr>
      </w:pPr>
      <w:hyperlink r:id="rId46">
        <w:r>
          <w:rPr>
            <w:spacing w:val="-1"/>
            <w:sz w:val="20"/>
          </w:rPr>
          <w:t>http://www.health.govt.nz/system/files/documents/publications/prostate_practitioner_show_</w:t>
        </w:r>
      </w:hyperlink>
      <w:r>
        <w:rPr>
          <w:spacing w:val="-1"/>
          <w:sz w:val="20"/>
        </w:rPr>
        <w:t> </w:t>
      </w:r>
      <w:r>
        <w:rPr>
          <w:sz w:val="20"/>
        </w:rPr>
        <w:t>card.pdf</w:t>
      </w:r>
    </w:p>
    <w:p>
      <w:pPr>
        <w:pStyle w:val="ListParagraph"/>
        <w:numPr>
          <w:ilvl w:val="1"/>
          <w:numId w:val="6"/>
        </w:numPr>
        <w:tabs>
          <w:tab w:pos="2420" w:val="left" w:leader="none"/>
          <w:tab w:pos="2421" w:val="left" w:leader="none"/>
        </w:tabs>
        <w:spacing w:line="276" w:lineRule="auto" w:before="4" w:after="0"/>
        <w:ind w:left="2421" w:right="2066" w:hanging="361"/>
        <w:jc w:val="left"/>
        <w:rPr>
          <w:rFonts w:ascii="Symbol"/>
          <w:sz w:val="20"/>
        </w:rPr>
      </w:pPr>
      <w:r>
        <w:rPr>
          <w:sz w:val="20"/>
        </w:rPr>
        <w:t>Patrick C. Walsh and J. Farrar Worthington. (2007). Guide to Surviving Prostate Cancer (second edition</w:t>
      </w:r>
      <w:r>
        <w:rPr>
          <w:spacing w:val="-1"/>
          <w:sz w:val="20"/>
        </w:rPr>
        <w:t> </w:t>
      </w:r>
      <w:r>
        <w:rPr>
          <w:sz w:val="20"/>
        </w:rPr>
        <w:t>ed.).</w:t>
      </w:r>
    </w:p>
    <w:p>
      <w:pPr>
        <w:pStyle w:val="ListParagraph"/>
        <w:numPr>
          <w:ilvl w:val="1"/>
          <w:numId w:val="6"/>
        </w:numPr>
        <w:tabs>
          <w:tab w:pos="2420" w:val="left" w:leader="none"/>
          <w:tab w:pos="2421" w:val="left" w:leader="none"/>
        </w:tabs>
        <w:spacing w:line="271" w:lineRule="auto" w:before="0" w:after="0"/>
        <w:ind w:left="2421" w:right="1803" w:hanging="361"/>
        <w:jc w:val="left"/>
        <w:rPr>
          <w:rFonts w:ascii="Symbol"/>
          <w:sz w:val="20"/>
        </w:rPr>
      </w:pPr>
      <w:r>
        <w:rPr>
          <w:sz w:val="20"/>
        </w:rPr>
        <w:t>PFC, Prostate Cancer fundation. (s.f.). </w:t>
      </w:r>
      <w:hyperlink r:id="rId47">
        <w:r>
          <w:rPr>
            <w:sz w:val="20"/>
          </w:rPr>
          <w:t>http://www.pcf.org. </w:t>
        </w:r>
      </w:hyperlink>
      <w:r>
        <w:rPr>
          <w:sz w:val="20"/>
        </w:rPr>
        <w:t>Recuperado el 20 de</w:t>
      </w:r>
      <w:r>
        <w:rPr>
          <w:spacing w:val="-27"/>
          <w:sz w:val="20"/>
        </w:rPr>
        <w:t> </w:t>
      </w:r>
      <w:r>
        <w:rPr>
          <w:sz w:val="20"/>
        </w:rPr>
        <w:t>noviembre de 2014,</w:t>
      </w:r>
      <w:r>
        <w:rPr>
          <w:spacing w:val="-4"/>
          <w:sz w:val="20"/>
        </w:rPr>
        <w:t> </w:t>
      </w:r>
      <w:r>
        <w:rPr>
          <w:sz w:val="20"/>
        </w:rPr>
        <w:t>de</w:t>
      </w:r>
    </w:p>
    <w:p>
      <w:pPr>
        <w:spacing w:after="0" w:line="271" w:lineRule="auto"/>
        <w:jc w:val="left"/>
        <w:rPr>
          <w:rFonts w:ascii="Symbol"/>
          <w:sz w:val="20"/>
        </w:rPr>
        <w:sectPr>
          <w:type w:val="continuous"/>
          <w:pgSz w:w="12240" w:h="15840"/>
          <w:pgMar w:top="1500" w:bottom="0" w:left="0" w:right="0"/>
        </w:sectPr>
      </w:pPr>
    </w:p>
    <w:p>
      <w:pPr>
        <w:spacing w:line="276" w:lineRule="auto" w:before="73"/>
        <w:ind w:left="2421" w:right="1431" w:firstLine="0"/>
        <w:jc w:val="left"/>
        <w:rPr>
          <w:sz w:val="20"/>
        </w:rPr>
      </w:pPr>
      <w:hyperlink r:id="rId51">
        <w:r>
          <w:rPr>
            <w:sz w:val="20"/>
          </w:rPr>
          <w:t>http://www.pcf.org/site/c.leJRIROrEpH/b.8586063/k.FD0C/Hiperplasia_prost225tica_benign</w:t>
        </w:r>
      </w:hyperlink>
      <w:r>
        <w:rPr>
          <w:sz w:val="20"/>
        </w:rPr>
        <w:t> a_HPB.htm</w:t>
      </w:r>
    </w:p>
    <w:p>
      <w:pPr>
        <w:pStyle w:val="ListParagraph"/>
        <w:numPr>
          <w:ilvl w:val="1"/>
          <w:numId w:val="6"/>
        </w:numPr>
        <w:tabs>
          <w:tab w:pos="2420" w:val="left" w:leader="none"/>
          <w:tab w:pos="2421" w:val="left" w:leader="none"/>
        </w:tabs>
        <w:spacing w:line="276" w:lineRule="auto" w:before="0" w:after="0"/>
        <w:ind w:left="2421" w:right="1738" w:hanging="361"/>
        <w:jc w:val="left"/>
        <w:rPr>
          <w:rFonts w:ascii="Symbol"/>
          <w:sz w:val="20"/>
        </w:rPr>
      </w:pPr>
      <w:r>
        <w:rPr>
          <w:sz w:val="20"/>
        </w:rPr>
        <w:t>Spatafora S, Conti G, Perachino M, Casarico A, Mazzi G, Papagayo LP. (23 de julio de 2007). PubMed. (U. N. Health, Ed.) Recuperado el 16 de noviembre de 2014, de</w:t>
      </w:r>
      <w:hyperlink r:id="rId52">
        <w:r>
          <w:rPr>
            <w:sz w:val="20"/>
          </w:rPr>
          <w:t> </w:t>
        </w:r>
        <w:r>
          <w:rPr>
            <w:spacing w:val="-1"/>
            <w:sz w:val="20"/>
          </w:rPr>
          <w:t>http://www.ncbi.nlm.nih.gov/pubmed/17588302?itool=EntrezSystem2.PEntrez.Pubmed.Pub</w:t>
        </w:r>
      </w:hyperlink>
      <w:r>
        <w:rPr>
          <w:spacing w:val="-1"/>
          <w:sz w:val="20"/>
        </w:rPr>
        <w:t> </w:t>
      </w:r>
      <w:r>
        <w:rPr>
          <w:sz w:val="20"/>
        </w:rPr>
        <w:t>med_ResultsPanel.Pubmed_RVDocSum&amp;ordinalpos=1</w:t>
      </w:r>
    </w:p>
    <w:p>
      <w:pPr>
        <w:pStyle w:val="ListParagraph"/>
        <w:numPr>
          <w:ilvl w:val="1"/>
          <w:numId w:val="6"/>
        </w:numPr>
        <w:tabs>
          <w:tab w:pos="2420" w:val="left" w:leader="none"/>
          <w:tab w:pos="2421" w:val="left" w:leader="none"/>
        </w:tabs>
        <w:spacing w:line="276" w:lineRule="auto" w:before="0" w:after="0"/>
        <w:ind w:left="2421" w:right="1923" w:hanging="361"/>
        <w:jc w:val="left"/>
        <w:rPr>
          <w:rFonts w:ascii="Symbol"/>
          <w:sz w:val="20"/>
        </w:rPr>
      </w:pPr>
      <w:r>
        <w:rPr>
          <w:sz w:val="20"/>
        </w:rPr>
        <w:t>Timothy J Wilt. (17 de enero de 2008). </w:t>
      </w:r>
      <w:hyperlink r:id="rId53">
        <w:r>
          <w:rPr>
            <w:sz w:val="20"/>
          </w:rPr>
          <w:t>http://www.bmj.com. </w:t>
        </w:r>
      </w:hyperlink>
      <w:r>
        <w:rPr>
          <w:sz w:val="20"/>
        </w:rPr>
        <w:t>Recuperado el 30 de octubre de 2014, de</w:t>
      </w:r>
      <w:r>
        <w:rPr>
          <w:spacing w:val="-5"/>
          <w:sz w:val="20"/>
        </w:rPr>
        <w:t> </w:t>
      </w:r>
      <w:hyperlink r:id="rId54">
        <w:r>
          <w:rPr>
            <w:sz w:val="20"/>
          </w:rPr>
          <w:t>http://www.bmj.com/content/336/7636/146</w:t>
        </w:r>
      </w:hyperlink>
    </w:p>
    <w:p>
      <w:pPr>
        <w:pStyle w:val="ListParagraph"/>
        <w:numPr>
          <w:ilvl w:val="1"/>
          <w:numId w:val="6"/>
        </w:numPr>
        <w:tabs>
          <w:tab w:pos="2420" w:val="left" w:leader="none"/>
          <w:tab w:pos="2421" w:val="left" w:leader="none"/>
        </w:tabs>
        <w:spacing w:line="271" w:lineRule="auto" w:before="0" w:after="0"/>
        <w:ind w:left="2421" w:right="1856" w:hanging="361"/>
        <w:jc w:val="left"/>
        <w:rPr>
          <w:rFonts w:ascii="Symbol" w:hAnsi="Symbol"/>
          <w:sz w:val="20"/>
        </w:rPr>
      </w:pPr>
      <w:r>
        <w:rPr>
          <w:sz w:val="20"/>
        </w:rPr>
        <w:t>Timothy J Wilt, </w:t>
      </w:r>
      <w:r>
        <w:rPr>
          <w:spacing w:val="-3"/>
          <w:sz w:val="20"/>
        </w:rPr>
        <w:t>James </w:t>
      </w:r>
      <w:r>
        <w:rPr>
          <w:sz w:val="20"/>
        </w:rPr>
        <w:t>N’Dow. (24 de enero de 2008). </w:t>
      </w:r>
      <w:hyperlink r:id="rId53">
        <w:r>
          <w:rPr>
            <w:sz w:val="20"/>
          </w:rPr>
          <w:t>http://www.bmj.com. </w:t>
        </w:r>
      </w:hyperlink>
      <w:r>
        <w:rPr>
          <w:sz w:val="20"/>
        </w:rPr>
        <w:t>Recuperado el 31 de octubre de 2014, de</w:t>
      </w:r>
      <w:r>
        <w:rPr>
          <w:spacing w:val="-6"/>
          <w:sz w:val="20"/>
        </w:rPr>
        <w:t> </w:t>
      </w:r>
      <w:hyperlink r:id="rId55">
        <w:r>
          <w:rPr>
            <w:sz w:val="20"/>
          </w:rPr>
          <w:t>http://www.bmj.com/content/336/7637/206</w:t>
        </w:r>
      </w:hyperlink>
    </w:p>
    <w:p>
      <w:pPr>
        <w:pStyle w:val="ListParagraph"/>
        <w:numPr>
          <w:ilvl w:val="1"/>
          <w:numId w:val="6"/>
        </w:numPr>
        <w:tabs>
          <w:tab w:pos="2420" w:val="left" w:leader="none"/>
          <w:tab w:pos="2421" w:val="left" w:leader="none"/>
        </w:tabs>
        <w:spacing w:line="271" w:lineRule="auto" w:before="8" w:after="0"/>
        <w:ind w:left="2421" w:right="1738" w:hanging="361"/>
        <w:jc w:val="left"/>
        <w:rPr>
          <w:rFonts w:ascii="Symbol"/>
          <w:sz w:val="22"/>
        </w:rPr>
      </w:pPr>
      <w:r>
        <w:rPr>
          <w:sz w:val="20"/>
        </w:rPr>
        <w:t>Welch G1, Weinger K, Barry MJ. (febrero de 2002). PubMed. Recuperado el 30 de octubre de 2014, de</w:t>
      </w:r>
      <w:hyperlink r:id="rId56">
        <w:r>
          <w:rPr>
            <w:sz w:val="20"/>
          </w:rPr>
          <w:t> </w:t>
        </w:r>
        <w:r>
          <w:rPr>
            <w:spacing w:val="-1"/>
            <w:sz w:val="20"/>
          </w:rPr>
          <w:t>http://www.ncbi.nlm.nih.gov/pubmed/11834396?itool=EntrezSystem2.PEntrez.Pubmed.Pub</w:t>
        </w:r>
      </w:hyperlink>
      <w:r>
        <w:rPr>
          <w:spacing w:val="-1"/>
          <w:sz w:val="20"/>
        </w:rPr>
        <w:t> </w:t>
      </w:r>
      <w:r>
        <w:rPr>
          <w:sz w:val="20"/>
        </w:rPr>
        <w:t>med_ResultsPanel.Pubmed_RVDocSum&amp;ordinalpos=1Cupera</w:t>
      </w:r>
    </w:p>
    <w:p>
      <w:pPr>
        <w:spacing w:after="0" w:line="271" w:lineRule="auto"/>
        <w:jc w:val="left"/>
        <w:rPr>
          <w:rFonts w:ascii="Symbol"/>
          <w:sz w:val="22"/>
        </w:rPr>
        <w:sectPr>
          <w:headerReference w:type="default" r:id="rId48"/>
          <w:footerReference w:type="default" r:id="rId49"/>
          <w:footerReference w:type="even" r:id="rId50"/>
          <w:pgSz w:w="12240" w:h="15840"/>
          <w:pgMar w:header="0" w:footer="864" w:top="1340" w:bottom="1060" w:left="0" w:right="0"/>
          <w:pgNumType w:start="9"/>
        </w:sect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1"/>
        <w:gridCol w:w="7051"/>
      </w:tblGrid>
      <w:tr>
        <w:trPr>
          <w:trHeight w:val="572" w:hRule="atLeast"/>
        </w:trPr>
        <w:tc>
          <w:tcPr>
            <w:tcW w:w="2101" w:type="dxa"/>
          </w:tcPr>
          <w:p>
            <w:pPr>
              <w:pStyle w:val="TableParagraph"/>
              <w:rPr>
                <w:rFonts w:ascii="Times New Roman"/>
                <w:sz w:val="20"/>
              </w:rPr>
            </w:pPr>
          </w:p>
        </w:tc>
        <w:tc>
          <w:tcPr>
            <w:tcW w:w="7051" w:type="dxa"/>
          </w:tcPr>
          <w:p>
            <w:pPr>
              <w:pStyle w:val="TableParagraph"/>
              <w:spacing w:line="313" w:lineRule="exact"/>
              <w:ind w:left="1486" w:right="1495"/>
              <w:jc w:val="center"/>
              <w:rPr>
                <w:b/>
                <w:sz w:val="28"/>
              </w:rPr>
            </w:pPr>
            <w:r>
              <w:rPr>
                <w:b/>
                <w:sz w:val="28"/>
              </w:rPr>
              <w:t>ULCERA GASTRODUODENAL</w:t>
            </w:r>
          </w:p>
          <w:p>
            <w:pPr>
              <w:pStyle w:val="TableParagraph"/>
              <w:spacing w:line="233" w:lineRule="exact" w:before="6"/>
              <w:ind w:left="1486" w:right="1492"/>
              <w:jc w:val="center"/>
              <w:rPr>
                <w:sz w:val="22"/>
              </w:rPr>
            </w:pPr>
            <w:r>
              <w:rPr>
                <w:sz w:val="22"/>
              </w:rPr>
              <w:t>(</w:t>
            </w:r>
            <w:r>
              <w:rPr>
                <w:color w:val="212121"/>
                <w:sz w:val="20"/>
              </w:rPr>
              <w:t>PEPTIC ULCER DISEASE</w:t>
            </w:r>
            <w:r>
              <w:rPr>
                <w:sz w:val="22"/>
              </w:rPr>
              <w:t>)</w:t>
            </w:r>
          </w:p>
        </w:tc>
      </w:tr>
      <w:tr>
        <w:trPr>
          <w:trHeight w:val="797" w:hRule="atLeast"/>
        </w:trPr>
        <w:tc>
          <w:tcPr>
            <w:tcW w:w="2101" w:type="dxa"/>
          </w:tcPr>
          <w:p>
            <w:pPr>
              <w:pStyle w:val="TableParagraph"/>
              <w:spacing w:line="261" w:lineRule="auto"/>
              <w:ind w:left="210" w:right="126"/>
              <w:jc w:val="center"/>
              <w:rPr>
                <w:sz w:val="16"/>
              </w:rPr>
            </w:pPr>
            <w:r>
              <w:rPr>
                <w:sz w:val="16"/>
              </w:rPr>
              <w:t>Revista Médica Sinergia ISSN 2215-4523</w:t>
            </w:r>
          </w:p>
          <w:p>
            <w:pPr>
              <w:pStyle w:val="TableParagraph"/>
              <w:spacing w:line="180" w:lineRule="exact" w:before="5"/>
              <w:ind w:left="210" w:right="123"/>
              <w:jc w:val="center"/>
              <w:rPr>
                <w:sz w:val="16"/>
              </w:rPr>
            </w:pPr>
            <w:r>
              <w:rPr>
                <w:sz w:val="16"/>
              </w:rPr>
              <w:t>Vol.1 Num:7</w:t>
            </w:r>
          </w:p>
          <w:p>
            <w:pPr>
              <w:pStyle w:val="TableParagraph"/>
              <w:spacing w:before="16"/>
              <w:ind w:left="210" w:right="123"/>
              <w:jc w:val="center"/>
              <w:rPr>
                <w:sz w:val="16"/>
              </w:rPr>
            </w:pPr>
            <w:r>
              <w:rPr>
                <w:sz w:val="16"/>
              </w:rPr>
              <w:t>Julio 2016 pp:10- 13</w:t>
            </w:r>
          </w:p>
        </w:tc>
        <w:tc>
          <w:tcPr>
            <w:tcW w:w="7051" w:type="dxa"/>
          </w:tcPr>
          <w:p>
            <w:pPr>
              <w:pStyle w:val="TableParagraph"/>
              <w:spacing w:before="3"/>
              <w:rPr>
                <w:sz w:val="25"/>
              </w:rPr>
            </w:pPr>
          </w:p>
          <w:p>
            <w:pPr>
              <w:pStyle w:val="TableParagraph"/>
              <w:ind w:right="106"/>
              <w:jc w:val="right"/>
              <w:rPr>
                <w:sz w:val="22"/>
              </w:rPr>
            </w:pPr>
            <w:r>
              <w:rPr>
                <w:sz w:val="22"/>
              </w:rPr>
              <w:t>* Rocío Arias Silva</w:t>
            </w:r>
          </w:p>
        </w:tc>
      </w:tr>
      <w:tr>
        <w:trPr>
          <w:trHeight w:val="10967" w:hRule="atLeast"/>
        </w:trPr>
        <w:tc>
          <w:tcPr>
            <w:tcW w:w="2101"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0"/>
              </w:rPr>
            </w:pPr>
          </w:p>
          <w:p>
            <w:pPr>
              <w:pStyle w:val="TableParagraph"/>
              <w:spacing w:line="259" w:lineRule="auto"/>
              <w:ind w:left="200" w:right="129"/>
              <w:rPr>
                <w:sz w:val="16"/>
              </w:rPr>
            </w:pPr>
            <w:r>
              <w:rPr>
                <w:sz w:val="16"/>
              </w:rPr>
              <w:t>*Médico General. Universidad de Ciencias Médicas (UCIMED). San</w:t>
            </w:r>
          </w:p>
          <w:p>
            <w:pPr>
              <w:pStyle w:val="TableParagraph"/>
              <w:spacing w:line="182" w:lineRule="exact" w:before="1"/>
              <w:ind w:left="200"/>
              <w:rPr>
                <w:sz w:val="16"/>
              </w:rPr>
            </w:pPr>
            <w:r>
              <w:rPr>
                <w:sz w:val="16"/>
              </w:rPr>
              <w:t>José- Costa Rica.</w:t>
            </w:r>
          </w:p>
        </w:tc>
        <w:tc>
          <w:tcPr>
            <w:tcW w:w="7051" w:type="dxa"/>
            <w:shd w:val="clear" w:color="auto" w:fill="D4E2FF"/>
          </w:tcPr>
          <w:p>
            <w:pPr>
              <w:pStyle w:val="TableParagraph"/>
              <w:spacing w:line="251" w:lineRule="exact"/>
              <w:ind w:left="107"/>
              <w:jc w:val="both"/>
              <w:rPr>
                <w:sz w:val="22"/>
              </w:rPr>
            </w:pPr>
            <w:r>
              <w:rPr>
                <w:sz w:val="22"/>
              </w:rPr>
              <w:t>RESUMEN</w:t>
            </w:r>
          </w:p>
          <w:p>
            <w:pPr>
              <w:pStyle w:val="TableParagraph"/>
              <w:spacing w:line="276" w:lineRule="auto" w:before="35"/>
              <w:ind w:left="107" w:right="117"/>
              <w:jc w:val="both"/>
              <w:rPr>
                <w:sz w:val="22"/>
              </w:rPr>
            </w:pPr>
            <w:r>
              <w:rPr>
                <w:sz w:val="22"/>
              </w:rPr>
              <w:t>Ulcera péptica es uno de los problemas de salud pública a nivel mundial.</w:t>
            </w:r>
          </w:p>
          <w:p>
            <w:pPr>
              <w:pStyle w:val="TableParagraph"/>
              <w:spacing w:line="276" w:lineRule="auto" w:before="2"/>
              <w:ind w:left="107" w:right="117"/>
              <w:jc w:val="both"/>
              <w:rPr>
                <w:sz w:val="22"/>
              </w:rPr>
            </w:pPr>
            <w:r>
              <w:rPr>
                <w:sz w:val="22"/>
              </w:rPr>
              <w:t>Su fisiopatología es compleja y multifactorial. Aproximadamente el 85% se deben a la bacteria H. pylori. El desarrollo de la enfermedad es representado por un desbalance entre daño crónico inflamatorio, secreción ácido y defensa de la mucosa.</w:t>
            </w:r>
          </w:p>
          <w:p>
            <w:pPr>
              <w:pStyle w:val="TableParagraph"/>
              <w:spacing w:line="276" w:lineRule="auto" w:before="2"/>
              <w:ind w:left="107" w:right="110"/>
              <w:jc w:val="both"/>
              <w:rPr>
                <w:sz w:val="22"/>
              </w:rPr>
            </w:pPr>
            <w:r>
              <w:rPr>
                <w:sz w:val="22"/>
              </w:rPr>
              <w:t>El síntoma pivote es el dolor epigástrico descrito como quemante, inclusive en ocasiones como una estaca. La mayoría de pacientes refiere que es peor en horas de </w:t>
            </w:r>
            <w:r>
              <w:rPr>
                <w:spacing w:val="-3"/>
                <w:sz w:val="22"/>
              </w:rPr>
              <w:t>la </w:t>
            </w:r>
            <w:r>
              <w:rPr>
                <w:sz w:val="22"/>
              </w:rPr>
              <w:t>mañana que mejora con antiácidos.</w:t>
            </w:r>
          </w:p>
          <w:p>
            <w:pPr>
              <w:pStyle w:val="TableParagraph"/>
              <w:spacing w:line="276" w:lineRule="auto" w:before="1"/>
              <w:ind w:left="107" w:right="117"/>
              <w:jc w:val="both"/>
              <w:rPr>
                <w:sz w:val="22"/>
              </w:rPr>
            </w:pPr>
            <w:r>
              <w:rPr>
                <w:sz w:val="22"/>
              </w:rPr>
              <w:t>La evaluación de los pacientes con sospecha de úlcera péptica por lo general implica la endoscopia, que es el método a elección para el diagnóstico.</w:t>
            </w:r>
          </w:p>
          <w:p>
            <w:pPr>
              <w:pStyle w:val="TableParagraph"/>
              <w:spacing w:line="276" w:lineRule="auto" w:before="2"/>
              <w:ind w:left="107" w:right="108"/>
              <w:jc w:val="both"/>
              <w:rPr>
                <w:sz w:val="22"/>
              </w:rPr>
            </w:pPr>
            <w:r>
              <w:rPr>
                <w:sz w:val="22"/>
              </w:rPr>
              <w:t>El tratamiento actual en caso de ulcera péptica involucra una combinación de un fármaco inhibidor de la bomba de protones con antibióticos.</w:t>
            </w:r>
          </w:p>
          <w:p>
            <w:pPr>
              <w:pStyle w:val="TableParagraph"/>
              <w:spacing w:before="6"/>
              <w:rPr>
                <w:sz w:val="25"/>
              </w:rPr>
            </w:pPr>
          </w:p>
          <w:p>
            <w:pPr>
              <w:pStyle w:val="TableParagraph"/>
              <w:ind w:left="107"/>
              <w:jc w:val="both"/>
              <w:rPr>
                <w:sz w:val="22"/>
              </w:rPr>
            </w:pPr>
            <w:r>
              <w:rPr>
                <w:sz w:val="22"/>
              </w:rPr>
              <w:t>DESCRIPTORES</w:t>
            </w:r>
          </w:p>
          <w:p>
            <w:pPr>
              <w:pStyle w:val="TableParagraph"/>
              <w:spacing w:line="276" w:lineRule="auto" w:before="34"/>
              <w:ind w:left="107"/>
              <w:rPr>
                <w:sz w:val="22"/>
              </w:rPr>
            </w:pPr>
            <w:r>
              <w:rPr>
                <w:sz w:val="22"/>
              </w:rPr>
              <w:t>Ulcera peptica, Helicobacter pylori, anti acidos, dolor epigastrico, endoscopia.</w:t>
            </w:r>
          </w:p>
          <w:p>
            <w:pPr>
              <w:pStyle w:val="TableParagraph"/>
              <w:spacing w:before="6"/>
              <w:rPr>
                <w:sz w:val="25"/>
              </w:rPr>
            </w:pPr>
          </w:p>
          <w:p>
            <w:pPr>
              <w:pStyle w:val="TableParagraph"/>
              <w:ind w:left="107"/>
              <w:jc w:val="both"/>
              <w:rPr>
                <w:sz w:val="22"/>
              </w:rPr>
            </w:pPr>
            <w:r>
              <w:rPr>
                <w:sz w:val="22"/>
              </w:rPr>
              <w:t>SUMMARY:</w:t>
            </w:r>
          </w:p>
          <w:p>
            <w:pPr>
              <w:pStyle w:val="TableParagraph"/>
              <w:spacing w:before="34"/>
              <w:ind w:left="107"/>
              <w:jc w:val="both"/>
              <w:rPr>
                <w:sz w:val="22"/>
              </w:rPr>
            </w:pPr>
            <w:r>
              <w:rPr>
                <w:sz w:val="22"/>
              </w:rPr>
              <w:t>Peptic ulcer is one of the public health problems worldwide.</w:t>
            </w:r>
          </w:p>
          <w:p>
            <w:pPr>
              <w:pStyle w:val="TableParagraph"/>
              <w:spacing w:before="3"/>
              <w:ind w:left="107" w:right="117"/>
              <w:jc w:val="both"/>
              <w:rPr>
                <w:sz w:val="22"/>
              </w:rPr>
            </w:pPr>
            <w:r>
              <w:rPr>
                <w:sz w:val="22"/>
              </w:rPr>
              <w:t>Its pathophysiology </w:t>
            </w:r>
            <w:r>
              <w:rPr>
                <w:spacing w:val="-3"/>
                <w:sz w:val="22"/>
              </w:rPr>
              <w:t>is </w:t>
            </w:r>
            <w:r>
              <w:rPr>
                <w:sz w:val="22"/>
              </w:rPr>
              <w:t>complex and multifactorial. Approximately 85% are due to H. pylori. The development of the disease </w:t>
            </w:r>
            <w:r>
              <w:rPr>
                <w:spacing w:val="-3"/>
                <w:sz w:val="22"/>
              </w:rPr>
              <w:t>is </w:t>
            </w:r>
            <w:r>
              <w:rPr>
                <w:sz w:val="22"/>
              </w:rPr>
              <w:t>represented by an imbalance between chronic inflammatory damage, acid secretion and mucosal</w:t>
            </w:r>
            <w:r>
              <w:rPr>
                <w:spacing w:val="-11"/>
                <w:sz w:val="22"/>
              </w:rPr>
              <w:t> </w:t>
            </w:r>
            <w:r>
              <w:rPr>
                <w:sz w:val="22"/>
              </w:rPr>
              <w:t>defense.</w:t>
            </w:r>
          </w:p>
          <w:p>
            <w:pPr>
              <w:pStyle w:val="TableParagraph"/>
              <w:spacing w:before="3"/>
              <w:ind w:left="107" w:right="109"/>
              <w:jc w:val="both"/>
              <w:rPr>
                <w:sz w:val="22"/>
              </w:rPr>
            </w:pPr>
            <w:r>
              <w:rPr>
                <w:sz w:val="22"/>
              </w:rPr>
              <w:t>The pivot symptom epigastric pain </w:t>
            </w:r>
            <w:r>
              <w:rPr>
                <w:spacing w:val="-3"/>
                <w:sz w:val="22"/>
              </w:rPr>
              <w:t>is </w:t>
            </w:r>
            <w:r>
              <w:rPr>
                <w:sz w:val="22"/>
              </w:rPr>
              <w:t>described as burning, sometimes even as a stake. Most patients report worse </w:t>
            </w:r>
            <w:r>
              <w:rPr>
                <w:spacing w:val="-3"/>
                <w:sz w:val="22"/>
              </w:rPr>
              <w:t>in  </w:t>
            </w:r>
            <w:r>
              <w:rPr>
                <w:sz w:val="22"/>
              </w:rPr>
              <w:t>the morning that gets better with</w:t>
            </w:r>
            <w:r>
              <w:rPr>
                <w:spacing w:val="-8"/>
                <w:sz w:val="22"/>
              </w:rPr>
              <w:t> </w:t>
            </w:r>
            <w:r>
              <w:rPr>
                <w:sz w:val="22"/>
              </w:rPr>
              <w:t>antacids.</w:t>
            </w:r>
          </w:p>
          <w:p>
            <w:pPr>
              <w:pStyle w:val="TableParagraph"/>
              <w:spacing w:line="242" w:lineRule="auto"/>
              <w:ind w:left="107" w:right="114"/>
              <w:jc w:val="both"/>
              <w:rPr>
                <w:sz w:val="22"/>
              </w:rPr>
            </w:pPr>
            <w:r>
              <w:rPr>
                <w:sz w:val="22"/>
              </w:rPr>
              <w:t>The evaluation of patients with suspected peptic ulcer usually involves endoscopy, which is the method of choice for diagnosis.</w:t>
            </w:r>
          </w:p>
          <w:p>
            <w:pPr>
              <w:pStyle w:val="TableParagraph"/>
              <w:spacing w:line="276" w:lineRule="auto"/>
              <w:ind w:left="107" w:right="118"/>
              <w:jc w:val="both"/>
              <w:rPr>
                <w:sz w:val="22"/>
              </w:rPr>
            </w:pPr>
            <w:r>
              <w:rPr>
                <w:sz w:val="22"/>
              </w:rPr>
              <w:t>Current treatment of peptic ulcer in case involves a combination of an inhibitory drug proton pump with antibiotics.</w:t>
            </w:r>
          </w:p>
          <w:p>
            <w:pPr>
              <w:pStyle w:val="TableParagraph"/>
              <w:spacing w:before="5"/>
              <w:rPr>
                <w:sz w:val="25"/>
              </w:rPr>
            </w:pPr>
          </w:p>
          <w:p>
            <w:pPr>
              <w:pStyle w:val="TableParagraph"/>
              <w:ind w:left="107"/>
              <w:jc w:val="both"/>
              <w:rPr>
                <w:sz w:val="22"/>
              </w:rPr>
            </w:pPr>
            <w:r>
              <w:rPr>
                <w:sz w:val="22"/>
              </w:rPr>
              <w:t>KEYWORDS</w:t>
            </w:r>
          </w:p>
          <w:p>
            <w:pPr>
              <w:pStyle w:val="TableParagraph"/>
              <w:spacing w:line="290" w:lineRule="atLeast" w:before="1"/>
              <w:ind w:left="107" w:right="113"/>
              <w:jc w:val="both"/>
              <w:rPr>
                <w:sz w:val="22"/>
              </w:rPr>
            </w:pPr>
            <w:r>
              <w:rPr>
                <w:sz w:val="22"/>
              </w:rPr>
              <w:t>Peptic ulcer, Helicobacter pylori, anti-acids, epigastric pain, endoscopy.</w:t>
            </w:r>
          </w:p>
        </w:tc>
      </w:tr>
    </w:tbl>
    <w:p>
      <w:pPr>
        <w:rPr>
          <w:sz w:val="2"/>
          <w:szCs w:val="2"/>
        </w:rPr>
      </w:pPr>
      <w:r>
        <w:rPr/>
        <w:pict>
          <v:group style="position:absolute;margin-left:36.650002pt;margin-top:735.320129pt;width:489.6pt;height:25.35pt;mso-position-horizontal-relative:page;mso-position-vertical-relative:page;z-index:-42760" coordorigin="733,14706" coordsize="9792,507">
            <v:rect style="position:absolute;left:733;top:14709;width:720;height:504" filled="true" fillcolor="#3366cc" stroked="false">
              <v:fill type="solid"/>
            </v:rect>
            <v:line style="position:absolute" from="1209,14721" to="10524,14721" stroked="true" strokeweight="1.4649pt" strokecolor="#3366cc">
              <v:stroke dashstyle="solid"/>
            </v:line>
            <w10:wrap type="none"/>
          </v:group>
        </w:pict>
      </w:r>
    </w:p>
    <w:p>
      <w:pPr>
        <w:spacing w:after="0"/>
        <w:rPr>
          <w:sz w:val="2"/>
          <w:szCs w:val="2"/>
        </w:rPr>
        <w:sectPr>
          <w:headerReference w:type="even" r:id="rId57"/>
          <w:pgSz w:w="12240" w:h="15840"/>
          <w:pgMar w:header="0" w:footer="690" w:top="1420" w:bottom="880" w:left="0" w:right="0"/>
        </w:sectPr>
      </w:pPr>
    </w:p>
    <w:p>
      <w:pPr>
        <w:pStyle w:val="BodyText"/>
        <w:rPr>
          <w:sz w:val="20"/>
        </w:rPr>
      </w:pPr>
    </w:p>
    <w:p>
      <w:pPr>
        <w:spacing w:after="0"/>
        <w:rPr>
          <w:sz w:val="20"/>
        </w:rPr>
        <w:sectPr>
          <w:headerReference w:type="default" r:id="rId58"/>
          <w:footerReference w:type="default" r:id="rId59"/>
          <w:footerReference w:type="even" r:id="rId60"/>
          <w:pgSz w:w="12240" w:h="15840"/>
          <w:pgMar w:header="723" w:footer="864" w:top="940" w:bottom="1060" w:left="0" w:right="0"/>
          <w:pgNumType w:start="11"/>
        </w:sectPr>
      </w:pPr>
    </w:p>
    <w:p>
      <w:pPr>
        <w:pStyle w:val="BodyText"/>
        <w:spacing w:before="6"/>
        <w:rPr>
          <w:sz w:val="23"/>
        </w:rPr>
      </w:pPr>
    </w:p>
    <w:p>
      <w:pPr>
        <w:pStyle w:val="Heading3"/>
      </w:pPr>
      <w:r>
        <w:rPr/>
        <w:t>INTRODUCCION</w:t>
      </w:r>
    </w:p>
    <w:p>
      <w:pPr>
        <w:pStyle w:val="BodyText"/>
        <w:spacing w:before="10"/>
        <w:rPr>
          <w:b/>
          <w:sz w:val="24"/>
        </w:rPr>
      </w:pPr>
    </w:p>
    <w:p>
      <w:pPr>
        <w:pStyle w:val="BodyText"/>
        <w:spacing w:line="276" w:lineRule="auto"/>
        <w:ind w:left="1700" w:right="1"/>
        <w:jc w:val="both"/>
      </w:pPr>
      <w:r>
        <w:rPr/>
        <w:t>Ulcera péptica es uno de los problemas de salud pública a nivel mundial. En diferentes revisiones se menciona que cada año aumenta la cifra en 300mil nuevos casos y se le atribuyen 10.000 casos de mortalidad a causa de la enfermedad. Es la causa más común de sangrado digestivo alto, alcanzando un 40%. En realidad, no hay una clara predilección racial, pero si hay un importante componente genético involucrado.</w:t>
      </w:r>
    </w:p>
    <w:p>
      <w:pPr>
        <w:pStyle w:val="BodyText"/>
        <w:spacing w:before="5"/>
        <w:rPr>
          <w:sz w:val="20"/>
        </w:rPr>
      </w:pPr>
    </w:p>
    <w:p>
      <w:pPr>
        <w:pStyle w:val="Heading3"/>
      </w:pPr>
      <w:r>
        <w:rPr/>
        <w:t>FISIOPATOLOGIA</w:t>
      </w:r>
    </w:p>
    <w:p>
      <w:pPr>
        <w:pStyle w:val="BodyText"/>
        <w:spacing w:before="10"/>
        <w:rPr>
          <w:b/>
          <w:sz w:val="24"/>
        </w:rPr>
      </w:pPr>
    </w:p>
    <w:p>
      <w:pPr>
        <w:pStyle w:val="BodyText"/>
        <w:spacing w:line="276" w:lineRule="auto"/>
        <w:ind w:left="1700" w:right="3"/>
        <w:jc w:val="both"/>
      </w:pPr>
      <w:r>
        <w:rPr/>
        <w:t>Su fisiopatologia es compleja y multifactorial. Aproximadamente el 85% se deben a la bacteria H. pylori . El desarrollo de la enfermedad es representado por un balance ente daño cronico inflamatorio, secrecion acido peptuca y defensa de la mucosa (la cual se hace defectuosa al estar infectada).</w:t>
      </w:r>
    </w:p>
    <w:p>
      <w:pPr>
        <w:pStyle w:val="ListParagraph"/>
        <w:numPr>
          <w:ilvl w:val="0"/>
          <w:numId w:val="8"/>
        </w:numPr>
        <w:tabs>
          <w:tab w:pos="2061" w:val="left" w:leader="none"/>
        </w:tabs>
        <w:spacing w:line="276" w:lineRule="auto" w:before="2" w:after="0"/>
        <w:ind w:left="2060" w:right="0" w:hanging="360"/>
        <w:jc w:val="both"/>
        <w:rPr>
          <w:sz w:val="22"/>
        </w:rPr>
      </w:pPr>
      <w:r>
        <w:rPr>
          <w:sz w:val="22"/>
        </w:rPr>
        <w:t>Helicobacter Pylori: es una bacteria en forma de espiral con flagelo polar y se transmite de persona a persona. Hay estudios que indican que se puede adquirir desde </w:t>
      </w:r>
      <w:r>
        <w:rPr>
          <w:spacing w:val="-3"/>
          <w:sz w:val="22"/>
        </w:rPr>
        <w:t>la </w:t>
      </w:r>
      <w:r>
        <w:rPr>
          <w:sz w:val="22"/>
        </w:rPr>
        <w:t>infancia y estar asintomáticos; y que su transmisión está asociada a un evento de gastroenteritis, </w:t>
      </w:r>
      <w:r>
        <w:rPr>
          <w:spacing w:val="1"/>
          <w:sz w:val="22"/>
        </w:rPr>
        <w:t>más </w:t>
      </w:r>
      <w:r>
        <w:rPr>
          <w:sz w:val="22"/>
        </w:rPr>
        <w:t>si estuvo asociada a vomito. En  </w:t>
      </w:r>
      <w:r>
        <w:rPr>
          <w:spacing w:val="-3"/>
          <w:sz w:val="22"/>
        </w:rPr>
        <w:t>la </w:t>
      </w:r>
      <w:r>
        <w:rPr>
          <w:sz w:val="22"/>
        </w:rPr>
        <w:t>mitad de </w:t>
      </w:r>
      <w:r>
        <w:rPr>
          <w:spacing w:val="-3"/>
          <w:sz w:val="22"/>
        </w:rPr>
        <w:t>la </w:t>
      </w:r>
      <w:r>
        <w:rPr>
          <w:sz w:val="22"/>
        </w:rPr>
        <w:t>población con dispepsia sin ulceración, </w:t>
      </w:r>
      <w:r>
        <w:rPr>
          <w:spacing w:val="1"/>
          <w:sz w:val="22"/>
        </w:rPr>
        <w:t>va </w:t>
      </w:r>
      <w:r>
        <w:rPr>
          <w:sz w:val="22"/>
        </w:rPr>
        <w:t>a presentar un proceso infeccioso</w:t>
      </w:r>
      <w:r>
        <w:rPr>
          <w:spacing w:val="-5"/>
          <w:sz w:val="22"/>
        </w:rPr>
        <w:t> </w:t>
      </w:r>
      <w:r>
        <w:rPr>
          <w:sz w:val="22"/>
        </w:rPr>
        <w:t>activo.</w:t>
      </w:r>
    </w:p>
    <w:p>
      <w:pPr>
        <w:pStyle w:val="ListParagraph"/>
        <w:numPr>
          <w:ilvl w:val="0"/>
          <w:numId w:val="8"/>
        </w:numPr>
        <w:tabs>
          <w:tab w:pos="2061" w:val="left" w:leader="none"/>
        </w:tabs>
        <w:spacing w:line="276" w:lineRule="auto" w:before="2" w:after="0"/>
        <w:ind w:left="2060" w:right="1" w:hanging="360"/>
        <w:jc w:val="both"/>
        <w:rPr>
          <w:sz w:val="22"/>
        </w:rPr>
      </w:pPr>
      <w:r>
        <w:rPr>
          <w:sz w:val="22"/>
        </w:rPr>
        <w:t>Anormalidades en </w:t>
      </w:r>
      <w:r>
        <w:rPr>
          <w:spacing w:val="-3"/>
          <w:sz w:val="22"/>
        </w:rPr>
        <w:t>la </w:t>
      </w:r>
      <w:r>
        <w:rPr>
          <w:sz w:val="22"/>
        </w:rPr>
        <w:t>secreción ácida gástrica: para </w:t>
      </w:r>
      <w:r>
        <w:rPr>
          <w:spacing w:val="-3"/>
          <w:sz w:val="22"/>
        </w:rPr>
        <w:t>la </w:t>
      </w:r>
      <w:r>
        <w:rPr>
          <w:sz w:val="22"/>
        </w:rPr>
        <w:t>formación de </w:t>
      </w:r>
      <w:r>
        <w:rPr>
          <w:spacing w:val="-3"/>
          <w:sz w:val="22"/>
        </w:rPr>
        <w:t>la </w:t>
      </w:r>
      <w:r>
        <w:rPr>
          <w:sz w:val="22"/>
        </w:rPr>
        <w:t>ulcera depende de 2 factores el ácido gástrico y la pepsina. En personas con ulcera péptica tienen niveles mayores de ácido que personas sin patología. Hay dos propuestas a</w:t>
      </w:r>
      <w:r>
        <w:rPr>
          <w:spacing w:val="-34"/>
          <w:sz w:val="22"/>
        </w:rPr>
        <w:t> </w:t>
      </w:r>
      <w:r>
        <w:rPr>
          <w:sz w:val="22"/>
        </w:rPr>
        <w:t>que</w:t>
      </w:r>
    </w:p>
    <w:p>
      <w:pPr>
        <w:pStyle w:val="BodyText"/>
        <w:spacing w:before="9"/>
        <w:rPr>
          <w:sz w:val="23"/>
        </w:rPr>
      </w:pPr>
      <w:r>
        <w:rPr/>
        <w:br w:type="column"/>
      </w:r>
      <w:r>
        <w:rPr>
          <w:sz w:val="23"/>
        </w:rPr>
      </w:r>
    </w:p>
    <w:p>
      <w:pPr>
        <w:pStyle w:val="BodyText"/>
        <w:spacing w:line="276" w:lineRule="auto"/>
        <w:ind w:left="1036" w:right="1698"/>
        <w:jc w:val="both"/>
      </w:pPr>
      <w:r>
        <w:rPr/>
        <w:t>esto suceda: aumento de células parietales o a mayor sensibilidad a la gastrina circulante. También es una consecuencia directa de la infección por H. pylori.</w:t>
      </w:r>
    </w:p>
    <w:p>
      <w:pPr>
        <w:pStyle w:val="ListParagraph"/>
        <w:numPr>
          <w:ilvl w:val="0"/>
          <w:numId w:val="9"/>
        </w:numPr>
        <w:tabs>
          <w:tab w:pos="1037" w:val="left" w:leader="none"/>
          <w:tab w:pos="2239" w:val="left" w:leader="none"/>
          <w:tab w:pos="4234" w:val="left" w:leader="none"/>
        </w:tabs>
        <w:spacing w:line="276" w:lineRule="auto" w:before="3" w:after="0"/>
        <w:ind w:left="1036" w:right="1695" w:hanging="360"/>
        <w:jc w:val="both"/>
        <w:rPr>
          <w:rFonts w:ascii="Symbol" w:hAnsi="Symbol"/>
          <w:color w:val="202020"/>
          <w:sz w:val="22"/>
        </w:rPr>
      </w:pPr>
      <w:r>
        <w:rPr>
          <w:sz w:val="22"/>
        </w:rPr>
        <w:t>Problemas defensa de </w:t>
      </w:r>
      <w:r>
        <w:rPr>
          <w:spacing w:val="-3"/>
          <w:sz w:val="22"/>
        </w:rPr>
        <w:t>la </w:t>
      </w:r>
      <w:r>
        <w:rPr>
          <w:sz w:val="22"/>
        </w:rPr>
        <w:t>mucosa: </w:t>
      </w:r>
      <w:r>
        <w:rPr>
          <w:color w:val="202020"/>
          <w:sz w:val="22"/>
        </w:rPr>
        <w:t>los pacientes con úlceras duodenales se han</w:t>
        <w:tab/>
        <w:t>demostrado</w:t>
        <w:tab/>
        <w:t>tener significativamente menor secreción de bicarbonato basal en el duodeno proximal que los sujetos normales. Además, de que </w:t>
      </w:r>
      <w:r>
        <w:rPr>
          <w:color w:val="202020"/>
          <w:spacing w:val="-3"/>
          <w:sz w:val="22"/>
        </w:rPr>
        <w:t>la </w:t>
      </w:r>
      <w:r>
        <w:rPr>
          <w:color w:val="202020"/>
          <w:sz w:val="22"/>
        </w:rPr>
        <w:t>bacteria H. pylori provoca hipergatrinemia, que empeora el cuadro</w:t>
      </w:r>
      <w:r>
        <w:rPr>
          <w:color w:val="202020"/>
          <w:spacing w:val="-11"/>
          <w:sz w:val="22"/>
        </w:rPr>
        <w:t> </w:t>
      </w:r>
      <w:r>
        <w:rPr>
          <w:color w:val="202020"/>
          <w:sz w:val="22"/>
        </w:rPr>
        <w:t>clínico.</w:t>
      </w:r>
    </w:p>
    <w:p>
      <w:pPr>
        <w:pStyle w:val="ListParagraph"/>
        <w:numPr>
          <w:ilvl w:val="0"/>
          <w:numId w:val="9"/>
        </w:numPr>
        <w:tabs>
          <w:tab w:pos="1037" w:val="left" w:leader="none"/>
          <w:tab w:pos="3487" w:val="left" w:leader="none"/>
        </w:tabs>
        <w:spacing w:line="273" w:lineRule="auto" w:before="3" w:after="0"/>
        <w:ind w:left="1036" w:right="1696" w:hanging="360"/>
        <w:jc w:val="both"/>
        <w:rPr>
          <w:rFonts w:ascii="Symbol"/>
          <w:sz w:val="22"/>
        </w:rPr>
      </w:pPr>
      <w:r>
        <w:rPr>
          <w:sz w:val="22"/>
        </w:rPr>
        <w:t>Factores</w:t>
        <w:tab/>
      </w:r>
      <w:r>
        <w:rPr>
          <w:spacing w:val="-1"/>
          <w:sz w:val="22"/>
        </w:rPr>
        <w:t>ambientales: </w:t>
      </w:r>
      <w:r>
        <w:rPr>
          <w:sz w:val="22"/>
        </w:rPr>
        <w:t>antiinflamatorios no esteroideos, fumado</w:t>
      </w:r>
      <w:r>
        <w:rPr>
          <w:spacing w:val="-1"/>
          <w:sz w:val="22"/>
        </w:rPr>
        <w:t> </w:t>
      </w:r>
      <w:r>
        <w:rPr>
          <w:sz w:val="22"/>
        </w:rPr>
        <w:t>activo.</w:t>
      </w:r>
    </w:p>
    <w:p>
      <w:pPr>
        <w:pStyle w:val="BodyText"/>
        <w:rPr>
          <w:sz w:val="21"/>
        </w:rPr>
      </w:pPr>
    </w:p>
    <w:p>
      <w:pPr>
        <w:pStyle w:val="Heading3"/>
        <w:ind w:left="676"/>
      </w:pPr>
      <w:r>
        <w:rPr/>
        <w:t>DIAGNOSTICO</w:t>
      </w:r>
    </w:p>
    <w:p>
      <w:pPr>
        <w:pStyle w:val="BodyText"/>
        <w:spacing w:before="7"/>
        <w:rPr>
          <w:b/>
          <w:sz w:val="24"/>
        </w:rPr>
      </w:pPr>
    </w:p>
    <w:p>
      <w:pPr>
        <w:pStyle w:val="BodyText"/>
        <w:spacing w:line="276" w:lineRule="auto"/>
        <w:ind w:left="676" w:right="1697"/>
        <w:jc w:val="both"/>
      </w:pPr>
      <w:r>
        <w:rPr/>
        <w:t>El sintoma pivote es el dolor epigastrico descrito como quemante, inclusive en ocasiones como una estaca. La mayoria de pacientes refiere que es peor en horas de </w:t>
      </w:r>
      <w:r>
        <w:rPr>
          <w:spacing w:val="-3"/>
        </w:rPr>
        <w:t>la </w:t>
      </w:r>
      <w:r>
        <w:rPr/>
        <w:t>mañana que mejora con antiacidos.</w:t>
      </w:r>
    </w:p>
    <w:p>
      <w:pPr>
        <w:pStyle w:val="BodyText"/>
        <w:spacing w:line="276" w:lineRule="auto" w:before="2"/>
        <w:ind w:left="676" w:right="1698"/>
        <w:jc w:val="both"/>
      </w:pPr>
      <w:r>
        <w:rPr/>
        <w:t>Hay quetener en cuenta diagnosticos diferenciales, como por ejemplo, dispepsia no ulcerativa, neoplasia gastica, colelitiasis y otras enfermedades biliares.</w:t>
      </w:r>
    </w:p>
    <w:p>
      <w:pPr>
        <w:pStyle w:val="BodyText"/>
        <w:spacing w:line="276" w:lineRule="auto" w:before="1"/>
        <w:ind w:left="676" w:right="1695"/>
        <w:jc w:val="both"/>
      </w:pPr>
      <w:r>
        <w:rPr>
          <w:color w:val="202020"/>
        </w:rPr>
        <w:t>La evaluación de los pacientes con sospecha de úlcera péptica por </w:t>
      </w:r>
      <w:r>
        <w:rPr>
          <w:color w:val="202020"/>
          <w:spacing w:val="-3"/>
        </w:rPr>
        <w:t>lo </w:t>
      </w:r>
      <w:r>
        <w:rPr>
          <w:color w:val="202020"/>
        </w:rPr>
        <w:t>general implica </w:t>
      </w:r>
      <w:r>
        <w:rPr>
          <w:color w:val="202020"/>
          <w:spacing w:val="-3"/>
        </w:rPr>
        <w:t>la </w:t>
      </w:r>
      <w:r>
        <w:rPr>
          <w:color w:val="202020"/>
        </w:rPr>
        <w:t>endoscopia, que es el método a elección para el diagnóstico. Permite </w:t>
      </w:r>
      <w:r>
        <w:rPr>
          <w:color w:val="202020"/>
          <w:spacing w:val="-3"/>
        </w:rPr>
        <w:t>la </w:t>
      </w:r>
      <w:r>
        <w:rPr>
          <w:color w:val="202020"/>
        </w:rPr>
        <w:t>realización de biopsia del esófago, el estómago y el duodeno. A nivel endoscópico, los bordes son por </w:t>
      </w:r>
      <w:r>
        <w:rPr>
          <w:color w:val="202020"/>
          <w:spacing w:val="-3"/>
        </w:rPr>
        <w:t>lo </w:t>
      </w:r>
      <w:r>
        <w:rPr>
          <w:color w:val="202020"/>
        </w:rPr>
        <w:t>general demarcado y </w:t>
      </w:r>
      <w:r>
        <w:rPr>
          <w:color w:val="202020"/>
          <w:spacing w:val="-3"/>
        </w:rPr>
        <w:t>la </w:t>
      </w:r>
      <w:r>
        <w:rPr>
          <w:color w:val="202020"/>
        </w:rPr>
        <w:t>base de </w:t>
      </w:r>
      <w:r>
        <w:rPr>
          <w:color w:val="202020"/>
          <w:spacing w:val="-3"/>
        </w:rPr>
        <w:t>la </w:t>
      </w:r>
      <w:r>
        <w:rPr>
          <w:color w:val="202020"/>
        </w:rPr>
        <w:t>úlcera es a menudo limpia y lisa, aunque las úlceras agudas y aquellos con hemorragia reciente pueden demostrar escaras o exudado adherente. La localización más frecuente de </w:t>
      </w:r>
      <w:r>
        <w:rPr>
          <w:color w:val="202020"/>
          <w:spacing w:val="-3"/>
        </w:rPr>
        <w:t>la</w:t>
      </w:r>
      <w:r>
        <w:rPr>
          <w:color w:val="202020"/>
          <w:spacing w:val="10"/>
        </w:rPr>
        <w:t> </w:t>
      </w:r>
      <w:r>
        <w:rPr>
          <w:color w:val="202020"/>
        </w:rPr>
        <w:t>úlcera</w:t>
      </w:r>
    </w:p>
    <w:p>
      <w:pPr>
        <w:spacing w:after="0" w:line="276" w:lineRule="auto"/>
        <w:jc w:val="both"/>
        <w:sectPr>
          <w:type w:val="continuous"/>
          <w:pgSz w:w="12240" w:h="15840"/>
          <w:pgMar w:top="1500" w:bottom="0" w:left="0" w:right="0"/>
          <w:cols w:num="2" w:equalWidth="0">
            <w:col w:w="5766" w:space="40"/>
            <w:col w:w="6434"/>
          </w:cols>
        </w:sectPr>
      </w:pPr>
    </w:p>
    <w:p>
      <w:pPr>
        <w:spacing w:before="76"/>
        <w:ind w:left="6026" w:right="0" w:firstLine="0"/>
        <w:jc w:val="left"/>
        <w:rPr>
          <w:i/>
          <w:sz w:val="20"/>
        </w:rPr>
      </w:pPr>
      <w:r>
        <w:rPr>
          <w:i/>
          <w:color w:val="2D74B5"/>
          <w:sz w:val="20"/>
        </w:rPr>
        <w:t>ULCERA GASTRODUODENAL– Rocío Arias Silva</w:t>
      </w:r>
    </w:p>
    <w:p>
      <w:pPr>
        <w:pStyle w:val="BodyText"/>
        <w:rPr>
          <w:i/>
          <w:sz w:val="20"/>
        </w:rPr>
      </w:pPr>
    </w:p>
    <w:p>
      <w:pPr>
        <w:spacing w:after="0"/>
        <w:rPr>
          <w:sz w:val="20"/>
        </w:rPr>
        <w:sectPr>
          <w:headerReference w:type="even" r:id="rId61"/>
          <w:pgSz w:w="12240" w:h="15840"/>
          <w:pgMar w:header="0" w:footer="690" w:top="640" w:bottom="880" w:left="0" w:right="0"/>
        </w:sectPr>
      </w:pPr>
    </w:p>
    <w:p>
      <w:pPr>
        <w:pStyle w:val="BodyText"/>
        <w:spacing w:before="7"/>
        <w:rPr>
          <w:i/>
          <w:sz w:val="20"/>
        </w:rPr>
      </w:pPr>
      <w:r>
        <w:rPr/>
        <w:pict>
          <v:group style="position:absolute;margin-left:36.650002pt;margin-top:735.320129pt;width:489.6pt;height:25.35pt;mso-position-horizontal-relative:page;mso-position-vertical-relative:page;z-index:-42736" coordorigin="733,14706" coordsize="9792,507">
            <v:rect style="position:absolute;left:733;top:14709;width:720;height:504" filled="true" fillcolor="#3366cc" stroked="false">
              <v:fill type="solid"/>
            </v:rect>
            <v:line style="position:absolute" from="1209,14721" to="10524,14721" stroked="true" strokeweight="1.4649pt" strokecolor="#3366cc">
              <v:stroke dashstyle="solid"/>
            </v:line>
            <w10:wrap type="none"/>
          </v:group>
        </w:pict>
      </w:r>
    </w:p>
    <w:p>
      <w:pPr>
        <w:pStyle w:val="BodyText"/>
        <w:spacing w:line="276" w:lineRule="auto"/>
        <w:ind w:left="1700"/>
        <w:jc w:val="both"/>
      </w:pPr>
      <w:r>
        <w:rPr>
          <w:color w:val="202020"/>
        </w:rPr>
        <w:t>péptica es la primera porción del duodeno, raro en la segunda porción. Si hay ulceras en la tercera y cuarta porción del duodeno es inusual y se sospecha de un gastrinoma.</w:t>
      </w:r>
    </w:p>
    <w:p>
      <w:pPr>
        <w:pStyle w:val="BodyText"/>
        <w:spacing w:line="276" w:lineRule="auto" w:before="2"/>
        <w:ind w:left="1700" w:right="2"/>
        <w:jc w:val="both"/>
      </w:pPr>
      <w:r>
        <w:rPr>
          <w:color w:val="202020"/>
        </w:rPr>
        <w:t>En presencia de una úlcera duodenal se debe realizar biopsia de la mucosa para demostrar la presencia de H. pylori y dar terapia subsiguiente. La úlcera puede extenderse por una variable distancia a través de la pared del duodeno, incluso en todo el espesor del intestino en los casos de perforación.</w:t>
      </w:r>
    </w:p>
    <w:p>
      <w:pPr>
        <w:pStyle w:val="BodyText"/>
        <w:spacing w:before="9"/>
        <w:rPr>
          <w:sz w:val="20"/>
        </w:rPr>
      </w:pPr>
    </w:p>
    <w:p>
      <w:pPr>
        <w:pStyle w:val="Heading3"/>
      </w:pPr>
      <w:r>
        <w:rPr/>
        <w:t>TRATAMIENTO</w:t>
      </w:r>
    </w:p>
    <w:p>
      <w:pPr>
        <w:pStyle w:val="BodyText"/>
        <w:spacing w:before="2"/>
        <w:rPr>
          <w:b/>
          <w:sz w:val="24"/>
        </w:rPr>
      </w:pPr>
    </w:p>
    <w:p>
      <w:pPr>
        <w:pStyle w:val="Heading4"/>
        <w:ind w:left="1700"/>
      </w:pPr>
      <w:r>
        <w:rPr/>
        <w:t>Médico</w:t>
      </w:r>
    </w:p>
    <w:p>
      <w:pPr>
        <w:pStyle w:val="BodyText"/>
        <w:spacing w:line="276" w:lineRule="auto" w:before="42"/>
        <w:ind w:left="1700" w:right="1"/>
        <w:jc w:val="both"/>
      </w:pPr>
      <w:r>
        <w:rPr>
          <w:color w:val="202020"/>
        </w:rPr>
        <w:t>La infección de por H. pylori es de por vida. La curación espontánea de </w:t>
      </w:r>
      <w:r>
        <w:rPr>
          <w:color w:val="202020"/>
          <w:spacing w:val="-3"/>
        </w:rPr>
        <w:t>la </w:t>
      </w:r>
      <w:r>
        <w:rPr>
          <w:color w:val="202020"/>
        </w:rPr>
        <w:t>mucosa infectada es muy rara, que ocurre en menos del 0,5% de los pacientes. El tratamiento actual en caso de ulcera péptica involucra una combinación de un fármaco inhibidor de </w:t>
      </w:r>
      <w:r>
        <w:rPr>
          <w:color w:val="202020"/>
          <w:spacing w:val="-3"/>
        </w:rPr>
        <w:t>la </w:t>
      </w:r>
      <w:r>
        <w:rPr>
          <w:color w:val="202020"/>
        </w:rPr>
        <w:t>bomba de protones con antibióticos. Un gran número de regímenes de fármacos se han descrito, pero los protocolos de tratamiento más ampliamente usados combinan un inhibidor de </w:t>
      </w:r>
      <w:r>
        <w:rPr>
          <w:color w:val="202020"/>
          <w:spacing w:val="-3"/>
        </w:rPr>
        <w:t>la </w:t>
      </w:r>
      <w:r>
        <w:rPr>
          <w:color w:val="202020"/>
        </w:rPr>
        <w:t>bomba de protones, por </w:t>
      </w:r>
      <w:r>
        <w:rPr>
          <w:color w:val="202020"/>
          <w:spacing w:val="-3"/>
        </w:rPr>
        <w:t>lo </w:t>
      </w:r>
      <w:r>
        <w:rPr>
          <w:color w:val="202020"/>
        </w:rPr>
        <w:t>general Omeprazol, con dos antibióticos, por </w:t>
      </w:r>
      <w:r>
        <w:rPr>
          <w:color w:val="202020"/>
          <w:spacing w:val="-3"/>
        </w:rPr>
        <w:t>lo </w:t>
      </w:r>
      <w:r>
        <w:rPr>
          <w:color w:val="202020"/>
        </w:rPr>
        <w:t>general </w:t>
      </w:r>
      <w:r>
        <w:rPr>
          <w:color w:val="202020"/>
          <w:spacing w:val="-3"/>
        </w:rPr>
        <w:t>la </w:t>
      </w:r>
      <w:r>
        <w:rPr>
          <w:color w:val="202020"/>
        </w:rPr>
        <w:t>Claritromicina y Metronidazol. Esto se administra </w:t>
      </w:r>
      <w:r>
        <w:rPr>
          <w:color w:val="202020"/>
          <w:spacing w:val="-3"/>
        </w:rPr>
        <w:t>la </w:t>
      </w:r>
      <w:r>
        <w:rPr>
          <w:color w:val="202020"/>
        </w:rPr>
        <w:t>terapia triple durante 7 o 14 días. Esta terapia tiene tasas de erradicación de más de un</w:t>
      </w:r>
      <w:r>
        <w:rPr>
          <w:color w:val="202020"/>
          <w:spacing w:val="-1"/>
        </w:rPr>
        <w:t> </w:t>
      </w:r>
      <w:r>
        <w:rPr>
          <w:color w:val="202020"/>
        </w:rPr>
        <w:t>90%.</w:t>
      </w:r>
    </w:p>
    <w:p>
      <w:pPr>
        <w:pStyle w:val="ListParagraph"/>
        <w:numPr>
          <w:ilvl w:val="1"/>
          <w:numId w:val="9"/>
        </w:numPr>
        <w:tabs>
          <w:tab w:pos="2061" w:val="left" w:leader="none"/>
        </w:tabs>
        <w:spacing w:line="273" w:lineRule="auto" w:before="2" w:after="0"/>
        <w:ind w:left="2060" w:right="4" w:hanging="360"/>
        <w:jc w:val="both"/>
        <w:rPr>
          <w:rFonts w:ascii="Symbol"/>
          <w:sz w:val="22"/>
        </w:rPr>
      </w:pPr>
      <w:r>
        <w:rPr>
          <w:sz w:val="22"/>
        </w:rPr>
        <w:t>Antagonistas receptores de histamina: se utiliza como sustituto del inhibidor de bomba de protones, a </w:t>
      </w:r>
      <w:r>
        <w:rPr>
          <w:spacing w:val="-3"/>
          <w:sz w:val="22"/>
        </w:rPr>
        <w:t>la </w:t>
      </w:r>
      <w:r>
        <w:rPr>
          <w:sz w:val="22"/>
        </w:rPr>
        <w:t>hora de prolongar el tratamiento para evitar recidivas de</w:t>
      </w:r>
      <w:r>
        <w:rPr>
          <w:spacing w:val="-10"/>
          <w:sz w:val="22"/>
        </w:rPr>
        <w:t> </w:t>
      </w:r>
      <w:r>
        <w:rPr>
          <w:sz w:val="22"/>
        </w:rPr>
        <w:t>ulcera.</w:t>
      </w:r>
    </w:p>
    <w:p>
      <w:pPr>
        <w:pStyle w:val="ListParagraph"/>
        <w:numPr>
          <w:ilvl w:val="1"/>
          <w:numId w:val="9"/>
        </w:numPr>
        <w:tabs>
          <w:tab w:pos="2061" w:val="left" w:leader="none"/>
        </w:tabs>
        <w:spacing w:line="273" w:lineRule="auto" w:before="5" w:after="0"/>
        <w:ind w:left="2060" w:right="3" w:hanging="360"/>
        <w:jc w:val="both"/>
        <w:rPr>
          <w:rFonts w:ascii="Symbol" w:hAnsi="Symbol"/>
          <w:color w:val="202020"/>
          <w:sz w:val="22"/>
        </w:rPr>
      </w:pPr>
      <w:r>
        <w:rPr>
          <w:sz w:val="22"/>
        </w:rPr>
        <w:t>Inhibidor de bomba de protones: parte principal del tratamiento para ulcera péptica. </w:t>
      </w:r>
      <w:r>
        <w:rPr>
          <w:color w:val="202020"/>
          <w:sz w:val="22"/>
        </w:rPr>
        <w:t>Las</w:t>
      </w:r>
      <w:r>
        <w:rPr>
          <w:color w:val="202020"/>
          <w:spacing w:val="40"/>
          <w:sz w:val="22"/>
        </w:rPr>
        <w:t> </w:t>
      </w:r>
      <w:r>
        <w:rPr>
          <w:color w:val="202020"/>
          <w:sz w:val="22"/>
        </w:rPr>
        <w:t>comparaciones</w:t>
      </w:r>
    </w:p>
    <w:p>
      <w:pPr>
        <w:pStyle w:val="BodyText"/>
        <w:spacing w:before="7"/>
        <w:rPr>
          <w:sz w:val="20"/>
        </w:rPr>
      </w:pPr>
      <w:r>
        <w:rPr/>
        <w:br w:type="column"/>
      </w:r>
      <w:r>
        <w:rPr>
          <w:sz w:val="20"/>
        </w:rPr>
      </w:r>
    </w:p>
    <w:p>
      <w:pPr>
        <w:pStyle w:val="BodyText"/>
        <w:spacing w:line="276" w:lineRule="auto"/>
        <w:ind w:left="1036" w:right="1692"/>
        <w:jc w:val="both"/>
      </w:pPr>
      <w:r>
        <w:rPr>
          <w:color w:val="202020"/>
        </w:rPr>
        <w:t>directas con los receptores antagonistas H2 generalmente han favorecido al omeprazol en términos de alivio del dolor y la tasa de curación de la úlcera.</w:t>
      </w:r>
    </w:p>
    <w:p>
      <w:pPr>
        <w:pStyle w:val="ListParagraph"/>
        <w:numPr>
          <w:ilvl w:val="0"/>
          <w:numId w:val="9"/>
        </w:numPr>
        <w:tabs>
          <w:tab w:pos="1037" w:val="left" w:leader="none"/>
        </w:tabs>
        <w:spacing w:line="276" w:lineRule="auto" w:before="3" w:after="0"/>
        <w:ind w:left="1036" w:right="1696" w:hanging="360"/>
        <w:jc w:val="both"/>
        <w:rPr>
          <w:rFonts w:ascii="Symbol" w:hAnsi="Symbol"/>
          <w:sz w:val="22"/>
        </w:rPr>
      </w:pPr>
      <w:r>
        <w:rPr>
          <w:sz w:val="22"/>
        </w:rPr>
        <w:t>Sucralfato: provoca una barrera protectora a nivel de </w:t>
      </w:r>
      <w:r>
        <w:rPr>
          <w:spacing w:val="-3"/>
          <w:sz w:val="22"/>
        </w:rPr>
        <w:t>la </w:t>
      </w:r>
      <w:r>
        <w:rPr>
          <w:sz w:val="22"/>
        </w:rPr>
        <w:t>mucosa gástrica y regenera </w:t>
      </w:r>
      <w:r>
        <w:rPr>
          <w:spacing w:val="-3"/>
          <w:sz w:val="22"/>
        </w:rPr>
        <w:t>la </w:t>
      </w:r>
      <w:r>
        <w:rPr>
          <w:sz w:val="22"/>
        </w:rPr>
        <w:t>mucosa de </w:t>
      </w:r>
      <w:r>
        <w:rPr>
          <w:spacing w:val="-3"/>
          <w:sz w:val="22"/>
        </w:rPr>
        <w:t>la </w:t>
      </w:r>
      <w:r>
        <w:rPr>
          <w:sz w:val="22"/>
        </w:rPr>
        <w:t>ulcera. Sin embargo, no hay método de almacenamiento y no se produce absorción sistémica. Se puede utilizar en</w:t>
      </w:r>
      <w:r>
        <w:rPr>
          <w:spacing w:val="-1"/>
          <w:sz w:val="22"/>
        </w:rPr>
        <w:t> </w:t>
      </w:r>
      <w:r>
        <w:rPr>
          <w:sz w:val="22"/>
        </w:rPr>
        <w:t>embarazo.</w:t>
      </w:r>
    </w:p>
    <w:p>
      <w:pPr>
        <w:pStyle w:val="BodyText"/>
        <w:spacing w:before="10"/>
        <w:rPr>
          <w:sz w:val="24"/>
        </w:rPr>
      </w:pPr>
    </w:p>
    <w:p>
      <w:pPr>
        <w:pStyle w:val="Heading4"/>
      </w:pPr>
      <w:r>
        <w:rPr/>
        <w:t>Quirúrgico</w:t>
      </w:r>
    </w:p>
    <w:p>
      <w:pPr>
        <w:pStyle w:val="BodyText"/>
        <w:spacing w:line="276" w:lineRule="auto" w:before="43"/>
        <w:ind w:left="676" w:right="1693"/>
        <w:jc w:val="both"/>
      </w:pPr>
      <w:r>
        <w:rPr>
          <w:color w:val="202020"/>
        </w:rPr>
        <w:t>Se reserva para tratamiento de complicaciones de </w:t>
      </w:r>
      <w:r>
        <w:rPr>
          <w:color w:val="202020"/>
          <w:spacing w:val="-3"/>
        </w:rPr>
        <w:t>la </w:t>
      </w:r>
      <w:r>
        <w:rPr>
          <w:color w:val="202020"/>
        </w:rPr>
        <w:t>enfermedad. Las tres complicaciones más comunes y que constituyen las indicaciones para </w:t>
      </w:r>
      <w:r>
        <w:rPr>
          <w:color w:val="202020"/>
          <w:spacing w:val="-3"/>
        </w:rPr>
        <w:t>la </w:t>
      </w:r>
      <w:r>
        <w:rPr>
          <w:color w:val="202020"/>
        </w:rPr>
        <w:t>úlcera péptica cirugía de </w:t>
      </w:r>
      <w:r>
        <w:rPr>
          <w:color w:val="202020"/>
          <w:spacing w:val="-3"/>
        </w:rPr>
        <w:t>la </w:t>
      </w:r>
      <w:r>
        <w:rPr>
          <w:color w:val="202020"/>
        </w:rPr>
        <w:t>hemorragia, perforación y obstrucción. Hay 3 procedimientos que se pueden realizar, pero que han ido disminuyendo </w:t>
      </w:r>
      <w:r>
        <w:rPr>
          <w:color w:val="202020"/>
          <w:spacing w:val="-3"/>
        </w:rPr>
        <w:t>la </w:t>
      </w:r>
      <w:r>
        <w:rPr>
          <w:color w:val="202020"/>
        </w:rPr>
        <w:t>cantidad de este tipo de procedimientos quirúrgicos, los cuales son: </w:t>
      </w:r>
      <w:r>
        <w:rPr/>
        <w:t>vagotomía Truncal, vagotomía Proximal y antrectomía.</w:t>
      </w:r>
    </w:p>
    <w:p>
      <w:pPr>
        <w:pStyle w:val="BodyText"/>
        <w:spacing w:line="276" w:lineRule="auto" w:before="2"/>
        <w:ind w:left="676" w:right="1698"/>
        <w:jc w:val="both"/>
      </w:pPr>
      <w:r>
        <w:rPr/>
        <w:t>Con </w:t>
      </w:r>
      <w:r>
        <w:rPr>
          <w:spacing w:val="-3"/>
        </w:rPr>
        <w:t>la </w:t>
      </w:r>
      <w:r>
        <w:rPr/>
        <w:t>vagotomia se pretende inhibir </w:t>
      </w:r>
      <w:r>
        <w:rPr>
          <w:spacing w:val="-3"/>
        </w:rPr>
        <w:t>la </w:t>
      </w:r>
      <w:r>
        <w:rPr/>
        <w:t>secreción acida de células parietales a nivel de antro gástrico. </w:t>
      </w:r>
      <w:r>
        <w:rPr>
          <w:color w:val="202020"/>
        </w:rPr>
        <w:t>Debido a que </w:t>
      </w:r>
      <w:r>
        <w:rPr>
          <w:color w:val="202020"/>
          <w:spacing w:val="-3"/>
        </w:rPr>
        <w:t>la </w:t>
      </w:r>
      <w:r>
        <w:rPr>
          <w:color w:val="202020"/>
        </w:rPr>
        <w:t>denervación impide </w:t>
      </w:r>
      <w:r>
        <w:rPr>
          <w:color w:val="202020"/>
          <w:spacing w:val="-3"/>
        </w:rPr>
        <w:t>la </w:t>
      </w:r>
      <w:r>
        <w:rPr>
          <w:color w:val="202020"/>
        </w:rPr>
        <w:t>coordinación del píloro y puede resultar en el deterioro del vaciado gástrico debe ser combinado con un procedimiento para eliminar </w:t>
      </w:r>
      <w:r>
        <w:rPr>
          <w:color w:val="202020"/>
          <w:spacing w:val="-3"/>
        </w:rPr>
        <w:t>la </w:t>
      </w:r>
      <w:r>
        <w:rPr>
          <w:color w:val="202020"/>
        </w:rPr>
        <w:t>función del esfínter pilórico, usualmente piloroplastía.</w:t>
      </w:r>
      <w:r>
        <w:rPr>
          <w:color w:val="202020"/>
          <w:spacing w:val="-2"/>
        </w:rPr>
        <w:t> </w:t>
      </w:r>
      <w:r>
        <w:rPr/>
        <w:t>.</w:t>
      </w:r>
    </w:p>
    <w:p>
      <w:pPr>
        <w:pStyle w:val="BodyText"/>
        <w:spacing w:before="8"/>
        <w:rPr>
          <w:sz w:val="20"/>
        </w:rPr>
      </w:pPr>
    </w:p>
    <w:p>
      <w:pPr>
        <w:pStyle w:val="Heading3"/>
        <w:spacing w:before="1"/>
        <w:ind w:left="676"/>
      </w:pPr>
      <w:r>
        <w:rPr/>
        <w:t>COMPLICACIONES</w:t>
      </w:r>
    </w:p>
    <w:p>
      <w:pPr>
        <w:pStyle w:val="BodyText"/>
        <w:spacing w:before="6"/>
        <w:rPr>
          <w:b/>
          <w:sz w:val="24"/>
        </w:rPr>
      </w:pPr>
    </w:p>
    <w:p>
      <w:pPr>
        <w:pStyle w:val="BodyText"/>
        <w:spacing w:before="1"/>
        <w:ind w:left="676"/>
      </w:pPr>
      <w:r>
        <w:rPr/>
        <w:t>Sus complicaciones son tres:</w:t>
      </w:r>
    </w:p>
    <w:p>
      <w:pPr>
        <w:pStyle w:val="ListParagraph"/>
        <w:numPr>
          <w:ilvl w:val="0"/>
          <w:numId w:val="9"/>
        </w:numPr>
        <w:tabs>
          <w:tab w:pos="1037" w:val="left" w:leader="none"/>
        </w:tabs>
        <w:spacing w:line="276" w:lineRule="auto" w:before="36" w:after="0"/>
        <w:ind w:left="1036" w:right="1694" w:hanging="360"/>
        <w:jc w:val="both"/>
        <w:rPr>
          <w:rFonts w:ascii="Symbol" w:hAnsi="Symbol"/>
          <w:sz w:val="22"/>
        </w:rPr>
      </w:pPr>
      <w:r>
        <w:rPr>
          <w:b/>
          <w:sz w:val="22"/>
        </w:rPr>
        <w:t>Perforación: </w:t>
      </w:r>
      <w:r>
        <w:rPr>
          <w:sz w:val="22"/>
        </w:rPr>
        <w:t>ocurre en un 10% de los pacientes. Su sintomatología es un dolor importante a nivel epigástrico permanente que empeora conforme transcurre el tiempo.</w:t>
      </w:r>
      <w:r>
        <w:rPr>
          <w:spacing w:val="15"/>
          <w:sz w:val="22"/>
        </w:rPr>
        <w:t> </w:t>
      </w:r>
      <w:r>
        <w:rPr>
          <w:sz w:val="22"/>
        </w:rPr>
        <w:t>Al</w:t>
      </w:r>
    </w:p>
    <w:p>
      <w:pPr>
        <w:spacing w:after="0" w:line="276" w:lineRule="auto"/>
        <w:jc w:val="both"/>
        <w:rPr>
          <w:rFonts w:ascii="Symbol" w:hAnsi="Symbol"/>
          <w:sz w:val="22"/>
        </w:rPr>
        <w:sectPr>
          <w:type w:val="continuous"/>
          <w:pgSz w:w="12240" w:h="15840"/>
          <w:pgMar w:top="1500" w:bottom="0" w:left="0" w:right="0"/>
          <w:cols w:num="2" w:equalWidth="0">
            <w:col w:w="5766" w:space="40"/>
            <w:col w:w="6434"/>
          </w:cols>
        </w:sectPr>
      </w:pPr>
    </w:p>
    <w:p>
      <w:pPr>
        <w:pStyle w:val="BodyText"/>
        <w:rPr>
          <w:sz w:val="20"/>
        </w:rPr>
      </w:pPr>
    </w:p>
    <w:p>
      <w:pPr>
        <w:pStyle w:val="BodyText"/>
        <w:spacing w:before="8"/>
        <w:rPr>
          <w:sz w:val="15"/>
        </w:rPr>
      </w:pPr>
    </w:p>
    <w:p>
      <w:pPr>
        <w:spacing w:after="0"/>
        <w:rPr>
          <w:sz w:val="15"/>
        </w:rPr>
        <w:sectPr>
          <w:headerReference w:type="default" r:id="rId62"/>
          <w:footerReference w:type="default" r:id="rId63"/>
          <w:footerReference w:type="even" r:id="rId64"/>
          <w:pgSz w:w="12240" w:h="15840"/>
          <w:pgMar w:header="723" w:footer="864" w:top="940" w:bottom="1060" w:left="0" w:right="0"/>
          <w:pgNumType w:start="13"/>
        </w:sectPr>
      </w:pPr>
    </w:p>
    <w:p>
      <w:pPr>
        <w:pStyle w:val="BodyText"/>
        <w:spacing w:line="276" w:lineRule="auto" w:before="93"/>
        <w:ind w:left="2060" w:right="1"/>
        <w:jc w:val="both"/>
      </w:pPr>
      <w:r>
        <w:rPr/>
        <w:t>examen físico, disminución de ruidos intestinales y presentar datos de irritación peritoneal. </w:t>
      </w:r>
      <w:r>
        <w:rPr>
          <w:color w:val="202020"/>
        </w:rPr>
        <w:t>Las radiografías de tórax revelan neumoperitoneo. La tomografía axial computarizada del abdomen es muy sensible para demostrar si hay perforación y neumoperitoneo. Para tratamiento, perforación gástrica es una de las indicaciones de cirugía en la mayoría de las circunstancias.</w:t>
      </w:r>
    </w:p>
    <w:p>
      <w:pPr>
        <w:pStyle w:val="ListParagraph"/>
        <w:numPr>
          <w:ilvl w:val="1"/>
          <w:numId w:val="9"/>
        </w:numPr>
        <w:tabs>
          <w:tab w:pos="2061" w:val="left" w:leader="none"/>
        </w:tabs>
        <w:spacing w:line="276" w:lineRule="auto" w:before="0" w:after="0"/>
        <w:ind w:left="2060" w:right="0" w:hanging="360"/>
        <w:jc w:val="both"/>
        <w:rPr>
          <w:rFonts w:ascii="Symbol" w:hAnsi="Symbol"/>
          <w:color w:val="202020"/>
          <w:sz w:val="22"/>
        </w:rPr>
      </w:pPr>
      <w:r>
        <w:rPr>
          <w:b/>
          <w:sz w:val="22"/>
        </w:rPr>
        <w:t>Obstrucción: </w:t>
      </w:r>
      <w:r>
        <w:rPr>
          <w:color w:val="202020"/>
          <w:sz w:val="22"/>
        </w:rPr>
        <w:t>puede ser agudo o crónico. La obstrucción aguda es causada por el edema y </w:t>
      </w:r>
      <w:r>
        <w:rPr>
          <w:color w:val="202020"/>
          <w:spacing w:val="-3"/>
          <w:sz w:val="22"/>
        </w:rPr>
        <w:t>la </w:t>
      </w:r>
      <w:r>
        <w:rPr>
          <w:color w:val="202020"/>
          <w:sz w:val="22"/>
        </w:rPr>
        <w:t>inflamación asociada con úlceras en el canal pilórico y </w:t>
      </w:r>
      <w:r>
        <w:rPr>
          <w:color w:val="202020"/>
          <w:spacing w:val="-3"/>
          <w:sz w:val="22"/>
        </w:rPr>
        <w:t>la </w:t>
      </w:r>
      <w:r>
        <w:rPr>
          <w:color w:val="202020"/>
          <w:sz w:val="22"/>
        </w:rPr>
        <w:t>primera porción del duodeno. Con sintomatología de vómitos recurrentes, deshidratación y alcalosis hipoclorémica debido a </w:t>
      </w:r>
      <w:r>
        <w:rPr>
          <w:color w:val="202020"/>
          <w:spacing w:val="-3"/>
          <w:sz w:val="22"/>
        </w:rPr>
        <w:t>la </w:t>
      </w:r>
      <w:r>
        <w:rPr>
          <w:color w:val="202020"/>
          <w:sz w:val="22"/>
        </w:rPr>
        <w:t>pérdida de gástrico secreciones. Se trata con sonda nasogástrica, rehidratación, e intravenosa administración de agentes antisecretores o inhibidor de bomba de protones. En </w:t>
      </w:r>
      <w:r>
        <w:rPr>
          <w:color w:val="202020"/>
          <w:spacing w:val="-3"/>
          <w:sz w:val="22"/>
        </w:rPr>
        <w:t>la </w:t>
      </w:r>
      <w:r>
        <w:rPr>
          <w:color w:val="202020"/>
          <w:sz w:val="22"/>
        </w:rPr>
        <w:t>mayoría de los casos, </w:t>
      </w:r>
      <w:r>
        <w:rPr>
          <w:color w:val="202020"/>
          <w:spacing w:val="-3"/>
          <w:sz w:val="22"/>
        </w:rPr>
        <w:t>la </w:t>
      </w:r>
      <w:r>
        <w:rPr>
          <w:color w:val="202020"/>
          <w:sz w:val="22"/>
        </w:rPr>
        <w:t>obstrucción aguda se resuelve con este tipo de medidas de apoyo dentro de las 72 horas. La endoscopia superior está indicada para confirmar </w:t>
      </w:r>
      <w:r>
        <w:rPr>
          <w:color w:val="202020"/>
          <w:spacing w:val="-3"/>
          <w:sz w:val="22"/>
        </w:rPr>
        <w:t>la </w:t>
      </w:r>
      <w:r>
        <w:rPr>
          <w:color w:val="202020"/>
          <w:sz w:val="22"/>
        </w:rPr>
        <w:t>naturaleza de </w:t>
      </w:r>
      <w:r>
        <w:rPr>
          <w:color w:val="202020"/>
          <w:spacing w:val="-3"/>
          <w:sz w:val="22"/>
        </w:rPr>
        <w:t>la </w:t>
      </w:r>
      <w:r>
        <w:rPr>
          <w:color w:val="202020"/>
          <w:sz w:val="22"/>
        </w:rPr>
        <w:t>obstrucción y para excluir neoplasia. Aproximadamente el 85%</w:t>
      </w:r>
      <w:r>
        <w:rPr>
          <w:color w:val="202020"/>
          <w:spacing w:val="7"/>
          <w:sz w:val="22"/>
        </w:rPr>
        <w:t> </w:t>
      </w:r>
      <w:r>
        <w:rPr>
          <w:color w:val="202020"/>
          <w:sz w:val="22"/>
        </w:rPr>
        <w:t>de</w:t>
      </w:r>
    </w:p>
    <w:p>
      <w:pPr>
        <w:pStyle w:val="BodyText"/>
        <w:spacing w:line="276" w:lineRule="auto" w:before="93"/>
        <w:ind w:left="1038" w:right="1697"/>
        <w:jc w:val="both"/>
      </w:pPr>
      <w:r>
        <w:rPr/>
        <w:br w:type="column"/>
      </w:r>
      <w:r>
        <w:rPr>
          <w:color w:val="202020"/>
        </w:rPr>
        <w:t>estenosis pilórica son susceptibles de dilatación con balón. El tratamiento quirúrgico de </w:t>
      </w:r>
      <w:r>
        <w:rPr>
          <w:color w:val="202020"/>
          <w:spacing w:val="-3"/>
        </w:rPr>
        <w:t>la </w:t>
      </w:r>
      <w:r>
        <w:rPr>
          <w:color w:val="202020"/>
        </w:rPr>
        <w:t>obstrucción de </w:t>
      </w:r>
      <w:r>
        <w:rPr>
          <w:color w:val="202020"/>
          <w:spacing w:val="-3"/>
        </w:rPr>
        <w:t>la </w:t>
      </w:r>
      <w:r>
        <w:rPr>
          <w:color w:val="202020"/>
        </w:rPr>
        <w:t>salida gástrica debe estar centrado en el alivio de </w:t>
      </w:r>
      <w:r>
        <w:rPr>
          <w:color w:val="202020"/>
          <w:spacing w:val="-3"/>
        </w:rPr>
        <w:t>la </w:t>
      </w:r>
      <w:r>
        <w:rPr>
          <w:color w:val="202020"/>
        </w:rPr>
        <w:t>anomalía anatómica, usualmente se realiza</w:t>
      </w:r>
      <w:r>
        <w:rPr>
          <w:color w:val="202020"/>
          <w:spacing w:val="53"/>
        </w:rPr>
        <w:t> </w:t>
      </w:r>
      <w:r>
        <w:rPr>
          <w:color w:val="202020"/>
        </w:rPr>
        <w:t>antrectomía.</w:t>
      </w:r>
    </w:p>
    <w:p>
      <w:pPr>
        <w:pStyle w:val="ListParagraph"/>
        <w:numPr>
          <w:ilvl w:val="0"/>
          <w:numId w:val="9"/>
        </w:numPr>
        <w:tabs>
          <w:tab w:pos="1039" w:val="left" w:leader="none"/>
          <w:tab w:pos="2338" w:val="left" w:leader="none"/>
          <w:tab w:pos="3478" w:val="left" w:leader="none"/>
        </w:tabs>
        <w:spacing w:line="276" w:lineRule="auto" w:before="0" w:after="0"/>
        <w:ind w:left="1038" w:right="1693" w:hanging="360"/>
        <w:jc w:val="both"/>
        <w:rPr>
          <w:rFonts w:ascii="Symbol" w:hAnsi="Symbol"/>
          <w:color w:val="202020"/>
          <w:sz w:val="22"/>
        </w:rPr>
      </w:pPr>
      <w:r>
        <w:rPr>
          <w:b/>
          <w:sz w:val="22"/>
        </w:rPr>
        <w:t>Sangrado: </w:t>
      </w:r>
      <w:r>
        <w:rPr>
          <w:color w:val="202020"/>
          <w:sz w:val="22"/>
        </w:rPr>
        <w:t>causa principal de muerte asociado con úlcera péptica. El riesgo de hemorragia en los pacientes con duodenal úlcera que no han tenido </w:t>
      </w:r>
      <w:r>
        <w:rPr>
          <w:color w:val="202020"/>
          <w:spacing w:val="-3"/>
          <w:sz w:val="22"/>
        </w:rPr>
        <w:t>la </w:t>
      </w:r>
      <w:r>
        <w:rPr>
          <w:color w:val="202020"/>
          <w:sz w:val="22"/>
        </w:rPr>
        <w:t>cirugía y que no reciben continuar terapia con medicamentos de mantenimiento se aproxima a 15 %. La mayoría de las hemorragias se producen durante el episodio inicial de ulceración o durante una recaída y los pacientes que han hemorragias anteriores tienen un mayor riesgo de sangrar de nuevo. El estudio diagnostico e inclusive terapéutico a realizar es </w:t>
      </w:r>
      <w:r>
        <w:rPr>
          <w:color w:val="202020"/>
          <w:spacing w:val="-3"/>
          <w:sz w:val="22"/>
        </w:rPr>
        <w:t>la </w:t>
      </w:r>
      <w:r>
        <w:rPr>
          <w:color w:val="202020"/>
          <w:sz w:val="22"/>
        </w:rPr>
        <w:t>endoscopia digestiva alta, efectiva en un 90% de los casos. Siempre es importante realizar una adecuada resucitación del paciente, con soluciones IV. SI el paciente esta entrando en shock hipovolémico, o que requiera transfusión, si no funciona </w:t>
      </w:r>
      <w:r>
        <w:rPr>
          <w:color w:val="202020"/>
          <w:spacing w:val="-3"/>
          <w:sz w:val="22"/>
        </w:rPr>
        <w:t>la </w:t>
      </w:r>
      <w:r>
        <w:rPr>
          <w:color w:val="202020"/>
          <w:sz w:val="22"/>
        </w:rPr>
        <w:t>terapia endoscópica o tiene sangrado recurrente pese a tratamiento inicial debe de llevarse a sala</w:t>
        <w:tab/>
        <w:t>de</w:t>
        <w:tab/>
      </w:r>
      <w:r>
        <w:rPr>
          <w:color w:val="202020"/>
          <w:spacing w:val="-1"/>
          <w:sz w:val="22"/>
        </w:rPr>
        <w:t>operaciones.</w:t>
      </w:r>
    </w:p>
    <w:p>
      <w:pPr>
        <w:spacing w:after="0" w:line="276" w:lineRule="auto"/>
        <w:jc w:val="both"/>
        <w:rPr>
          <w:rFonts w:ascii="Symbol" w:hAnsi="Symbol"/>
          <w:sz w:val="22"/>
        </w:rPr>
        <w:sectPr>
          <w:type w:val="continuous"/>
          <w:pgSz w:w="12240" w:h="15840"/>
          <w:pgMar w:top="1500" w:bottom="0" w:left="0" w:right="0"/>
          <w:cols w:num="2" w:equalWidth="0">
            <w:col w:w="5764" w:space="40"/>
            <w:col w:w="6436"/>
          </w:cols>
        </w:sectPr>
      </w:pPr>
    </w:p>
    <w:p>
      <w:pPr>
        <w:pStyle w:val="BodyText"/>
        <w:spacing w:before="6"/>
        <w:rPr>
          <w:sz w:val="12"/>
        </w:rPr>
      </w:pPr>
    </w:p>
    <w:p>
      <w:pPr>
        <w:pStyle w:val="Heading3"/>
        <w:spacing w:before="93"/>
      </w:pPr>
      <w:r>
        <w:rPr/>
        <w:t>BIBLIOGRAFIA</w:t>
      </w:r>
    </w:p>
    <w:p>
      <w:pPr>
        <w:pStyle w:val="BodyText"/>
        <w:spacing w:before="8"/>
        <w:rPr>
          <w:b/>
          <w:sz w:val="24"/>
        </w:rPr>
      </w:pPr>
    </w:p>
    <w:p>
      <w:pPr>
        <w:pStyle w:val="ListParagraph"/>
        <w:numPr>
          <w:ilvl w:val="1"/>
          <w:numId w:val="9"/>
        </w:numPr>
        <w:tabs>
          <w:tab w:pos="2060" w:val="left" w:leader="none"/>
          <w:tab w:pos="2061" w:val="left" w:leader="none"/>
        </w:tabs>
        <w:spacing w:line="271" w:lineRule="auto" w:before="0" w:after="0"/>
        <w:ind w:left="2060" w:right="1697" w:hanging="360"/>
        <w:jc w:val="left"/>
        <w:rPr>
          <w:rFonts w:ascii="Symbol" w:hAnsi="Symbol"/>
          <w:sz w:val="20"/>
        </w:rPr>
      </w:pPr>
      <w:r>
        <w:rPr>
          <w:sz w:val="20"/>
        </w:rPr>
        <w:t>Mulholland, M, Lillemoe, K, et al. </w:t>
      </w:r>
      <w:r>
        <w:rPr>
          <w:sz w:val="20"/>
          <w:u w:val="single"/>
        </w:rPr>
        <w:t>G</w:t>
      </w:r>
      <w:r>
        <w:rPr>
          <w:sz w:val="20"/>
        </w:rPr>
        <w:t>reenfield´s Surgery Scientific Principles &amp; Practice. Quinta edición, capítulo 44. pags</w:t>
      </w:r>
      <w:r>
        <w:rPr>
          <w:spacing w:val="-5"/>
          <w:sz w:val="20"/>
        </w:rPr>
        <w:t> </w:t>
      </w:r>
      <w:r>
        <w:rPr>
          <w:sz w:val="20"/>
        </w:rPr>
        <w:t>699-712</w:t>
      </w:r>
    </w:p>
    <w:p>
      <w:pPr>
        <w:pStyle w:val="ListParagraph"/>
        <w:numPr>
          <w:ilvl w:val="1"/>
          <w:numId w:val="9"/>
        </w:numPr>
        <w:tabs>
          <w:tab w:pos="2060" w:val="left" w:leader="none"/>
          <w:tab w:pos="2061" w:val="left" w:leader="none"/>
        </w:tabs>
        <w:spacing w:line="276" w:lineRule="auto" w:before="3" w:after="0"/>
        <w:ind w:left="2060" w:right="1708" w:hanging="360"/>
        <w:jc w:val="left"/>
        <w:rPr>
          <w:rFonts w:ascii="Symbol"/>
          <w:sz w:val="20"/>
        </w:rPr>
      </w:pPr>
      <w:r>
        <w:rPr>
          <w:sz w:val="20"/>
        </w:rPr>
        <w:t>Lafferty, H; Morris,J. Acute upper gastrointestinal haemorrhage. Gastrointestinal Emergencies. (2014), 43:3, pags</w:t>
      </w:r>
      <w:r>
        <w:rPr>
          <w:spacing w:val="-5"/>
          <w:sz w:val="20"/>
        </w:rPr>
        <w:t> </w:t>
      </w:r>
      <w:r>
        <w:rPr>
          <w:sz w:val="20"/>
        </w:rPr>
        <w:t>161-166</w:t>
      </w:r>
    </w:p>
    <w:p>
      <w:pPr>
        <w:pStyle w:val="ListParagraph"/>
        <w:numPr>
          <w:ilvl w:val="1"/>
          <w:numId w:val="9"/>
        </w:numPr>
        <w:tabs>
          <w:tab w:pos="2060" w:val="left" w:leader="none"/>
          <w:tab w:pos="2061" w:val="left" w:leader="none"/>
        </w:tabs>
        <w:spacing w:line="244" w:lineRule="exact" w:before="0" w:after="0"/>
        <w:ind w:left="2060" w:right="0" w:hanging="360"/>
        <w:jc w:val="left"/>
        <w:rPr>
          <w:rFonts w:ascii="Symbol"/>
          <w:sz w:val="20"/>
        </w:rPr>
      </w:pPr>
      <w:r>
        <w:rPr>
          <w:sz w:val="20"/>
        </w:rPr>
        <w:t>Feinman, M; Haut</w:t>
      </w:r>
      <w:r>
        <w:rPr>
          <w:sz w:val="20"/>
          <w:u w:val="single"/>
        </w:rPr>
        <w:t>, E. Upper gastrointestinal Bleeding.Surg Clin</w:t>
      </w:r>
      <w:r>
        <w:rPr>
          <w:sz w:val="20"/>
        </w:rPr>
        <w:t> N Am 94 (2014), pags</w:t>
      </w:r>
      <w:r>
        <w:rPr>
          <w:spacing w:val="-1"/>
          <w:sz w:val="20"/>
        </w:rPr>
        <w:t> </w:t>
      </w:r>
      <w:r>
        <w:rPr>
          <w:spacing w:val="-3"/>
          <w:sz w:val="20"/>
        </w:rPr>
        <w:t>43-46</w:t>
      </w:r>
    </w:p>
    <w:p>
      <w:pPr>
        <w:pStyle w:val="BodyText"/>
        <w:rPr>
          <w:sz w:val="20"/>
        </w:rPr>
      </w:pPr>
    </w:p>
    <w:p>
      <w:pPr>
        <w:pStyle w:val="BodyText"/>
        <w:rPr>
          <w:sz w:val="21"/>
        </w:rPr>
      </w:pPr>
    </w:p>
    <w:p>
      <w:pPr>
        <w:tabs>
          <w:tab w:pos="7742" w:val="left" w:leader="none"/>
        </w:tabs>
        <w:spacing w:before="94"/>
        <w:ind w:left="1700" w:right="0" w:firstLine="0"/>
        <w:jc w:val="left"/>
        <w:rPr>
          <w:sz w:val="20"/>
        </w:rPr>
      </w:pPr>
      <w:r>
        <w:rPr>
          <w:sz w:val="20"/>
        </w:rPr>
        <w:t>Recepción: 09 Junio</w:t>
      </w:r>
      <w:r>
        <w:rPr>
          <w:spacing w:val="0"/>
          <w:sz w:val="20"/>
        </w:rPr>
        <w:t> </w:t>
      </w:r>
      <w:r>
        <w:rPr>
          <w:sz w:val="20"/>
        </w:rPr>
        <w:t>de</w:t>
      </w:r>
      <w:r>
        <w:rPr>
          <w:spacing w:val="-5"/>
          <w:sz w:val="20"/>
        </w:rPr>
        <w:t> </w:t>
      </w:r>
      <w:r>
        <w:rPr>
          <w:sz w:val="20"/>
        </w:rPr>
        <w:t>2016</w:t>
        <w:tab/>
        <w:t>Aprobación: 20 Junio de</w:t>
      </w:r>
      <w:r>
        <w:rPr>
          <w:spacing w:val="-1"/>
          <w:sz w:val="20"/>
        </w:rPr>
        <w:t> </w:t>
      </w:r>
      <w:r>
        <w:rPr>
          <w:sz w:val="20"/>
        </w:rPr>
        <w:t>2016</w:t>
      </w:r>
    </w:p>
    <w:p>
      <w:pPr>
        <w:spacing w:after="0"/>
        <w:jc w:val="left"/>
        <w:rPr>
          <w:sz w:val="20"/>
        </w:rPr>
        <w:sectPr>
          <w:type w:val="continuous"/>
          <w:pgSz w:w="12240" w:h="15840"/>
          <w:pgMar w:top="1500" w:bottom="0" w:left="0" w:right="0"/>
        </w:sect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8"/>
        <w:gridCol w:w="7002"/>
      </w:tblGrid>
      <w:tr>
        <w:trPr>
          <w:trHeight w:val="340" w:hRule="atLeast"/>
        </w:trPr>
        <w:tc>
          <w:tcPr>
            <w:tcW w:w="2148" w:type="dxa"/>
          </w:tcPr>
          <w:p>
            <w:pPr>
              <w:pStyle w:val="TableParagraph"/>
              <w:rPr>
                <w:rFonts w:ascii="Times New Roman"/>
                <w:sz w:val="20"/>
              </w:rPr>
            </w:pPr>
          </w:p>
        </w:tc>
        <w:tc>
          <w:tcPr>
            <w:tcW w:w="7002" w:type="dxa"/>
          </w:tcPr>
          <w:p>
            <w:pPr>
              <w:pStyle w:val="TableParagraph"/>
              <w:spacing w:line="313" w:lineRule="exact"/>
              <w:ind w:left="2781" w:right="2780"/>
              <w:jc w:val="center"/>
              <w:rPr>
                <w:b/>
                <w:sz w:val="28"/>
              </w:rPr>
            </w:pPr>
            <w:r>
              <w:rPr>
                <w:b/>
                <w:sz w:val="28"/>
              </w:rPr>
              <w:t>ICTERICIA</w:t>
            </w:r>
          </w:p>
        </w:tc>
      </w:tr>
      <w:tr>
        <w:trPr>
          <w:trHeight w:val="447" w:hRule="atLeast"/>
        </w:trPr>
        <w:tc>
          <w:tcPr>
            <w:tcW w:w="2148" w:type="dxa"/>
            <w:vMerge w:val="restart"/>
          </w:tcPr>
          <w:p>
            <w:pPr>
              <w:pStyle w:val="TableParagraph"/>
              <w:spacing w:line="256" w:lineRule="auto" w:before="22"/>
              <w:ind w:left="528" w:hanging="273"/>
              <w:rPr>
                <w:sz w:val="16"/>
              </w:rPr>
            </w:pPr>
            <w:r>
              <w:rPr>
                <w:sz w:val="16"/>
              </w:rPr>
              <w:t>Revista Médica Sinergia ISSN 2215-4523</w:t>
            </w:r>
          </w:p>
          <w:p>
            <w:pPr>
              <w:pStyle w:val="TableParagraph"/>
              <w:spacing w:line="261" w:lineRule="auto" w:before="3"/>
              <w:ind w:left="371" w:right="277" w:firstLine="307"/>
              <w:rPr>
                <w:sz w:val="16"/>
              </w:rPr>
            </w:pPr>
            <w:r>
              <w:rPr>
                <w:sz w:val="16"/>
              </w:rPr>
              <w:t>Vol.1 Num:7 Julio 2016 pp:14-18</w:t>
            </w:r>
          </w:p>
        </w:tc>
        <w:tc>
          <w:tcPr>
            <w:tcW w:w="7002" w:type="dxa"/>
          </w:tcPr>
          <w:p>
            <w:pPr>
              <w:pStyle w:val="TableParagraph"/>
              <w:spacing w:before="26"/>
              <w:ind w:left="2777" w:right="2780"/>
              <w:jc w:val="center"/>
              <w:rPr>
                <w:sz w:val="22"/>
              </w:rPr>
            </w:pPr>
            <w:r>
              <w:rPr>
                <w:sz w:val="22"/>
              </w:rPr>
              <w:t>(</w:t>
            </w:r>
            <w:r>
              <w:rPr>
                <w:sz w:val="20"/>
              </w:rPr>
              <w:t>JAUNDICE</w:t>
            </w:r>
            <w:r>
              <w:rPr>
                <w:sz w:val="22"/>
              </w:rPr>
              <w:t>)</w:t>
            </w:r>
          </w:p>
        </w:tc>
      </w:tr>
      <w:tr>
        <w:trPr>
          <w:trHeight w:val="481" w:hRule="atLeast"/>
        </w:trPr>
        <w:tc>
          <w:tcPr>
            <w:tcW w:w="2148" w:type="dxa"/>
            <w:vMerge/>
            <w:tcBorders>
              <w:top w:val="nil"/>
            </w:tcBorders>
          </w:tcPr>
          <w:p>
            <w:pPr>
              <w:rPr>
                <w:sz w:val="2"/>
                <w:szCs w:val="2"/>
              </w:rPr>
            </w:pPr>
          </w:p>
        </w:tc>
        <w:tc>
          <w:tcPr>
            <w:tcW w:w="7002" w:type="dxa"/>
          </w:tcPr>
          <w:p>
            <w:pPr>
              <w:pStyle w:val="TableParagraph"/>
              <w:spacing w:before="160"/>
              <w:ind w:left="3974"/>
              <w:rPr>
                <w:sz w:val="24"/>
              </w:rPr>
            </w:pPr>
            <w:r>
              <w:rPr>
                <w:sz w:val="24"/>
              </w:rPr>
              <w:t>* Daniel Mondragón Bustos</w:t>
            </w:r>
          </w:p>
        </w:tc>
      </w:tr>
      <w:tr>
        <w:trPr>
          <w:trHeight w:val="9602" w:hRule="atLeast"/>
        </w:trPr>
        <w:tc>
          <w:tcPr>
            <w:tcW w:w="2148"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61" w:lineRule="auto" w:before="107"/>
              <w:ind w:left="200"/>
              <w:rPr>
                <w:sz w:val="16"/>
              </w:rPr>
            </w:pPr>
            <w:r>
              <w:rPr>
                <w:sz w:val="16"/>
              </w:rPr>
              <w:t>*Médico General. Universidad de Ciencias Médicas(UCIMED). San</w:t>
            </w:r>
          </w:p>
          <w:p>
            <w:pPr>
              <w:pStyle w:val="TableParagraph"/>
              <w:spacing w:line="180" w:lineRule="exact"/>
              <w:ind w:left="200"/>
              <w:rPr>
                <w:sz w:val="16"/>
              </w:rPr>
            </w:pPr>
            <w:r>
              <w:rPr>
                <w:sz w:val="16"/>
              </w:rPr>
              <w:t>José- Costa Rica.</w:t>
            </w:r>
          </w:p>
        </w:tc>
        <w:tc>
          <w:tcPr>
            <w:tcW w:w="7002" w:type="dxa"/>
            <w:shd w:val="clear" w:color="auto" w:fill="D4E2FF"/>
          </w:tcPr>
          <w:p>
            <w:pPr>
              <w:pStyle w:val="TableParagraph"/>
              <w:spacing w:line="251" w:lineRule="exact"/>
              <w:ind w:left="108"/>
              <w:rPr>
                <w:sz w:val="22"/>
              </w:rPr>
            </w:pPr>
            <w:r>
              <w:rPr>
                <w:sz w:val="22"/>
              </w:rPr>
              <w:t>RESUMEN</w:t>
            </w:r>
          </w:p>
          <w:p>
            <w:pPr>
              <w:pStyle w:val="TableParagraph"/>
              <w:spacing w:line="276" w:lineRule="auto" w:before="35"/>
              <w:ind w:left="108" w:right="143"/>
              <w:rPr>
                <w:sz w:val="22"/>
              </w:rPr>
            </w:pPr>
            <w:r>
              <w:rPr>
                <w:color w:val="212121"/>
                <w:sz w:val="22"/>
              </w:rPr>
              <w:t>La ictericia es una coloración amarillenta de conjuntivas, piel y mucosas, esto es debido al depósito del pigmento de la bilirrubina en los tejidos. En adultos sanos la concentración normal de bilirrubina en suero es menor de 1-1.5 mg/dL, y va a ser visible cuando las concentraciones exceden 3 mg/dL.</w:t>
            </w:r>
          </w:p>
          <w:p>
            <w:pPr>
              <w:pStyle w:val="TableParagraph"/>
              <w:spacing w:line="276" w:lineRule="auto" w:before="1"/>
              <w:ind w:left="108" w:right="143"/>
              <w:rPr>
                <w:sz w:val="22"/>
              </w:rPr>
            </w:pPr>
            <w:r>
              <w:rPr>
                <w:color w:val="212121"/>
                <w:sz w:val="22"/>
              </w:rPr>
              <w:t>En la historia del paciente ictérico es importante identificar los datos de obstrucción biliar o enfermedad hepática.</w:t>
            </w:r>
          </w:p>
          <w:p>
            <w:pPr>
              <w:pStyle w:val="TableParagraph"/>
              <w:spacing w:line="276" w:lineRule="auto"/>
              <w:ind w:left="108" w:right="143"/>
              <w:rPr>
                <w:sz w:val="22"/>
              </w:rPr>
            </w:pPr>
            <w:r>
              <w:rPr>
                <w:color w:val="212121"/>
                <w:sz w:val="22"/>
              </w:rPr>
              <w:t>El tratamiento va a ir dirigido a tratar la causa de la hiperbilirrubinemia, en la ictericia no obstructiva, se debe tratar la causa subyacente (autoinmune, viral, medicamentos), en la ictericia obstructiva el tratamiento se enfoca en aliviar la obstrucción.</w:t>
            </w:r>
          </w:p>
          <w:p>
            <w:pPr>
              <w:pStyle w:val="TableParagraph"/>
              <w:spacing w:before="4"/>
              <w:rPr>
                <w:sz w:val="25"/>
              </w:rPr>
            </w:pPr>
          </w:p>
          <w:p>
            <w:pPr>
              <w:pStyle w:val="TableParagraph"/>
              <w:ind w:left="108"/>
              <w:rPr>
                <w:sz w:val="22"/>
              </w:rPr>
            </w:pPr>
            <w:r>
              <w:rPr>
                <w:sz w:val="22"/>
              </w:rPr>
              <w:t>DESCRIPTORES</w:t>
            </w:r>
          </w:p>
          <w:p>
            <w:pPr>
              <w:pStyle w:val="TableParagraph"/>
              <w:spacing w:line="278" w:lineRule="auto" w:before="38"/>
              <w:ind w:left="108"/>
              <w:rPr>
                <w:sz w:val="22"/>
              </w:rPr>
            </w:pPr>
            <w:r>
              <w:rPr>
                <w:color w:val="212121"/>
                <w:sz w:val="22"/>
              </w:rPr>
              <w:t>Ictericia, bilirrubina, obstrucción biliar, </w:t>
            </w:r>
            <w:r>
              <w:rPr>
                <w:sz w:val="22"/>
              </w:rPr>
              <w:t>coledocolitiasis, </w:t>
            </w:r>
            <w:r>
              <w:rPr>
                <w:color w:val="212121"/>
                <w:sz w:val="22"/>
              </w:rPr>
              <w:t>enfermedad hepática, hepatitis.</w:t>
            </w:r>
          </w:p>
          <w:p>
            <w:pPr>
              <w:pStyle w:val="TableParagraph"/>
              <w:spacing w:before="11"/>
              <w:rPr>
                <w:sz w:val="24"/>
              </w:rPr>
            </w:pPr>
          </w:p>
          <w:p>
            <w:pPr>
              <w:pStyle w:val="TableParagraph"/>
              <w:ind w:left="108"/>
              <w:rPr>
                <w:sz w:val="22"/>
              </w:rPr>
            </w:pPr>
            <w:r>
              <w:rPr>
                <w:sz w:val="22"/>
              </w:rPr>
              <w:t>SUMMARY:</w:t>
            </w:r>
          </w:p>
          <w:p>
            <w:pPr>
              <w:pStyle w:val="TableParagraph"/>
              <w:spacing w:line="276" w:lineRule="auto" w:before="38"/>
              <w:ind w:left="108" w:right="143"/>
              <w:rPr>
                <w:sz w:val="22"/>
              </w:rPr>
            </w:pPr>
            <w:r>
              <w:rPr>
                <w:sz w:val="22"/>
              </w:rPr>
              <w:t>Jaundice refers to yellowing of conjunctive, skin and mucous membranes; this is due to deposition of pigment bilirubin in the tissues. In healthy adults the normal concentration of serum bilirubin is less than 1-1.5 mg / dL, and will be visible when concentrations exceed 3 mg / dL.</w:t>
            </w:r>
          </w:p>
          <w:p>
            <w:pPr>
              <w:pStyle w:val="TableParagraph"/>
              <w:spacing w:line="278" w:lineRule="auto"/>
              <w:ind w:left="108" w:right="151"/>
              <w:rPr>
                <w:sz w:val="22"/>
              </w:rPr>
            </w:pPr>
            <w:r>
              <w:rPr>
                <w:sz w:val="22"/>
              </w:rPr>
              <w:t>In the history of the jaundiced patient it is important to identify the data of biliary obstruction or liver disease.</w:t>
            </w:r>
          </w:p>
          <w:p>
            <w:pPr>
              <w:pStyle w:val="TableParagraph"/>
              <w:spacing w:line="276" w:lineRule="auto" w:before="2"/>
              <w:ind w:left="108" w:right="105"/>
              <w:rPr>
                <w:sz w:val="22"/>
              </w:rPr>
            </w:pPr>
            <w:r>
              <w:rPr>
                <w:sz w:val="22"/>
              </w:rPr>
              <w:t>Treatment will be aimed at treating the cause of hyperbilirubinemia in non-obstructive jaundice, treat the underlying cause (autoimmune, viral, drugs) in obstructive jaundice treatment focuses on relieving the obstruction.</w:t>
            </w:r>
          </w:p>
          <w:p>
            <w:pPr>
              <w:pStyle w:val="TableParagraph"/>
              <w:spacing w:before="6"/>
              <w:rPr>
                <w:sz w:val="25"/>
              </w:rPr>
            </w:pPr>
          </w:p>
          <w:p>
            <w:pPr>
              <w:pStyle w:val="TableParagraph"/>
              <w:ind w:left="108"/>
              <w:rPr>
                <w:sz w:val="22"/>
              </w:rPr>
            </w:pPr>
            <w:r>
              <w:rPr>
                <w:sz w:val="22"/>
              </w:rPr>
              <w:t>KEYWORDS</w:t>
            </w:r>
          </w:p>
          <w:p>
            <w:pPr>
              <w:pStyle w:val="TableParagraph"/>
              <w:spacing w:line="292" w:lineRule="exact" w:before="7"/>
              <w:ind w:left="108" w:right="857"/>
              <w:rPr>
                <w:sz w:val="22"/>
              </w:rPr>
            </w:pPr>
            <w:r>
              <w:rPr>
                <w:sz w:val="22"/>
              </w:rPr>
              <w:t>Jaundice, bilirubin, bile duct obstruction, bile duct stones, liver disease, hepatitis.</w:t>
            </w:r>
          </w:p>
        </w:tc>
      </w:tr>
    </w:tbl>
    <w:p>
      <w:pPr>
        <w:pStyle w:val="BodyText"/>
        <w:spacing w:before="9"/>
        <w:rPr>
          <w:sz w:val="16"/>
        </w:rPr>
      </w:pPr>
    </w:p>
    <w:p>
      <w:pPr>
        <w:spacing w:after="0"/>
        <w:rPr>
          <w:sz w:val="16"/>
        </w:rPr>
        <w:sectPr>
          <w:headerReference w:type="even" r:id="rId65"/>
          <w:pgSz w:w="12240" w:h="15840"/>
          <w:pgMar w:header="0" w:footer="854" w:top="1420" w:bottom="1040" w:left="0" w:right="0"/>
        </w:sectPr>
      </w:pPr>
    </w:p>
    <w:p>
      <w:pPr>
        <w:pStyle w:val="Heading3"/>
        <w:spacing w:before="93"/>
      </w:pPr>
      <w:r>
        <w:rPr/>
        <w:t>INTRODUCCION</w:t>
      </w:r>
    </w:p>
    <w:p>
      <w:pPr>
        <w:pStyle w:val="BodyText"/>
        <w:spacing w:before="1"/>
        <w:rPr>
          <w:b/>
          <w:sz w:val="21"/>
        </w:rPr>
      </w:pPr>
    </w:p>
    <w:p>
      <w:pPr>
        <w:pStyle w:val="BodyText"/>
        <w:spacing w:line="276" w:lineRule="auto" w:before="1"/>
        <w:ind w:left="1700"/>
        <w:jc w:val="both"/>
      </w:pPr>
      <w:r>
        <w:rPr/>
        <w:t>La ictericia se </w:t>
      </w:r>
      <w:r>
        <w:rPr>
          <w:spacing w:val="-3"/>
        </w:rPr>
        <w:t>refiere </w:t>
      </w:r>
      <w:r>
        <w:rPr/>
        <w:t>a una condición en </w:t>
      </w:r>
      <w:r>
        <w:rPr>
          <w:spacing w:val="-3"/>
        </w:rPr>
        <w:t>la </w:t>
      </w:r>
      <w:r>
        <w:rPr/>
        <w:t>que se aprecia una coloración amarillenta de conjuntivas, piel y mucosas, esto debido al depósito</w:t>
      </w:r>
      <w:r>
        <w:rPr>
          <w:spacing w:val="53"/>
        </w:rPr>
        <w:t> </w:t>
      </w:r>
      <w:r>
        <w:rPr/>
        <w:t>del</w:t>
      </w:r>
    </w:p>
    <w:p>
      <w:pPr>
        <w:pStyle w:val="BodyText"/>
        <w:spacing w:line="276" w:lineRule="auto" w:before="95"/>
        <w:ind w:left="684" w:right="1694"/>
        <w:jc w:val="both"/>
      </w:pPr>
      <w:r>
        <w:rPr/>
        <w:br w:type="column"/>
      </w:r>
      <w:r>
        <w:rPr/>
        <w:t>pigmento de </w:t>
      </w:r>
      <w:r>
        <w:rPr>
          <w:spacing w:val="-3"/>
        </w:rPr>
        <w:t>la </w:t>
      </w:r>
      <w:r>
        <w:rPr/>
        <w:t>bilirrubina en los tejidos. En adultos sanos </w:t>
      </w:r>
      <w:r>
        <w:rPr>
          <w:spacing w:val="-3"/>
        </w:rPr>
        <w:t>la </w:t>
      </w:r>
      <w:r>
        <w:rPr/>
        <w:t>concentración normal de bilirrubina en suero </w:t>
      </w:r>
      <w:r>
        <w:rPr>
          <w:color w:val="221F1F"/>
        </w:rPr>
        <w:t>es menor de 1-1.5 mg/dL, y va a ser visible cuando las concentraciones exceden 3</w:t>
      </w:r>
      <w:r>
        <w:rPr>
          <w:color w:val="221F1F"/>
          <w:spacing w:val="-10"/>
        </w:rPr>
        <w:t> </w:t>
      </w:r>
      <w:r>
        <w:rPr>
          <w:color w:val="221F1F"/>
        </w:rPr>
        <w:t>mg/dL.</w:t>
      </w:r>
    </w:p>
    <w:p>
      <w:pPr>
        <w:spacing w:after="0" w:line="276" w:lineRule="auto"/>
        <w:jc w:val="both"/>
        <w:sectPr>
          <w:type w:val="continuous"/>
          <w:pgSz w:w="12240" w:h="15840"/>
          <w:pgMar w:top="1500" w:bottom="0" w:left="0" w:right="0"/>
          <w:cols w:num="2" w:equalWidth="0">
            <w:col w:w="5758" w:space="40"/>
            <w:col w:w="6442"/>
          </w:cols>
        </w:sectPr>
      </w:pPr>
    </w:p>
    <w:p>
      <w:pPr>
        <w:pStyle w:val="BodyText"/>
        <w:rPr>
          <w:sz w:val="20"/>
        </w:rPr>
      </w:pPr>
    </w:p>
    <w:p>
      <w:pPr>
        <w:spacing w:after="0"/>
        <w:rPr>
          <w:sz w:val="20"/>
        </w:rPr>
        <w:sectPr>
          <w:headerReference w:type="default" r:id="rId66"/>
          <w:headerReference w:type="even" r:id="rId67"/>
          <w:footerReference w:type="default" r:id="rId68"/>
          <w:footerReference w:type="even" r:id="rId69"/>
          <w:pgSz w:w="12240" w:h="15840"/>
          <w:pgMar w:header="723" w:footer="864" w:top="940" w:bottom="1060" w:left="0" w:right="0"/>
          <w:pgNumType w:start="15"/>
        </w:sectPr>
      </w:pPr>
    </w:p>
    <w:p>
      <w:pPr>
        <w:pStyle w:val="BodyText"/>
        <w:spacing w:before="5"/>
        <w:rPr>
          <w:sz w:val="20"/>
        </w:rPr>
      </w:pPr>
    </w:p>
    <w:p>
      <w:pPr>
        <w:pStyle w:val="Heading3"/>
        <w:spacing w:line="278" w:lineRule="auto"/>
        <w:ind w:right="1457"/>
      </w:pPr>
      <w:r>
        <w:rPr/>
        <w:t>METABOLISMO DE LA BILIRRUBINA</w:t>
      </w:r>
    </w:p>
    <w:p>
      <w:pPr>
        <w:pStyle w:val="BodyText"/>
        <w:tabs>
          <w:tab w:pos="4392" w:val="left" w:leader="none"/>
          <w:tab w:pos="4846" w:val="left" w:leader="none"/>
        </w:tabs>
        <w:spacing w:line="276" w:lineRule="auto" w:before="199"/>
        <w:ind w:left="1700"/>
        <w:jc w:val="both"/>
      </w:pPr>
      <w:r>
        <w:rPr/>
        <w:t>El producto final de </w:t>
      </w:r>
      <w:r>
        <w:rPr>
          <w:spacing w:val="-3"/>
        </w:rPr>
        <w:t>la </w:t>
      </w:r>
      <w:r>
        <w:rPr/>
        <w:t>degradación del grupo hemo es </w:t>
      </w:r>
      <w:r>
        <w:rPr>
          <w:spacing w:val="-3"/>
        </w:rPr>
        <w:t>la </w:t>
      </w:r>
      <w:r>
        <w:rPr/>
        <w:t>bilirrubina. Diariamente se producen 4 mg/kg (250-300mg) de bilirrubina, </w:t>
      </w:r>
      <w:r>
        <w:rPr>
          <w:spacing w:val="-3"/>
        </w:rPr>
        <w:t>la </w:t>
      </w:r>
      <w:r>
        <w:rPr/>
        <w:t>mayor parte (70-80%) de esta bilirrubina proviene de </w:t>
      </w:r>
      <w:r>
        <w:rPr>
          <w:spacing w:val="-3"/>
        </w:rPr>
        <w:t>la </w:t>
      </w:r>
      <w:r>
        <w:rPr/>
        <w:t>degradación de </w:t>
      </w:r>
      <w:r>
        <w:rPr>
          <w:spacing w:val="-3"/>
        </w:rPr>
        <w:t>la </w:t>
      </w:r>
      <w:r>
        <w:rPr/>
        <w:t>hemoglobina de los eritrocitos viejos circulantes, </w:t>
      </w:r>
      <w:r>
        <w:rPr>
          <w:spacing w:val="-3"/>
        </w:rPr>
        <w:t>la </w:t>
      </w:r>
      <w:r>
        <w:rPr/>
        <w:t>bilirrubina restante (20-30%) proviene de </w:t>
      </w:r>
      <w:r>
        <w:rPr>
          <w:spacing w:val="-3"/>
        </w:rPr>
        <w:t>la </w:t>
      </w:r>
      <w:r>
        <w:rPr/>
        <w:t>degradación de hemoproteinas. Para formar bilirrubina a partir del grupo hemo es necesario 2 reacciones enzimáticas, </w:t>
      </w:r>
      <w:r>
        <w:rPr>
          <w:spacing w:val="-3"/>
        </w:rPr>
        <w:t>la </w:t>
      </w:r>
      <w:r>
        <w:rPr/>
        <w:t>hemooxigenasa cataliza </w:t>
      </w:r>
      <w:r>
        <w:rPr>
          <w:spacing w:val="-3"/>
        </w:rPr>
        <w:t>la  </w:t>
      </w:r>
      <w:r>
        <w:rPr/>
        <w:t>apertura del anillo del grupo hemo para </w:t>
      </w:r>
      <w:r>
        <w:rPr>
          <w:spacing w:val="-3"/>
        </w:rPr>
        <w:t>la </w:t>
      </w:r>
      <w:r>
        <w:rPr/>
        <w:t>formación de biliverdina, luego </w:t>
      </w:r>
      <w:r>
        <w:rPr>
          <w:spacing w:val="-3"/>
        </w:rPr>
        <w:t>la </w:t>
      </w:r>
      <w:r>
        <w:rPr/>
        <w:t>biliverdina reductasa actúa sobre </w:t>
      </w:r>
      <w:r>
        <w:rPr>
          <w:spacing w:val="-3"/>
        </w:rPr>
        <w:t>la </w:t>
      </w:r>
      <w:r>
        <w:rPr/>
        <w:t>biliverdina reduciendo el puente de metileno central y formando bilirrubina no conjugada. Luego </w:t>
      </w:r>
      <w:r>
        <w:rPr>
          <w:spacing w:val="-3"/>
        </w:rPr>
        <w:t>la </w:t>
      </w:r>
      <w:r>
        <w:rPr/>
        <w:t>bilirrubina no conjugada se une a </w:t>
      </w:r>
      <w:r>
        <w:rPr>
          <w:spacing w:val="-3"/>
        </w:rPr>
        <w:t>la </w:t>
      </w:r>
      <w:r>
        <w:rPr/>
        <w:t>albúmina, y de esta forma viaja hasta el hígado, donde es captada a nivel de </w:t>
      </w:r>
      <w:r>
        <w:rPr>
          <w:spacing w:val="-3"/>
        </w:rPr>
        <w:t>la </w:t>
      </w:r>
      <w:r>
        <w:rPr/>
        <w:t>membrana sinusoidal, por proteínas transportadoras de aniones orgánicos (OATP). Luego de que </w:t>
      </w:r>
      <w:r>
        <w:rPr>
          <w:spacing w:val="-3"/>
        </w:rPr>
        <w:t>la </w:t>
      </w:r>
      <w:r>
        <w:rPr/>
        <w:t>bilirrubina no conjugada se encuentra dentro del hepatocito </w:t>
      </w:r>
      <w:r>
        <w:rPr>
          <w:spacing w:val="1"/>
        </w:rPr>
        <w:t>va </w:t>
      </w:r>
      <w:r>
        <w:rPr/>
        <w:t>a unirse a proteínas (glutation-</w:t>
      </w:r>
      <w:r>
        <w:rPr>
          <w:i/>
        </w:rPr>
        <w:t>S</w:t>
      </w:r>
      <w:r>
        <w:rPr/>
        <w:t>- transferasa) en el citosol y </w:t>
      </w:r>
      <w:r>
        <w:rPr>
          <w:spacing w:val="1"/>
        </w:rPr>
        <w:t>va </w:t>
      </w:r>
      <w:r>
        <w:rPr/>
        <w:t>a ser presentada al retículo endoplásmico donde va a ser conjugada con uridindifosfato-ácido glucurónico por </w:t>
      </w:r>
      <w:r>
        <w:rPr>
          <w:spacing w:val="-3"/>
        </w:rPr>
        <w:t>la </w:t>
      </w:r>
      <w:r>
        <w:rPr/>
        <w:t>enzima</w:t>
        <w:tab/>
      </w:r>
      <w:r>
        <w:rPr>
          <w:spacing w:val="-1"/>
        </w:rPr>
        <w:t>uridindifosfato </w:t>
      </w:r>
      <w:r>
        <w:rPr/>
        <w:t>glucuronosiltransferasa</w:t>
        <w:tab/>
        <w:tab/>
      </w:r>
      <w:r>
        <w:rPr>
          <w:spacing w:val="-1"/>
        </w:rPr>
        <w:t>(UDPGT) </w:t>
      </w:r>
      <w:r>
        <w:rPr/>
        <w:t>generando monoglucurónido y diglucurónido de bilirrubina. La bilirrubina conjugada luego se </w:t>
      </w:r>
      <w:r>
        <w:rPr>
          <w:spacing w:val="1"/>
        </w:rPr>
        <w:t>va </w:t>
      </w:r>
      <w:r>
        <w:rPr/>
        <w:t>a secretar por el canalículo biliar a través del transportador apical MRP2 y en pequeñas cantidades se secreta al plasma mediante el transportador sinusoidal MRP3, una vez en plasma puede ser recapturado a nivel de</w:t>
      </w:r>
      <w:r>
        <w:rPr>
          <w:spacing w:val="41"/>
        </w:rPr>
        <w:t> </w:t>
      </w:r>
      <w:r>
        <w:rPr>
          <w:spacing w:val="-3"/>
        </w:rPr>
        <w:t>la</w:t>
      </w:r>
    </w:p>
    <w:p>
      <w:pPr>
        <w:pStyle w:val="BodyText"/>
        <w:spacing w:before="7"/>
        <w:rPr>
          <w:sz w:val="20"/>
        </w:rPr>
      </w:pPr>
      <w:r>
        <w:rPr/>
        <w:br w:type="column"/>
      </w:r>
      <w:r>
        <w:rPr>
          <w:sz w:val="20"/>
        </w:rPr>
      </w:r>
    </w:p>
    <w:p>
      <w:pPr>
        <w:pStyle w:val="BodyText"/>
        <w:spacing w:line="276" w:lineRule="auto" w:before="1"/>
        <w:ind w:left="678" w:right="1693"/>
        <w:jc w:val="both"/>
      </w:pPr>
      <w:r>
        <w:rPr/>
        <w:t>membrana sinusoidal por los transportadores sinusoidales OATP1B1y OATP1B3, si permanece en plasma puede ser filtrada a nivel glomerular y ser eliminado por </w:t>
      </w:r>
      <w:r>
        <w:rPr>
          <w:spacing w:val="-3"/>
        </w:rPr>
        <w:t>la </w:t>
      </w:r>
      <w:r>
        <w:rPr/>
        <w:t>orina. La bilirrubina conjugada excretada en bilis se encuentra aproximadamente en un 80% en su forma de diglucurónido y </w:t>
      </w:r>
      <w:r>
        <w:rPr>
          <w:spacing w:val="1"/>
        </w:rPr>
        <w:t>el </w:t>
      </w:r>
      <w:r>
        <w:rPr/>
        <w:t>restante en monoglucurónido; a nivel del íleon distal sufre hidrólisis por las glucuronidasas β bacterianas, luego es reducida por las bacterias a urobilinógenos, los cuales 80-90% se elimina por las heces y el restante se absorbe pasivamente para ser eliminado por hígado y una pequeña cantidad se elimina a nivel</w:t>
      </w:r>
      <w:r>
        <w:rPr>
          <w:spacing w:val="-7"/>
        </w:rPr>
        <w:t> </w:t>
      </w:r>
      <w:r>
        <w:rPr/>
        <w:t>renal.</w:t>
      </w:r>
    </w:p>
    <w:p>
      <w:pPr>
        <w:pStyle w:val="BodyText"/>
        <w:spacing w:before="9"/>
        <w:rPr>
          <w:sz w:val="20"/>
        </w:rPr>
      </w:pPr>
    </w:p>
    <w:p>
      <w:pPr>
        <w:pStyle w:val="Heading3"/>
        <w:ind w:left="678"/>
      </w:pPr>
      <w:r>
        <w:rPr/>
        <w:t>DIAGNOSTICO DIFERENCIAL</w:t>
      </w:r>
    </w:p>
    <w:p>
      <w:pPr>
        <w:pStyle w:val="BodyText"/>
        <w:spacing w:before="1"/>
        <w:rPr>
          <w:b/>
          <w:sz w:val="21"/>
        </w:rPr>
      </w:pPr>
    </w:p>
    <w:p>
      <w:pPr>
        <w:pStyle w:val="BodyText"/>
        <w:spacing w:line="276" w:lineRule="auto"/>
        <w:ind w:left="678" w:right="1698"/>
        <w:jc w:val="both"/>
      </w:pPr>
      <w:r>
        <w:rPr/>
        <w:t>La ictericia se debe a un desequilibrio entre </w:t>
      </w:r>
      <w:r>
        <w:rPr>
          <w:spacing w:val="-3"/>
        </w:rPr>
        <w:t>la </w:t>
      </w:r>
      <w:r>
        <w:rPr/>
        <w:t>producción y eliminación de </w:t>
      </w:r>
      <w:r>
        <w:rPr>
          <w:spacing w:val="-3"/>
        </w:rPr>
        <w:t>la </w:t>
      </w:r>
      <w:r>
        <w:rPr/>
        <w:t>bilirrubina. Debido a las características y mecanismos de </w:t>
      </w:r>
      <w:r>
        <w:rPr>
          <w:spacing w:val="-3"/>
        </w:rPr>
        <w:t>la </w:t>
      </w:r>
      <w:r>
        <w:rPr/>
        <w:t>formación, metabolismo y transporte de </w:t>
      </w:r>
      <w:r>
        <w:rPr>
          <w:spacing w:val="-3"/>
        </w:rPr>
        <w:t>la </w:t>
      </w:r>
      <w:r>
        <w:rPr/>
        <w:t>bilirrubina, se pueden clasificar las condiciones asociadas con ictericia en: Desórdenes aislados del metabolismo de bilirrubina, enfermedad hepática y obstrucción</w:t>
      </w:r>
      <w:r>
        <w:rPr>
          <w:spacing w:val="-1"/>
        </w:rPr>
        <w:t> </w:t>
      </w:r>
      <w:r>
        <w:rPr/>
        <w:t>biliar.</w:t>
      </w:r>
    </w:p>
    <w:p>
      <w:pPr>
        <w:pStyle w:val="BodyText"/>
        <w:spacing w:before="5"/>
        <w:rPr>
          <w:sz w:val="20"/>
        </w:rPr>
      </w:pPr>
    </w:p>
    <w:p>
      <w:pPr>
        <w:pStyle w:val="Heading3"/>
        <w:spacing w:line="278" w:lineRule="auto"/>
        <w:ind w:left="678" w:right="1911"/>
      </w:pPr>
      <w:r>
        <w:rPr/>
        <w:t>DESORDENES AISLADOS DEL METABOLISMO DE BILIRRUBINA</w:t>
      </w:r>
    </w:p>
    <w:p>
      <w:pPr>
        <w:pStyle w:val="Heading4"/>
        <w:spacing w:before="196"/>
        <w:ind w:left="678"/>
      </w:pPr>
      <w:r>
        <w:rPr/>
        <w:t>Hiperbilirrubinemia No conjugada</w:t>
      </w:r>
    </w:p>
    <w:p>
      <w:pPr>
        <w:pStyle w:val="BodyText"/>
        <w:tabs>
          <w:tab w:pos="2778" w:val="left" w:leader="none"/>
        </w:tabs>
        <w:spacing w:line="276" w:lineRule="auto" w:before="42"/>
        <w:ind w:left="678" w:right="1696"/>
        <w:jc w:val="both"/>
      </w:pPr>
      <w:r>
        <w:rPr/>
        <w:t>Los desórdenes que elevan </w:t>
      </w:r>
      <w:r>
        <w:rPr>
          <w:spacing w:val="-3"/>
        </w:rPr>
        <w:t>la </w:t>
      </w:r>
      <w:r>
        <w:rPr/>
        <w:t>bilirrubina indirecta se caracterizan por tener función hepática, marcadores de colestasis (fosfatasa alcalina) y lesión hepatocelular</w:t>
        <w:tab/>
      </w:r>
      <w:r>
        <w:rPr>
          <w:spacing w:val="-1"/>
        </w:rPr>
        <w:t>(aminotransferasas) </w:t>
      </w:r>
      <w:r>
        <w:rPr/>
        <w:t>normales, se pueden clasificar</w:t>
      </w:r>
      <w:r>
        <w:rPr>
          <w:spacing w:val="-11"/>
        </w:rPr>
        <w:t> </w:t>
      </w:r>
      <w:r>
        <w:rPr/>
        <w:t>en:</w:t>
      </w:r>
    </w:p>
    <w:p>
      <w:pPr>
        <w:pStyle w:val="ListParagraph"/>
        <w:numPr>
          <w:ilvl w:val="0"/>
          <w:numId w:val="9"/>
        </w:numPr>
        <w:tabs>
          <w:tab w:pos="1039" w:val="left" w:leader="none"/>
        </w:tabs>
        <w:spacing w:line="273" w:lineRule="auto" w:before="2" w:after="0"/>
        <w:ind w:left="1038" w:right="1697" w:hanging="360"/>
        <w:jc w:val="both"/>
        <w:rPr>
          <w:rFonts w:ascii="Symbol" w:hAnsi="Symbol"/>
          <w:sz w:val="22"/>
        </w:rPr>
      </w:pPr>
      <w:r>
        <w:rPr>
          <w:sz w:val="22"/>
        </w:rPr>
        <w:t>Producción de bilirrubina aumentada: </w:t>
      </w:r>
      <w:r>
        <w:rPr>
          <w:spacing w:val="-3"/>
          <w:sz w:val="22"/>
        </w:rPr>
        <w:t>la</w:t>
      </w:r>
      <w:r>
        <w:rPr>
          <w:spacing w:val="55"/>
          <w:sz w:val="22"/>
        </w:rPr>
        <w:t> </w:t>
      </w:r>
      <w:r>
        <w:rPr>
          <w:sz w:val="22"/>
        </w:rPr>
        <w:t>eritropoyesis ineficaz, </w:t>
      </w:r>
      <w:r>
        <w:rPr>
          <w:spacing w:val="-3"/>
          <w:sz w:val="22"/>
        </w:rPr>
        <w:t>la </w:t>
      </w:r>
      <w:r>
        <w:rPr>
          <w:sz w:val="22"/>
        </w:rPr>
        <w:t>reabsorción de hematomas, y transfusión sanguínea, en</w:t>
      </w:r>
      <w:r>
        <w:rPr>
          <w:spacing w:val="-6"/>
          <w:sz w:val="22"/>
        </w:rPr>
        <w:t> </w:t>
      </w:r>
      <w:r>
        <w:rPr>
          <w:sz w:val="22"/>
        </w:rPr>
        <w:t>estas</w:t>
      </w:r>
    </w:p>
    <w:p>
      <w:pPr>
        <w:spacing w:after="0" w:line="273" w:lineRule="auto"/>
        <w:jc w:val="both"/>
        <w:rPr>
          <w:rFonts w:ascii="Symbol" w:hAnsi="Symbol"/>
          <w:sz w:val="22"/>
        </w:rPr>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pgSz w:w="12240" w:h="15840"/>
          <w:pgMar w:header="723" w:footer="854" w:top="940" w:bottom="1040" w:left="0" w:right="0"/>
        </w:sectPr>
      </w:pPr>
    </w:p>
    <w:p>
      <w:pPr>
        <w:pStyle w:val="BodyText"/>
        <w:spacing w:before="7"/>
        <w:rPr>
          <w:sz w:val="20"/>
        </w:rPr>
      </w:pPr>
    </w:p>
    <w:p>
      <w:pPr>
        <w:pStyle w:val="BodyText"/>
        <w:tabs>
          <w:tab w:pos="3236" w:val="left" w:leader="none"/>
          <w:tab w:pos="3776" w:val="left" w:leader="none"/>
          <w:tab w:pos="5515" w:val="left" w:leader="none"/>
        </w:tabs>
        <w:spacing w:line="276" w:lineRule="auto" w:before="1"/>
        <w:ind w:left="1700" w:right="1"/>
      </w:pPr>
      <w:r>
        <w:rPr/>
        <w:t>condiciones</w:t>
        <w:tab/>
      </w:r>
      <w:r>
        <w:rPr>
          <w:spacing w:val="-3"/>
        </w:rPr>
        <w:t>la</w:t>
        <w:tab/>
      </w:r>
      <w:r>
        <w:rPr/>
        <w:t>concentración</w:t>
        <w:tab/>
        <w:t>de bilirrubina no sobrepasa los 4-5</w:t>
      </w:r>
      <w:r>
        <w:rPr>
          <w:spacing w:val="-8"/>
        </w:rPr>
        <w:t> </w:t>
      </w:r>
      <w:r>
        <w:rPr/>
        <w:t>mg/dL.</w:t>
      </w:r>
    </w:p>
    <w:p>
      <w:pPr>
        <w:pStyle w:val="ListParagraph"/>
        <w:numPr>
          <w:ilvl w:val="1"/>
          <w:numId w:val="9"/>
        </w:numPr>
        <w:tabs>
          <w:tab w:pos="2061" w:val="left" w:leader="none"/>
        </w:tabs>
        <w:spacing w:line="276" w:lineRule="auto" w:before="163" w:after="0"/>
        <w:ind w:left="2060" w:right="3" w:hanging="360"/>
        <w:jc w:val="both"/>
        <w:rPr>
          <w:rFonts w:ascii="Symbol" w:hAnsi="Symbol"/>
          <w:sz w:val="22"/>
        </w:rPr>
      </w:pPr>
      <w:r>
        <w:rPr>
          <w:sz w:val="22"/>
        </w:rPr>
        <w:t>Disminución de </w:t>
      </w:r>
      <w:r>
        <w:rPr>
          <w:spacing w:val="-3"/>
          <w:sz w:val="22"/>
        </w:rPr>
        <w:t>la </w:t>
      </w:r>
      <w:r>
        <w:rPr>
          <w:sz w:val="22"/>
        </w:rPr>
        <w:t>captación de bilirrubina no conjugada por los hepatocitos: Medicamentos que actúan como inhibidores competitivos del transportador de </w:t>
      </w:r>
      <w:r>
        <w:rPr>
          <w:spacing w:val="-3"/>
          <w:sz w:val="22"/>
        </w:rPr>
        <w:t>la </w:t>
      </w:r>
      <w:r>
        <w:rPr>
          <w:sz w:val="22"/>
        </w:rPr>
        <w:t>membrana sinusoidal OATP1B1 (rifampicina y </w:t>
      </w:r>
      <w:r>
        <w:rPr>
          <w:spacing w:val="-3"/>
          <w:sz w:val="22"/>
        </w:rPr>
        <w:t>la </w:t>
      </w:r>
      <w:r>
        <w:rPr>
          <w:sz w:val="22"/>
        </w:rPr>
        <w:t>ciclosporina</w:t>
      </w:r>
      <w:r>
        <w:rPr>
          <w:spacing w:val="-1"/>
          <w:sz w:val="22"/>
        </w:rPr>
        <w:t> </w:t>
      </w:r>
      <w:r>
        <w:rPr>
          <w:sz w:val="22"/>
        </w:rPr>
        <w:t>A).</w:t>
      </w:r>
    </w:p>
    <w:p>
      <w:pPr>
        <w:pStyle w:val="ListParagraph"/>
        <w:numPr>
          <w:ilvl w:val="1"/>
          <w:numId w:val="9"/>
        </w:numPr>
        <w:tabs>
          <w:tab w:pos="2061" w:val="left" w:leader="none"/>
        </w:tabs>
        <w:spacing w:line="276" w:lineRule="auto" w:before="2" w:after="0"/>
        <w:ind w:left="2060" w:right="0" w:hanging="360"/>
        <w:jc w:val="both"/>
        <w:rPr>
          <w:rFonts w:ascii="Symbol" w:hAnsi="Symbol"/>
          <w:sz w:val="22"/>
        </w:rPr>
      </w:pPr>
      <w:r>
        <w:rPr>
          <w:sz w:val="22"/>
        </w:rPr>
        <w:t>Disminución de </w:t>
      </w:r>
      <w:r>
        <w:rPr>
          <w:spacing w:val="-3"/>
          <w:sz w:val="22"/>
        </w:rPr>
        <w:t>la </w:t>
      </w:r>
      <w:r>
        <w:rPr>
          <w:sz w:val="22"/>
        </w:rPr>
        <w:t>conjugación de bilirrubina: En este grupo se incluyen los trastornos hereditarios de </w:t>
      </w:r>
      <w:r>
        <w:rPr>
          <w:spacing w:val="-3"/>
          <w:sz w:val="22"/>
        </w:rPr>
        <w:t>la </w:t>
      </w:r>
      <w:r>
        <w:rPr>
          <w:sz w:val="22"/>
        </w:rPr>
        <w:t>conjugación, entre ellos el más común es el síndrome de Gilbert con una prevalencia del 10%, asociado a una reducción en </w:t>
      </w:r>
      <w:r>
        <w:rPr>
          <w:spacing w:val="-3"/>
          <w:sz w:val="22"/>
        </w:rPr>
        <w:t>la </w:t>
      </w:r>
      <w:r>
        <w:rPr>
          <w:sz w:val="22"/>
        </w:rPr>
        <w:t>transcripción del gen de </w:t>
      </w:r>
      <w:r>
        <w:rPr>
          <w:spacing w:val="-3"/>
          <w:sz w:val="22"/>
        </w:rPr>
        <w:t>la </w:t>
      </w:r>
      <w:r>
        <w:rPr>
          <w:sz w:val="22"/>
        </w:rPr>
        <w:t>UDPGT (UGT1A1), presentando menor conjugación de </w:t>
      </w:r>
      <w:r>
        <w:rPr>
          <w:spacing w:val="-3"/>
          <w:sz w:val="22"/>
        </w:rPr>
        <w:t>la </w:t>
      </w:r>
      <w:r>
        <w:rPr>
          <w:sz w:val="22"/>
        </w:rPr>
        <w:t>bilirrubina, tienen buen pronóstico y las concentraciones de bilirrubina en plasma son menores a 3 mg/dl. El síndrome de Crigler-Najjar se debe a mutaciones en el gen UGT1A1, en el tipo I va a haber ausencia de </w:t>
      </w:r>
      <w:r>
        <w:rPr>
          <w:spacing w:val="-3"/>
          <w:sz w:val="22"/>
        </w:rPr>
        <w:t>la </w:t>
      </w:r>
      <w:r>
        <w:rPr>
          <w:sz w:val="22"/>
        </w:rPr>
        <w:t>actividad de </w:t>
      </w:r>
      <w:r>
        <w:rPr>
          <w:spacing w:val="-3"/>
          <w:sz w:val="22"/>
        </w:rPr>
        <w:t>la </w:t>
      </w:r>
      <w:r>
        <w:rPr>
          <w:sz w:val="22"/>
        </w:rPr>
        <w:t>UDPGT, no va  a haber conjugación de </w:t>
      </w:r>
      <w:r>
        <w:rPr>
          <w:spacing w:val="-3"/>
          <w:sz w:val="22"/>
        </w:rPr>
        <w:t>la </w:t>
      </w:r>
      <w:r>
        <w:rPr>
          <w:sz w:val="22"/>
        </w:rPr>
        <w:t>bilirrubina, debido a esto pueden desarrollar complicaciones neurotóxicas a temprana edad; son pacientes que se benefician de fototerapia y el trasplante de hígado es </w:t>
      </w:r>
      <w:r>
        <w:rPr>
          <w:spacing w:val="-3"/>
          <w:sz w:val="22"/>
        </w:rPr>
        <w:t>la </w:t>
      </w:r>
      <w:r>
        <w:rPr>
          <w:sz w:val="22"/>
        </w:rPr>
        <w:t>mejor medida para prevenir </w:t>
      </w:r>
      <w:r>
        <w:rPr>
          <w:spacing w:val="-3"/>
          <w:sz w:val="22"/>
        </w:rPr>
        <w:t>la </w:t>
      </w:r>
      <w:r>
        <w:rPr>
          <w:sz w:val="22"/>
        </w:rPr>
        <w:t>muerte, las concentraciones de bilirrubina en plasma en un rango de 17-50mg/dL. El Crigler-Najjar tipo II tienen una disminución de </w:t>
      </w:r>
      <w:r>
        <w:rPr>
          <w:spacing w:val="-3"/>
          <w:sz w:val="22"/>
        </w:rPr>
        <w:t>la </w:t>
      </w:r>
      <w:r>
        <w:rPr>
          <w:sz w:val="22"/>
        </w:rPr>
        <w:t>actividad de </w:t>
      </w:r>
      <w:r>
        <w:rPr>
          <w:spacing w:val="-3"/>
          <w:sz w:val="22"/>
        </w:rPr>
        <w:t>la </w:t>
      </w:r>
      <w:r>
        <w:rPr>
          <w:sz w:val="22"/>
        </w:rPr>
        <w:t>UDPGT, con un pronóstico normal y concentraciones de bilirrubina en plasma en un rango de 6 – 45</w:t>
      </w:r>
      <w:r>
        <w:rPr>
          <w:spacing w:val="-10"/>
          <w:sz w:val="22"/>
        </w:rPr>
        <w:t> </w:t>
      </w:r>
      <w:r>
        <w:rPr>
          <w:sz w:val="22"/>
        </w:rPr>
        <w:t>mg/dL.</w:t>
      </w:r>
    </w:p>
    <w:p>
      <w:pPr>
        <w:pStyle w:val="BodyText"/>
        <w:spacing w:before="8"/>
        <w:rPr>
          <w:sz w:val="20"/>
        </w:rPr>
      </w:pPr>
    </w:p>
    <w:p>
      <w:pPr>
        <w:pStyle w:val="Heading4"/>
        <w:ind w:left="1700"/>
      </w:pPr>
      <w:r>
        <w:rPr/>
        <w:t>Hiperbilirrubinemia conjugada o mixta</w:t>
      </w:r>
    </w:p>
    <w:p>
      <w:pPr>
        <w:pStyle w:val="BodyText"/>
        <w:spacing w:before="6"/>
        <w:rPr>
          <w:b/>
          <w:sz w:val="24"/>
        </w:rPr>
      </w:pPr>
    </w:p>
    <w:p>
      <w:pPr>
        <w:pStyle w:val="BodyText"/>
        <w:spacing w:line="276" w:lineRule="auto" w:before="1"/>
        <w:ind w:left="1700"/>
      </w:pPr>
      <w:r>
        <w:rPr/>
        <w:t>Los trastornos hereditarios que producen hiperbilirrubinemia conjugada o mixta,</w:t>
      </w:r>
    </w:p>
    <w:p>
      <w:pPr>
        <w:pStyle w:val="BodyText"/>
        <w:spacing w:before="7"/>
        <w:rPr>
          <w:sz w:val="20"/>
        </w:rPr>
      </w:pPr>
      <w:r>
        <w:rPr/>
        <w:br w:type="column"/>
      </w:r>
      <w:r>
        <w:rPr>
          <w:sz w:val="20"/>
        </w:rPr>
      </w:r>
    </w:p>
    <w:p>
      <w:pPr>
        <w:pStyle w:val="BodyText"/>
        <w:spacing w:line="276" w:lineRule="auto" w:before="1"/>
        <w:ind w:left="676" w:right="1693"/>
        <w:jc w:val="both"/>
      </w:pPr>
      <w:r>
        <w:rPr/>
        <w:t>son el trastorno de Dubin-Johnson producido por polimorfismos del  Gen que codifica MRP2, debido a esto va a tener secreción inadecuada de bilirrubina conjugada al canalículo biliar; y </w:t>
      </w:r>
      <w:r>
        <w:rPr>
          <w:spacing w:val="1"/>
        </w:rPr>
        <w:t>el </w:t>
      </w:r>
      <w:r>
        <w:rPr/>
        <w:t>trastorno de Rotor que se produce por mecanismos más complejos donde se ha comprobado deficiencia combinada de los genes OATP1B1 y OATB1B3. Ambos síndromes tienen buen pronóstico y su concentración de bilirrubina en  plasma es menor a 7 mg /</w:t>
      </w:r>
      <w:r>
        <w:rPr>
          <w:spacing w:val="-13"/>
        </w:rPr>
        <w:t> </w:t>
      </w:r>
      <w:r>
        <w:rPr/>
        <w:t>dL.</w:t>
      </w:r>
    </w:p>
    <w:p>
      <w:pPr>
        <w:pStyle w:val="BodyText"/>
        <w:spacing w:before="9"/>
        <w:rPr>
          <w:sz w:val="20"/>
        </w:rPr>
      </w:pPr>
    </w:p>
    <w:p>
      <w:pPr>
        <w:pStyle w:val="Heading3"/>
        <w:spacing w:before="1"/>
        <w:ind w:left="676"/>
      </w:pPr>
      <w:r>
        <w:rPr/>
        <w:t>ENFERMEDAD HEPATICA</w:t>
      </w:r>
    </w:p>
    <w:p>
      <w:pPr>
        <w:pStyle w:val="BodyText"/>
        <w:spacing w:before="8"/>
        <w:rPr>
          <w:b/>
          <w:sz w:val="20"/>
        </w:rPr>
      </w:pPr>
    </w:p>
    <w:p>
      <w:pPr>
        <w:pStyle w:val="Heading4"/>
        <w:spacing w:before="1"/>
      </w:pPr>
      <w:r>
        <w:rPr/>
        <w:t>Disfunción hepatocelular</w:t>
      </w:r>
    </w:p>
    <w:p>
      <w:pPr>
        <w:pStyle w:val="BodyText"/>
        <w:spacing w:before="8"/>
        <w:rPr>
          <w:b/>
          <w:sz w:val="24"/>
        </w:rPr>
      </w:pPr>
    </w:p>
    <w:p>
      <w:pPr>
        <w:pStyle w:val="ListParagraph"/>
        <w:numPr>
          <w:ilvl w:val="0"/>
          <w:numId w:val="9"/>
        </w:numPr>
        <w:tabs>
          <w:tab w:pos="1037" w:val="left" w:leader="none"/>
          <w:tab w:pos="2571" w:val="left" w:leader="none"/>
          <w:tab w:pos="4034" w:val="left" w:leader="none"/>
        </w:tabs>
        <w:spacing w:line="276" w:lineRule="auto" w:before="0" w:after="0"/>
        <w:ind w:left="1036" w:right="1697" w:hanging="360"/>
        <w:jc w:val="both"/>
        <w:rPr>
          <w:rFonts w:ascii="Symbol" w:hAnsi="Symbol"/>
          <w:sz w:val="22"/>
        </w:rPr>
      </w:pPr>
      <w:r>
        <w:rPr>
          <w:sz w:val="22"/>
        </w:rPr>
        <w:t>Disfunción hepatocelular aguda que incluye las toxinas hepáticas como acetaminofén y etanol, </w:t>
      </w:r>
      <w:r>
        <w:rPr>
          <w:spacing w:val="-3"/>
          <w:sz w:val="22"/>
        </w:rPr>
        <w:t>la </w:t>
      </w:r>
      <w:r>
        <w:rPr>
          <w:sz w:val="22"/>
        </w:rPr>
        <w:t>isquemia hepática,</w:t>
        <w:tab/>
        <w:t>hepatitis</w:t>
        <w:tab/>
        <w:t>virales, preeclamsia, desordenes metabólicos como </w:t>
      </w:r>
      <w:r>
        <w:rPr>
          <w:spacing w:val="-3"/>
          <w:sz w:val="22"/>
        </w:rPr>
        <w:t>la </w:t>
      </w:r>
      <w:r>
        <w:rPr>
          <w:sz w:val="22"/>
        </w:rPr>
        <w:t>enfermedad de Wilson de novo.</w:t>
      </w:r>
    </w:p>
    <w:p>
      <w:pPr>
        <w:pStyle w:val="ListParagraph"/>
        <w:numPr>
          <w:ilvl w:val="0"/>
          <w:numId w:val="9"/>
        </w:numPr>
        <w:tabs>
          <w:tab w:pos="1037" w:val="left" w:leader="none"/>
        </w:tabs>
        <w:spacing w:line="273" w:lineRule="auto" w:before="3" w:after="0"/>
        <w:ind w:left="1036" w:right="1692" w:hanging="360"/>
        <w:jc w:val="both"/>
        <w:rPr>
          <w:rFonts w:ascii="Symbol" w:hAnsi="Symbol"/>
          <w:sz w:val="22"/>
        </w:rPr>
      </w:pPr>
      <w:r>
        <w:rPr>
          <w:sz w:val="22"/>
        </w:rPr>
        <w:t>Disfunción hepatocelular crónica: en este grupo están los padecimientos crónicos como las hepatitis virales B, C y D, </w:t>
      </w:r>
      <w:r>
        <w:rPr>
          <w:spacing w:val="-3"/>
          <w:sz w:val="22"/>
        </w:rPr>
        <w:t>la </w:t>
      </w:r>
      <w:r>
        <w:rPr>
          <w:sz w:val="22"/>
        </w:rPr>
        <w:t>hepatitis autoinmune, enfermedad celiaca, enfermedad </w:t>
      </w:r>
      <w:r>
        <w:rPr>
          <w:spacing w:val="1"/>
          <w:sz w:val="22"/>
        </w:rPr>
        <w:t>de </w:t>
      </w:r>
      <w:r>
        <w:rPr>
          <w:sz w:val="22"/>
        </w:rPr>
        <w:t>Wilson y</w:t>
      </w:r>
      <w:r>
        <w:rPr>
          <w:spacing w:val="-5"/>
          <w:sz w:val="22"/>
        </w:rPr>
        <w:t> </w:t>
      </w:r>
      <w:r>
        <w:rPr>
          <w:sz w:val="22"/>
        </w:rPr>
        <w:t>hemocromatosis.</w:t>
      </w:r>
    </w:p>
    <w:p>
      <w:pPr>
        <w:pStyle w:val="BodyText"/>
        <w:spacing w:before="10"/>
        <w:rPr>
          <w:sz w:val="20"/>
        </w:rPr>
      </w:pPr>
    </w:p>
    <w:p>
      <w:pPr>
        <w:pStyle w:val="Heading4"/>
        <w:spacing w:line="276" w:lineRule="auto" w:before="1"/>
        <w:ind w:right="655"/>
      </w:pPr>
      <w:r>
        <w:rPr/>
        <w:t>Desórdenes hepáticos con colestasis prominente</w:t>
      </w:r>
    </w:p>
    <w:p>
      <w:pPr>
        <w:pStyle w:val="BodyText"/>
        <w:spacing w:before="6"/>
        <w:rPr>
          <w:b/>
          <w:sz w:val="21"/>
        </w:rPr>
      </w:pPr>
    </w:p>
    <w:p>
      <w:pPr>
        <w:pStyle w:val="ListParagraph"/>
        <w:numPr>
          <w:ilvl w:val="0"/>
          <w:numId w:val="9"/>
        </w:numPr>
        <w:tabs>
          <w:tab w:pos="1037" w:val="left" w:leader="none"/>
        </w:tabs>
        <w:spacing w:line="273" w:lineRule="auto" w:before="0" w:after="0"/>
        <w:ind w:left="1036" w:right="1698" w:hanging="360"/>
        <w:jc w:val="both"/>
        <w:rPr>
          <w:rFonts w:ascii="Symbol"/>
          <w:sz w:val="22"/>
        </w:rPr>
      </w:pPr>
      <w:r>
        <w:rPr>
          <w:sz w:val="22"/>
        </w:rPr>
        <w:t>Enfermedades infiltrativas: entre ellas </w:t>
      </w:r>
      <w:r>
        <w:rPr>
          <w:spacing w:val="-3"/>
          <w:sz w:val="22"/>
        </w:rPr>
        <w:t>la</w:t>
      </w:r>
      <w:r>
        <w:rPr>
          <w:spacing w:val="55"/>
          <w:sz w:val="22"/>
        </w:rPr>
        <w:t> </w:t>
      </w:r>
      <w:r>
        <w:rPr>
          <w:sz w:val="22"/>
        </w:rPr>
        <w:t>granulomatosis, sarcoidosis, linfoma y</w:t>
      </w:r>
      <w:r>
        <w:rPr>
          <w:spacing w:val="-5"/>
          <w:sz w:val="22"/>
        </w:rPr>
        <w:t> </w:t>
      </w:r>
      <w:r>
        <w:rPr>
          <w:sz w:val="22"/>
        </w:rPr>
        <w:t>malignidad.</w:t>
      </w:r>
    </w:p>
    <w:p>
      <w:pPr>
        <w:pStyle w:val="ListParagraph"/>
        <w:numPr>
          <w:ilvl w:val="0"/>
          <w:numId w:val="9"/>
        </w:numPr>
        <w:tabs>
          <w:tab w:pos="1037" w:val="left" w:leader="none"/>
        </w:tabs>
        <w:spacing w:line="276" w:lineRule="auto" w:before="1" w:after="0"/>
        <w:ind w:left="1036" w:right="1697" w:hanging="360"/>
        <w:jc w:val="both"/>
        <w:rPr>
          <w:rFonts w:ascii="Symbol" w:hAnsi="Symbol"/>
          <w:sz w:val="22"/>
        </w:rPr>
      </w:pPr>
      <w:r>
        <w:rPr>
          <w:sz w:val="22"/>
        </w:rPr>
        <w:t>Lesión de los conlangiocitos: En casos como </w:t>
      </w:r>
      <w:r>
        <w:rPr>
          <w:spacing w:val="-3"/>
          <w:sz w:val="22"/>
        </w:rPr>
        <w:t>la </w:t>
      </w:r>
      <w:r>
        <w:rPr>
          <w:sz w:val="22"/>
        </w:rPr>
        <w:t>fibrosis quística, medicamentos como </w:t>
      </w:r>
      <w:r>
        <w:rPr>
          <w:spacing w:val="-3"/>
          <w:sz w:val="22"/>
        </w:rPr>
        <w:t>la </w:t>
      </w:r>
      <w:r>
        <w:rPr>
          <w:sz w:val="22"/>
        </w:rPr>
        <w:t>eritromicina o el TMP-SMX, </w:t>
      </w:r>
      <w:r>
        <w:rPr>
          <w:spacing w:val="-3"/>
          <w:sz w:val="22"/>
        </w:rPr>
        <w:t>la </w:t>
      </w:r>
      <w:r>
        <w:rPr>
          <w:sz w:val="22"/>
        </w:rPr>
        <w:t>cirrosis biliar primaria.</w:t>
      </w:r>
    </w:p>
    <w:p>
      <w:pPr>
        <w:pStyle w:val="ListParagraph"/>
        <w:numPr>
          <w:ilvl w:val="0"/>
          <w:numId w:val="9"/>
        </w:numPr>
        <w:tabs>
          <w:tab w:pos="1037" w:val="left" w:leader="none"/>
        </w:tabs>
        <w:spacing w:line="273" w:lineRule="auto" w:before="3" w:after="0"/>
        <w:ind w:left="1036" w:right="1698" w:hanging="360"/>
        <w:jc w:val="both"/>
        <w:rPr>
          <w:rFonts w:ascii="Symbol" w:hAnsi="Symbol"/>
          <w:sz w:val="22"/>
        </w:rPr>
      </w:pPr>
      <w:r>
        <w:rPr>
          <w:sz w:val="22"/>
        </w:rPr>
        <w:t>Causas Misceláneas: Medicamentos como esteroides anabólicos, estrógenos ya que pueden</w:t>
      </w:r>
      <w:r>
        <w:rPr>
          <w:spacing w:val="-14"/>
          <w:sz w:val="22"/>
        </w:rPr>
        <w:t> </w:t>
      </w:r>
      <w:r>
        <w:rPr>
          <w:sz w:val="22"/>
        </w:rPr>
        <w:t>interferir</w:t>
      </w:r>
    </w:p>
    <w:p>
      <w:pPr>
        <w:spacing w:after="0" w:line="273" w:lineRule="auto"/>
        <w:jc w:val="both"/>
        <w:rPr>
          <w:rFonts w:ascii="Symbol" w:hAnsi="Symbol"/>
          <w:sz w:val="22"/>
        </w:rPr>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pgSz w:w="12240" w:h="15840"/>
          <w:pgMar w:header="723" w:footer="864" w:top="940" w:bottom="1060" w:left="0" w:right="0"/>
        </w:sectPr>
      </w:pPr>
    </w:p>
    <w:p>
      <w:pPr>
        <w:pStyle w:val="BodyText"/>
        <w:spacing w:before="7"/>
        <w:rPr>
          <w:sz w:val="20"/>
        </w:rPr>
      </w:pPr>
    </w:p>
    <w:p>
      <w:pPr>
        <w:pStyle w:val="BodyText"/>
        <w:spacing w:line="259" w:lineRule="auto" w:before="1"/>
        <w:ind w:left="2060" w:right="122"/>
      </w:pPr>
      <w:r>
        <w:rPr/>
        <w:t>la excreción de sales biliares, la colestasis intra hepática del embarazo y síndromes paraneoplasicos.</w:t>
      </w:r>
    </w:p>
    <w:p>
      <w:pPr>
        <w:pStyle w:val="BodyText"/>
        <w:spacing w:before="6"/>
        <w:rPr>
          <w:sz w:val="20"/>
        </w:rPr>
      </w:pPr>
    </w:p>
    <w:p>
      <w:pPr>
        <w:pStyle w:val="Heading3"/>
        <w:spacing w:line="278" w:lineRule="auto"/>
        <w:ind w:left="3329" w:right="122" w:hanging="1493"/>
      </w:pPr>
      <w:r>
        <w:rPr/>
        <w:t>OBSTRUCCION DEL CONDUCTO BILIAR</w:t>
      </w:r>
    </w:p>
    <w:p>
      <w:pPr>
        <w:pStyle w:val="ListParagraph"/>
        <w:numPr>
          <w:ilvl w:val="1"/>
          <w:numId w:val="9"/>
        </w:numPr>
        <w:tabs>
          <w:tab w:pos="2060" w:val="left" w:leader="none"/>
          <w:tab w:pos="2061" w:val="left" w:leader="none"/>
        </w:tabs>
        <w:spacing w:line="240" w:lineRule="auto" w:before="200" w:after="0"/>
        <w:ind w:left="2060" w:right="0" w:hanging="360"/>
        <w:jc w:val="left"/>
        <w:rPr>
          <w:rFonts w:ascii="Symbol"/>
          <w:sz w:val="22"/>
        </w:rPr>
      </w:pPr>
      <w:r>
        <w:rPr>
          <w:sz w:val="22"/>
        </w:rPr>
        <w:t>Coledocolitiasis</w:t>
      </w:r>
    </w:p>
    <w:p>
      <w:pPr>
        <w:pStyle w:val="ListParagraph"/>
        <w:numPr>
          <w:ilvl w:val="1"/>
          <w:numId w:val="9"/>
        </w:numPr>
        <w:tabs>
          <w:tab w:pos="2061" w:val="left" w:leader="none"/>
        </w:tabs>
        <w:spacing w:line="273" w:lineRule="auto" w:before="34" w:after="0"/>
        <w:ind w:left="2060" w:right="3" w:hanging="360"/>
        <w:jc w:val="both"/>
        <w:rPr>
          <w:rFonts w:ascii="Symbol" w:hAnsi="Symbol"/>
          <w:sz w:val="22"/>
        </w:rPr>
      </w:pPr>
      <w:r>
        <w:rPr>
          <w:sz w:val="22"/>
        </w:rPr>
        <w:t>Enfermedades de los conductos biliares: colangiocarcinoma, colangitis esclerosante primaria, constricciones posquirúrgicas del conducto</w:t>
      </w:r>
      <w:r>
        <w:rPr>
          <w:spacing w:val="-11"/>
          <w:sz w:val="22"/>
        </w:rPr>
        <w:t> </w:t>
      </w:r>
      <w:r>
        <w:rPr>
          <w:sz w:val="22"/>
        </w:rPr>
        <w:t>biliar.</w:t>
      </w:r>
    </w:p>
    <w:p>
      <w:pPr>
        <w:pStyle w:val="ListParagraph"/>
        <w:numPr>
          <w:ilvl w:val="1"/>
          <w:numId w:val="9"/>
        </w:numPr>
        <w:tabs>
          <w:tab w:pos="2060" w:val="left" w:leader="none"/>
          <w:tab w:pos="2061" w:val="left" w:leader="none"/>
        </w:tabs>
        <w:spacing w:line="268" w:lineRule="auto" w:before="6" w:after="0"/>
        <w:ind w:left="2060" w:right="4" w:hanging="360"/>
        <w:jc w:val="left"/>
        <w:rPr>
          <w:rFonts w:ascii="Symbol" w:hAnsi="Symbol"/>
          <w:sz w:val="22"/>
        </w:rPr>
      </w:pPr>
      <w:r>
        <w:rPr>
          <w:sz w:val="22"/>
        </w:rPr>
        <w:t>Compresión extrínseca: Neoplasias, pancreatitis y crecimiento</w:t>
      </w:r>
      <w:r>
        <w:rPr>
          <w:spacing w:val="-7"/>
          <w:sz w:val="22"/>
        </w:rPr>
        <w:t> </w:t>
      </w:r>
      <w:r>
        <w:rPr>
          <w:sz w:val="22"/>
        </w:rPr>
        <w:t>vascular</w:t>
      </w:r>
    </w:p>
    <w:p>
      <w:pPr>
        <w:pStyle w:val="BodyText"/>
        <w:spacing w:before="5"/>
        <w:rPr>
          <w:sz w:val="21"/>
        </w:rPr>
      </w:pPr>
    </w:p>
    <w:p>
      <w:pPr>
        <w:pStyle w:val="Heading3"/>
      </w:pPr>
      <w:r>
        <w:rPr/>
        <w:t>DIAGNOSTICO</w:t>
      </w:r>
    </w:p>
    <w:p>
      <w:pPr>
        <w:pStyle w:val="BodyText"/>
        <w:spacing w:before="10"/>
        <w:rPr>
          <w:b/>
          <w:sz w:val="24"/>
        </w:rPr>
      </w:pPr>
    </w:p>
    <w:p>
      <w:pPr>
        <w:pStyle w:val="BodyText"/>
        <w:spacing w:line="276" w:lineRule="auto" w:before="1"/>
        <w:ind w:left="1700" w:right="1"/>
        <w:jc w:val="both"/>
      </w:pPr>
      <w:r>
        <w:rPr/>
        <w:t>En la historia del paciente ictérico es importante identificar los datos de obstrucción biliar como dolor, fiebre, antecedente de operación biliar; y diferenciar de aquellos que nos indican enfermedad hepática como lo son la historia familiar de enfermedad hepática, exposición viral o a toxina hepática. En el examen físico de igual manera vamos a buscar hallazgos de obstrucción biliar como sensibilidad abdominal, fiebre, masa palpable, cicatriz quirúrgica; y hallazgos de enfermedad hepática como venas abdominales prominentes, asterixis, telangiectasias, ascitis y esplenomegalia.</w:t>
      </w:r>
    </w:p>
    <w:p>
      <w:pPr>
        <w:pStyle w:val="BodyText"/>
        <w:spacing w:before="4"/>
        <w:rPr>
          <w:sz w:val="20"/>
        </w:rPr>
      </w:pPr>
    </w:p>
    <w:p>
      <w:pPr>
        <w:pStyle w:val="BodyText"/>
        <w:tabs>
          <w:tab w:pos="3974" w:val="left" w:leader="none"/>
          <w:tab w:pos="4066" w:val="left" w:leader="none"/>
          <w:tab w:pos="4838" w:val="left" w:leader="none"/>
          <w:tab w:pos="4978" w:val="left" w:leader="none"/>
          <w:tab w:pos="5404" w:val="left" w:leader="none"/>
        </w:tabs>
        <w:spacing w:line="276" w:lineRule="auto"/>
        <w:ind w:left="1700"/>
        <w:jc w:val="both"/>
      </w:pPr>
      <w:r>
        <w:rPr>
          <w:b/>
        </w:rPr>
        <w:t>Estudios de laboratorio iniciales: </w:t>
      </w:r>
      <w:r>
        <w:rPr/>
        <w:t>La fosfatasa alcalina expresada en los hepatocitos, colangiocitos y otras células, en condiciones de obstrucción biliar o colestasis intrahepática se va a liberar hacia el plasma y eleva sus concentraciones</w:t>
        <w:tab/>
        <w:t>séricas.</w:t>
        <w:tab/>
        <w:tab/>
        <w:tab/>
        <w:t>Las aminotransferasas</w:t>
        <w:tab/>
        <w:tab/>
        <w:tab/>
        <w:tab/>
      </w:r>
      <w:r>
        <w:rPr>
          <w:spacing w:val="-1"/>
        </w:rPr>
        <w:t>(alanina </w:t>
      </w:r>
      <w:r>
        <w:rPr/>
        <w:t>aminotransferasa</w:t>
        <w:tab/>
        <w:tab/>
        <w:t>y</w:t>
        <w:tab/>
        <w:t>aspartato aminotransferasa) son enzimas</w:t>
      </w:r>
      <w:r>
        <w:rPr>
          <w:spacing w:val="28"/>
        </w:rPr>
        <w:t> </w:t>
      </w:r>
      <w:r>
        <w:rPr/>
        <w:t>ubicadas</w:t>
      </w:r>
    </w:p>
    <w:p>
      <w:pPr>
        <w:pStyle w:val="BodyText"/>
        <w:spacing w:before="7"/>
        <w:rPr>
          <w:sz w:val="20"/>
        </w:rPr>
      </w:pPr>
      <w:r>
        <w:rPr/>
        <w:br w:type="column"/>
      </w:r>
      <w:r>
        <w:rPr>
          <w:sz w:val="20"/>
        </w:rPr>
      </w:r>
    </w:p>
    <w:p>
      <w:pPr>
        <w:pStyle w:val="BodyText"/>
        <w:spacing w:line="276" w:lineRule="auto" w:before="1"/>
        <w:ind w:left="677" w:right="1694"/>
        <w:jc w:val="both"/>
      </w:pPr>
      <w:r>
        <w:rPr/>
        <w:t>en los hepatocitos, cuando hay lesión hepatocelular, ya sea por toxinas, virus o isquemia, va a aumentar </w:t>
      </w:r>
      <w:r>
        <w:rPr>
          <w:spacing w:val="-3"/>
        </w:rPr>
        <w:t>la </w:t>
      </w:r>
      <w:r>
        <w:rPr/>
        <w:t>permeabilidad del hepatocito y se van a liberar </w:t>
      </w:r>
      <w:r>
        <w:rPr>
          <w:spacing w:val="1"/>
        </w:rPr>
        <w:t>al </w:t>
      </w:r>
      <w:r>
        <w:rPr/>
        <w:t>plasma, de este modo son marcadores de lesión hepatocelular, en algunos casos se pueden elevar cuando hay una marcada obstrucción importante a nivel del colédoco. El hemograma completo nos puede dar información valiosa. Al presentar anemia, eleva </w:t>
      </w:r>
      <w:r>
        <w:rPr>
          <w:spacing w:val="-3"/>
        </w:rPr>
        <w:t>la </w:t>
      </w:r>
      <w:r>
        <w:rPr/>
        <w:t>sospecha de un trastorno hemolítico, si nos documenta leucocitosis podría asociarse a un proceso inflamatorio; </w:t>
      </w:r>
      <w:r>
        <w:rPr>
          <w:spacing w:val="-3"/>
        </w:rPr>
        <w:t>la </w:t>
      </w:r>
      <w:r>
        <w:rPr/>
        <w:t>trombocitopenia es un hallazgo que va a asociarse a los pacientes cirróticos debido a </w:t>
      </w:r>
      <w:r>
        <w:rPr>
          <w:spacing w:val="-3"/>
        </w:rPr>
        <w:t>la </w:t>
      </w:r>
      <w:r>
        <w:rPr/>
        <w:t>reducción de </w:t>
      </w:r>
      <w:r>
        <w:rPr>
          <w:spacing w:val="-3"/>
        </w:rPr>
        <w:t>la </w:t>
      </w:r>
      <w:r>
        <w:rPr/>
        <w:t>síntesis de trombopoyetina. El tiempo de protrombina es otro hallazgo importante en los laboratorios iniciales, su alteración se debe a un déficit en </w:t>
      </w:r>
      <w:r>
        <w:rPr>
          <w:spacing w:val="-3"/>
        </w:rPr>
        <w:t>la </w:t>
      </w:r>
      <w:r>
        <w:rPr/>
        <w:t>síntesis hepática de los factores de coagulación, se puede alterar en obstrucción biliar, debido a </w:t>
      </w:r>
      <w:r>
        <w:rPr>
          <w:spacing w:val="-3"/>
        </w:rPr>
        <w:t>la </w:t>
      </w:r>
      <w:r>
        <w:rPr/>
        <w:t>falta de absorción de </w:t>
      </w:r>
      <w:r>
        <w:rPr>
          <w:spacing w:val="-3"/>
        </w:rPr>
        <w:t>la </w:t>
      </w:r>
      <w:r>
        <w:rPr/>
        <w:t>Vitamina K, en estos pacientes al administrar Vitamina K se normaliza el tiempo de protrombina, a diferencia de los pacientes que tienen déficit en </w:t>
      </w:r>
      <w:r>
        <w:rPr>
          <w:spacing w:val="-3"/>
        </w:rPr>
        <w:t>la </w:t>
      </w:r>
      <w:r>
        <w:rPr/>
        <w:t>síntesis de</w:t>
      </w:r>
      <w:r>
        <w:rPr>
          <w:spacing w:val="-1"/>
        </w:rPr>
        <w:t> </w:t>
      </w:r>
      <w:r>
        <w:rPr/>
        <w:t>factores.</w:t>
      </w:r>
    </w:p>
    <w:p>
      <w:pPr>
        <w:pStyle w:val="BodyText"/>
        <w:spacing w:before="4"/>
        <w:rPr>
          <w:sz w:val="20"/>
        </w:rPr>
      </w:pPr>
    </w:p>
    <w:p>
      <w:pPr>
        <w:pStyle w:val="BodyText"/>
        <w:spacing w:line="276" w:lineRule="auto"/>
        <w:ind w:left="677" w:right="1693"/>
        <w:jc w:val="both"/>
      </w:pPr>
      <w:r>
        <w:rPr>
          <w:b/>
        </w:rPr>
        <w:t>Estudios de Imágenes: </w:t>
      </w:r>
      <w:r>
        <w:rPr/>
        <w:t>Una adecuada elección del método diagnóstico se realiza en base al cuadro clínico del paciente y </w:t>
      </w:r>
      <w:r>
        <w:rPr>
          <w:spacing w:val="-3"/>
        </w:rPr>
        <w:t>la </w:t>
      </w:r>
      <w:r>
        <w:rPr/>
        <w:t>probabilidad de que tenga o no una obstrucción biliar, </w:t>
      </w:r>
      <w:r>
        <w:rPr>
          <w:spacing w:val="1"/>
        </w:rPr>
        <w:t>si </w:t>
      </w:r>
      <w:r>
        <w:rPr/>
        <w:t>hay sospecha de obstrucción, </w:t>
      </w:r>
      <w:r>
        <w:rPr>
          <w:spacing w:val="-3"/>
        </w:rPr>
        <w:t>la </w:t>
      </w:r>
      <w:r>
        <w:rPr/>
        <w:t>tomografía axial computarizada o ultrasonografía abdominal son adecuados estudios iniciales. Si hay dilatación de los conductos se debería llevar a cabo una CPRE para su adecuada terapia, si no se documenta dilatación de los conductos y </w:t>
      </w:r>
      <w:r>
        <w:rPr>
          <w:spacing w:val="-3"/>
        </w:rPr>
        <w:t>la </w:t>
      </w:r>
      <w:r>
        <w:rPr/>
        <w:t>probalidad de obstrucción es baja, se debería estudiar el paciente por enfermedad hepática colestasica,</w:t>
      </w:r>
      <w:r>
        <w:rPr>
          <w:spacing w:val="-12"/>
        </w:rPr>
        <w:t> </w:t>
      </w:r>
      <w:r>
        <w:rPr/>
        <w:t>sin</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54" w:top="940" w:bottom="1040" w:left="0" w:right="0"/>
        </w:sectPr>
      </w:pPr>
    </w:p>
    <w:p>
      <w:pPr>
        <w:pStyle w:val="BodyText"/>
        <w:spacing w:before="7"/>
        <w:rPr>
          <w:sz w:val="20"/>
        </w:rPr>
      </w:pPr>
    </w:p>
    <w:p>
      <w:pPr>
        <w:pStyle w:val="BodyText"/>
        <w:spacing w:line="276" w:lineRule="auto" w:before="1"/>
        <w:ind w:left="1700" w:right="84"/>
      </w:pPr>
      <w:r>
        <w:rPr/>
        <w:t>embargo si la probalidad de obstrucción es alta se deberían realizar estudios con mayor sensibilidad como el ultrasonido endoscópico.</w:t>
      </w:r>
    </w:p>
    <w:p>
      <w:pPr>
        <w:pStyle w:val="BodyText"/>
        <w:spacing w:before="10"/>
        <w:rPr>
          <w:sz w:val="20"/>
        </w:rPr>
      </w:pPr>
    </w:p>
    <w:p>
      <w:pPr>
        <w:pStyle w:val="Heading3"/>
      </w:pPr>
      <w:r>
        <w:rPr/>
        <w:t>TRATAMIENTO</w:t>
      </w:r>
    </w:p>
    <w:p>
      <w:pPr>
        <w:pStyle w:val="BodyText"/>
        <w:spacing w:before="5"/>
        <w:rPr>
          <w:b/>
          <w:sz w:val="21"/>
        </w:rPr>
      </w:pPr>
    </w:p>
    <w:p>
      <w:pPr>
        <w:pStyle w:val="BodyText"/>
        <w:spacing w:line="276" w:lineRule="auto"/>
        <w:ind w:left="1700"/>
        <w:jc w:val="both"/>
      </w:pPr>
      <w:r>
        <w:rPr>
          <w:color w:val="212121"/>
        </w:rPr>
        <w:t>El tratamiento va a ir dirigido a tratar la causa de la hiperbilirrubinemia, en la ictericia no obstructiva, se debe tratar la</w:t>
      </w:r>
    </w:p>
    <w:p>
      <w:pPr>
        <w:pStyle w:val="BodyText"/>
        <w:spacing w:before="7"/>
        <w:rPr>
          <w:sz w:val="20"/>
        </w:rPr>
      </w:pPr>
      <w:r>
        <w:rPr/>
        <w:br w:type="column"/>
      </w:r>
      <w:r>
        <w:rPr>
          <w:sz w:val="20"/>
        </w:rPr>
      </w:r>
    </w:p>
    <w:p>
      <w:pPr>
        <w:pStyle w:val="BodyText"/>
        <w:spacing w:line="276" w:lineRule="auto" w:before="1"/>
        <w:ind w:left="687" w:right="1696"/>
        <w:jc w:val="both"/>
      </w:pPr>
      <w:r>
        <w:rPr>
          <w:color w:val="212121"/>
        </w:rPr>
        <w:t>causa subyacente (autoinmune, viral, medicamentos), en la ictericia obstructiva el tratamiento se enfoca en aliviar la obstrucción, los métodos terapéuticos a realizar ya sean endoscópicos, radiológicos o quirúrgicos, van a depender de la localización y causa de la obstrucción.</w:t>
      </w:r>
    </w:p>
    <w:p>
      <w:pPr>
        <w:spacing w:after="0" w:line="276" w:lineRule="auto"/>
        <w:jc w:val="both"/>
        <w:sectPr>
          <w:type w:val="continuous"/>
          <w:pgSz w:w="12240" w:h="15840"/>
          <w:pgMar w:top="1500" w:bottom="0" w:left="0" w:right="0"/>
          <w:cols w:num="2" w:equalWidth="0">
            <w:col w:w="5755" w:space="40"/>
            <w:col w:w="6445"/>
          </w:cols>
        </w:sectPr>
      </w:pPr>
    </w:p>
    <w:p>
      <w:pPr>
        <w:pStyle w:val="BodyText"/>
        <w:spacing w:before="11"/>
        <w:rPr>
          <w:sz w:val="16"/>
        </w:rPr>
      </w:pPr>
    </w:p>
    <w:p>
      <w:pPr>
        <w:pStyle w:val="Heading3"/>
        <w:spacing w:before="92"/>
      </w:pPr>
      <w:r>
        <w:rPr>
          <w:color w:val="212121"/>
        </w:rPr>
        <w:t>BIBLIOGRAFIA</w:t>
      </w:r>
    </w:p>
    <w:p>
      <w:pPr>
        <w:pStyle w:val="BodyText"/>
        <w:spacing w:before="9"/>
        <w:rPr>
          <w:b/>
          <w:sz w:val="26"/>
        </w:rPr>
      </w:pPr>
    </w:p>
    <w:p>
      <w:pPr>
        <w:pStyle w:val="ListParagraph"/>
        <w:numPr>
          <w:ilvl w:val="1"/>
          <w:numId w:val="9"/>
        </w:numPr>
        <w:tabs>
          <w:tab w:pos="2061" w:val="left" w:leader="none"/>
        </w:tabs>
        <w:spacing w:line="271" w:lineRule="auto" w:before="0" w:after="0"/>
        <w:ind w:left="2060" w:right="1695" w:hanging="360"/>
        <w:jc w:val="both"/>
        <w:rPr>
          <w:rFonts w:ascii="Symbol" w:hAnsi="Symbol"/>
          <w:sz w:val="20"/>
        </w:rPr>
      </w:pPr>
      <w:r>
        <w:rPr>
          <w:sz w:val="20"/>
        </w:rPr>
        <w:t>Argente, H. A., &amp; Alvarez, M. E. (2009). Ictericia. </w:t>
      </w:r>
      <w:r>
        <w:rPr>
          <w:i/>
          <w:sz w:val="20"/>
        </w:rPr>
        <w:t>Semiología médica </w:t>
      </w:r>
      <w:r>
        <w:rPr>
          <w:sz w:val="20"/>
        </w:rPr>
        <w:t>(4th ed., pp. 114-125). (Original work published 2005). Retrieved</w:t>
      </w:r>
      <w:r>
        <w:rPr>
          <w:spacing w:val="-5"/>
          <w:sz w:val="20"/>
        </w:rPr>
        <w:t> </w:t>
      </w:r>
      <w:r>
        <w:rPr>
          <w:sz w:val="20"/>
        </w:rPr>
        <w:t>from</w:t>
      </w:r>
      <w:hyperlink r:id="rId70">
        <w:r>
          <w:rPr>
            <w:sz w:val="20"/>
          </w:rPr>
          <w:t>Http://www.medicapanamericana.com.</w:t>
        </w:r>
      </w:hyperlink>
    </w:p>
    <w:p>
      <w:pPr>
        <w:pStyle w:val="ListParagraph"/>
        <w:numPr>
          <w:ilvl w:val="1"/>
          <w:numId w:val="9"/>
        </w:numPr>
        <w:tabs>
          <w:tab w:pos="2061" w:val="left" w:leader="none"/>
        </w:tabs>
        <w:spacing w:line="271" w:lineRule="auto" w:before="7" w:after="0"/>
        <w:ind w:left="2060" w:right="1698" w:hanging="360"/>
        <w:jc w:val="both"/>
        <w:rPr>
          <w:rFonts w:ascii="Symbol"/>
          <w:sz w:val="20"/>
        </w:rPr>
      </w:pPr>
      <w:r>
        <w:rPr>
          <w:sz w:val="20"/>
        </w:rPr>
        <w:t>Feldman, M., Friedman, L. S., &amp; Brandt, L. J. (2015). Jaundice. </w:t>
      </w:r>
      <w:r>
        <w:rPr>
          <w:i/>
          <w:sz w:val="20"/>
        </w:rPr>
        <w:t>Sleisenger and Fordtran's </w:t>
      </w:r>
      <w:r>
        <w:rPr>
          <w:i/>
          <w:sz w:val="20"/>
        </w:rPr>
        <w:t>Gastrintestinal and Liver Disease </w:t>
      </w:r>
      <w:r>
        <w:rPr>
          <w:sz w:val="20"/>
        </w:rPr>
        <w:t>(10th ed., pp. 336-347). Retrieved</w:t>
      </w:r>
      <w:r>
        <w:rPr>
          <w:spacing w:val="-13"/>
          <w:sz w:val="20"/>
        </w:rPr>
        <w:t> </w:t>
      </w:r>
      <w:r>
        <w:rPr>
          <w:sz w:val="20"/>
        </w:rPr>
        <w:t>from</w:t>
      </w:r>
      <w:hyperlink r:id="rId71">
        <w:r>
          <w:rPr>
            <w:sz w:val="20"/>
          </w:rPr>
          <w:t>Expertconsult.com</w:t>
        </w:r>
      </w:hyperlink>
      <w:r>
        <w:rPr>
          <w:sz w:val="20"/>
        </w:rPr>
        <w:t>.</w:t>
      </w:r>
    </w:p>
    <w:p>
      <w:pPr>
        <w:pStyle w:val="ListParagraph"/>
        <w:numPr>
          <w:ilvl w:val="1"/>
          <w:numId w:val="9"/>
        </w:numPr>
        <w:tabs>
          <w:tab w:pos="2061" w:val="left" w:leader="none"/>
        </w:tabs>
        <w:spacing w:line="276" w:lineRule="auto" w:before="3" w:after="0"/>
        <w:ind w:left="2060" w:right="1695" w:hanging="360"/>
        <w:jc w:val="both"/>
        <w:rPr>
          <w:rFonts w:ascii="Symbol"/>
          <w:sz w:val="20"/>
        </w:rPr>
      </w:pPr>
      <w:r>
        <w:rPr>
          <w:sz w:val="20"/>
        </w:rPr>
        <w:t>D. L. Longo, A. S. Fauci, D.L. Kasper, S.L. Hauser (2012). Ictericia. HARRISON PRINCIPIOS DE MEDICINA INTERNA (18th ed., pp. 324-326). New York, United States: McGRAW-HILL INTERMERICANA</w:t>
      </w:r>
      <w:r>
        <w:rPr>
          <w:spacing w:val="-3"/>
          <w:sz w:val="20"/>
        </w:rPr>
        <w:t> </w:t>
      </w:r>
      <w:r>
        <w:rPr>
          <w:sz w:val="20"/>
        </w:rPr>
        <w:t>EDITORES.</w:t>
      </w:r>
    </w:p>
    <w:p>
      <w:pPr>
        <w:pStyle w:val="BodyText"/>
      </w:pPr>
    </w:p>
    <w:p>
      <w:pPr>
        <w:pStyle w:val="BodyText"/>
        <w:spacing w:before="9"/>
        <w:rPr>
          <w:sz w:val="20"/>
        </w:rPr>
      </w:pPr>
    </w:p>
    <w:p>
      <w:pPr>
        <w:tabs>
          <w:tab w:pos="7734" w:val="left" w:leader="none"/>
        </w:tabs>
        <w:spacing w:before="0"/>
        <w:ind w:left="1700" w:right="0" w:firstLine="0"/>
        <w:jc w:val="left"/>
        <w:rPr>
          <w:sz w:val="20"/>
        </w:rPr>
      </w:pPr>
      <w:r>
        <w:rPr>
          <w:sz w:val="20"/>
        </w:rPr>
        <w:t>Recepción: 05 Junio</w:t>
      </w:r>
      <w:r>
        <w:rPr>
          <w:spacing w:val="0"/>
          <w:sz w:val="20"/>
        </w:rPr>
        <w:t> </w:t>
      </w:r>
      <w:r>
        <w:rPr>
          <w:sz w:val="20"/>
        </w:rPr>
        <w:t>de</w:t>
      </w:r>
      <w:r>
        <w:rPr>
          <w:spacing w:val="-5"/>
          <w:sz w:val="20"/>
        </w:rPr>
        <w:t> </w:t>
      </w:r>
      <w:r>
        <w:rPr>
          <w:sz w:val="20"/>
        </w:rPr>
        <w:t>2016</w:t>
        <w:tab/>
        <w:t>Aprobación: 12 Junio de</w:t>
      </w:r>
      <w:r>
        <w:rPr>
          <w:spacing w:val="5"/>
          <w:sz w:val="20"/>
        </w:rPr>
        <w:t> </w:t>
      </w:r>
      <w:r>
        <w:rPr>
          <w:sz w:val="20"/>
        </w:rPr>
        <w:t>2016</w:t>
      </w:r>
    </w:p>
    <w:p>
      <w:pPr>
        <w:spacing w:after="0"/>
        <w:jc w:val="left"/>
        <w:rPr>
          <w:sz w:val="20"/>
        </w:rPr>
        <w:sectPr>
          <w:type w:val="continuous"/>
          <w:pgSz w:w="12240" w:h="15840"/>
          <w:pgMar w:top="1500" w:bottom="0" w:left="0" w:right="0"/>
        </w:sectPr>
      </w:pPr>
    </w:p>
    <w:p>
      <w:pPr>
        <w:pStyle w:val="BodyText"/>
        <w:rPr>
          <w:sz w:val="20"/>
        </w:rPr>
      </w:pPr>
    </w:p>
    <w:p>
      <w:pPr>
        <w:pStyle w:val="BodyText"/>
        <w:spacing w:before="6"/>
      </w:pPr>
    </w:p>
    <w:p>
      <w:pPr>
        <w:pStyle w:val="Heading3"/>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74">
        <w:r>
          <w:rPr>
            <w:sz w:val="20"/>
          </w:rPr>
          <w:t>www.icmje.org.</w:t>
        </w:r>
      </w:hyperlink>
      <w:r>
        <w:rPr>
          <w:sz w:val="20"/>
        </w:rPr>
        <w:t> Las publicaciones que no mantengan  esta estructura serán devueltas.</w:t>
      </w:r>
    </w:p>
    <w:p>
      <w:pPr>
        <w:pStyle w:val="BodyText"/>
        <w:spacing w:before="4"/>
        <w:rPr>
          <w:sz w:val="14"/>
        </w:rPr>
      </w:pPr>
    </w:p>
    <w:p>
      <w:pPr>
        <w:spacing w:before="93"/>
        <w:ind w:left="1721" w:right="172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4"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4"/>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74">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1"/>
          <w:numId w:val="7"/>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2"/>
          <w:numId w:val="7"/>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2"/>
          <w:numId w:val="7"/>
        </w:numPr>
        <w:tabs>
          <w:tab w:pos="2161" w:val="left" w:leader="none"/>
        </w:tabs>
        <w:spacing w:line="283" w:lineRule="auto" w:before="0" w:after="0"/>
        <w:ind w:left="2160" w:right="1441"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2"/>
          <w:numId w:val="7"/>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2"/>
          <w:numId w:val="7"/>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2"/>
          <w:numId w:val="7"/>
        </w:numPr>
        <w:tabs>
          <w:tab w:pos="2161" w:val="left" w:leader="none"/>
        </w:tabs>
        <w:spacing w:line="278" w:lineRule="auto" w:before="0" w:after="0"/>
        <w:ind w:left="2160" w:right="1438"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2"/>
          <w:numId w:val="7"/>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2"/>
          <w:numId w:val="7"/>
        </w:numPr>
        <w:tabs>
          <w:tab w:pos="2161" w:val="left" w:leader="none"/>
        </w:tabs>
        <w:spacing w:line="280" w:lineRule="auto" w:before="0" w:after="0"/>
        <w:ind w:left="2160" w:right="1444"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default" r:id="rId72"/>
          <w:footerReference w:type="default" r:id="rId73"/>
          <w:pgSz w:w="12240" w:h="15840"/>
          <w:pgMar w:header="723" w:footer="882" w:top="940" w:bottom="1080" w:left="0" w:right="0"/>
          <w:pgNumType w:start="19"/>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74">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7">
        <w:r>
          <w:rPr>
            <w:sz w:val="20"/>
          </w:rPr>
          <w:t>http://www.scielo.cl/scielo.php?script=sci_arttext&amp;pid=S0370-</w:t>
        </w:r>
      </w:hyperlink>
      <w:r>
        <w:rPr>
          <w:sz w:val="20"/>
        </w:rPr>
        <w:t> </w:t>
      </w:r>
      <w:hyperlink r:id="rId77">
        <w:r>
          <w:rPr>
            <w:sz w:val="20"/>
          </w:rPr>
          <w:t>41062013000400012&amp;lng=es&amp;tlng=es</w:t>
        </w:r>
      </w:hyperlink>
      <w:r>
        <w:rPr>
          <w:sz w:val="20"/>
        </w:rPr>
        <w:t>.</w:t>
      </w:r>
      <w:r>
        <w:rPr>
          <w:spacing w:val="-5"/>
          <w:sz w:val="20"/>
        </w:rPr>
        <w:t> </w:t>
      </w:r>
      <w:r>
        <w:rPr>
          <w:sz w:val="20"/>
        </w:rPr>
        <w:t>10.4067/S0370-41062013000400012.</w:t>
      </w:r>
    </w:p>
    <w:p>
      <w:pPr>
        <w:pStyle w:val="ListParagraph"/>
        <w:numPr>
          <w:ilvl w:val="2"/>
          <w:numId w:val="7"/>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9"/>
          <w:sz w:val="20"/>
        </w:rPr>
        <w:t> </w:t>
      </w:r>
      <w:r>
        <w:rPr>
          <w:sz w:val="20"/>
        </w:rPr>
        <w:t>publicación.</w:t>
      </w:r>
    </w:p>
    <w:p>
      <w:pPr>
        <w:pStyle w:val="BodyText"/>
        <w:spacing w:before="2"/>
        <w:rPr>
          <w:sz w:val="23"/>
        </w:rPr>
      </w:pPr>
    </w:p>
    <w:p>
      <w:pPr>
        <w:pStyle w:val="ListParagraph"/>
        <w:numPr>
          <w:ilvl w:val="1"/>
          <w:numId w:val="7"/>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1"/>
          <w:numId w:val="7"/>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1"/>
          <w:numId w:val="7"/>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2"/>
          <w:numId w:val="7"/>
        </w:numPr>
        <w:tabs>
          <w:tab w:pos="2161" w:val="left" w:leader="none"/>
        </w:tabs>
        <w:spacing w:line="240" w:lineRule="auto" w:before="34" w:after="0"/>
        <w:ind w:left="2160" w:right="0" w:hanging="360"/>
        <w:jc w:val="left"/>
        <w:rPr>
          <w:sz w:val="20"/>
        </w:rPr>
      </w:pPr>
      <w:r>
        <w:rPr>
          <w:sz w:val="20"/>
        </w:rPr>
        <w:t>Título</w:t>
      </w:r>
    </w:p>
    <w:p>
      <w:pPr>
        <w:pStyle w:val="ListParagraph"/>
        <w:numPr>
          <w:ilvl w:val="2"/>
          <w:numId w:val="7"/>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2"/>
          <w:numId w:val="7"/>
        </w:numPr>
        <w:tabs>
          <w:tab w:pos="2161" w:val="left" w:leader="none"/>
        </w:tabs>
        <w:spacing w:line="276" w:lineRule="auto" w:before="34" w:after="0"/>
        <w:ind w:left="2160" w:right="144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2"/>
          <w:numId w:val="7"/>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5"/>
          <w:sz w:val="20"/>
        </w:rPr>
        <w:t> </w:t>
      </w:r>
      <w:r>
        <w:rPr>
          <w:sz w:val="20"/>
        </w:rPr>
        <w:t>pronóstico.</w:t>
      </w:r>
    </w:p>
    <w:p>
      <w:pPr>
        <w:pStyle w:val="ListParagraph"/>
        <w:numPr>
          <w:ilvl w:val="2"/>
          <w:numId w:val="7"/>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pStyle w:val="BodyText"/>
        <w:spacing w:before="6"/>
        <w:rPr>
          <w:sz w:val="24"/>
        </w:rPr>
      </w:pPr>
      <w:r>
        <w:rPr/>
        <w:pict>
          <v:line style="position:absolute;mso-position-horizontal-relative:page;mso-position-vertical-relative:paragraph;z-index:1456;mso-wrap-distance-left:0;mso-wrap-distance-right:0" from="73.492996pt,16.82349pt" to="539.252996pt,16.82349pt" stroked="true" strokeweight="1.4649pt" strokecolor="#3366cc">
            <v:stroke dashstyle="solid"/>
            <w10:wrap type="topAndBottom"/>
          </v:line>
        </w:pict>
      </w:r>
    </w:p>
    <w:p>
      <w:pPr>
        <w:pStyle w:val="BodyText"/>
        <w:spacing w:before="6"/>
        <w:rPr>
          <w:sz w:val="3"/>
        </w:rPr>
      </w:pPr>
    </w:p>
    <w:p>
      <w:pPr>
        <w:pStyle w:val="BodyText"/>
        <w:ind w:left="733"/>
        <w:rPr>
          <w:sz w:val="20"/>
        </w:rPr>
      </w:pPr>
      <w:r>
        <w:rPr>
          <w:sz w:val="20"/>
        </w:rPr>
        <w:pict>
          <v:group style="width:500.95pt;height:20pt;mso-position-horizontal-relative:char;mso-position-vertical-relative:line" coordorigin="0,0" coordsize="10019,400">
            <v:shape style="position:absolute;left:31;top:0;width:660;height:300" type="#_x0000_t75" stroked="false">
              <v:imagedata r:id="rId78" o:title=""/>
            </v:shape>
            <v:shape style="position:absolute;left:711;top:80;width:9308;height:320" type="#_x0000_t75" stroked="false">
              <v:imagedata r:id="rId79" o:title=""/>
            </v:shape>
            <v:shape style="position:absolute;left:0;top:58;width:740;height:280" type="#_x0000_t202" filled="false" stroked="false">
              <v:textbox inset="0,0,0,0">
                <w:txbxContent>
                  <w:p>
                    <w:pPr>
                      <w:tabs>
                        <w:tab w:pos="263" w:val="left" w:leader="none"/>
                      </w:tabs>
                      <w:spacing w:line="280" w:lineRule="exact" w:before="0"/>
                      <w:ind w:left="0" w:right="0" w:firstLine="0"/>
                      <w:jc w:val="left"/>
                      <w:rPr>
                        <w:rFonts w:ascii="Calibri"/>
                        <w:sz w:val="28"/>
                      </w:rPr>
                    </w:pPr>
                    <w:r>
                      <w:rPr>
                        <w:rFonts w:ascii="Calibri"/>
                        <w:color w:val="FFFFFF"/>
                        <w:sz w:val="28"/>
                        <w:shd w:fill="3366CC" w:color="auto" w:val="clear"/>
                      </w:rPr>
                      <w:t> </w:t>
                      <w:tab/>
                      <w:t>20</w:t>
                    </w:r>
                    <w:r>
                      <w:rPr>
                        <w:rFonts w:ascii="Calibri"/>
                        <w:color w:val="FFFFFF"/>
                        <w:spacing w:val="-16"/>
                        <w:sz w:val="28"/>
                        <w:shd w:fill="3366CC" w:color="auto" w:val="clear"/>
                      </w:rPr>
                      <w:t> </w:t>
                    </w:r>
                  </w:p>
                </w:txbxContent>
              </v:textbox>
              <w10:wrap type="none"/>
            </v:shape>
            <v:shape style="position:absolute;left:4012;top:86;width:2717;height:224" type="#_x0000_t202" filled="false" stroked="false">
              <v:textbox inset="0,0,0,0">
                <w:txbxContent>
                  <w:p>
                    <w:pPr>
                      <w:spacing w:line="223" w:lineRule="exact" w:before="0"/>
                      <w:ind w:left="0" w:right="0" w:firstLine="0"/>
                      <w:jc w:val="left"/>
                      <w:rPr>
                        <w:i/>
                        <w:sz w:val="20"/>
                      </w:rPr>
                    </w:pPr>
                    <w:r>
                      <w:rPr>
                        <w:i/>
                        <w:color w:val="3166CC"/>
                        <w:sz w:val="20"/>
                      </w:rPr>
                      <w:t>REVISTA MEDICA SINERGIA</w:t>
                    </w:r>
                  </w:p>
                </w:txbxContent>
              </v:textbox>
              <w10:wrap type="none"/>
            </v:shape>
          </v:group>
        </w:pict>
      </w:r>
      <w:r>
        <w:rPr>
          <w:sz w:val="20"/>
        </w:rPr>
      </w:r>
    </w:p>
    <w:p>
      <w:pPr>
        <w:spacing w:after="0"/>
        <w:rPr>
          <w:sz w:val="20"/>
        </w:rPr>
        <w:sectPr>
          <w:headerReference w:type="even" r:id="rId75"/>
          <w:footerReference w:type="even" r:id="rId76"/>
          <w:pgSz w:w="12240" w:h="15840"/>
          <w:pgMar w:header="0" w:footer="0" w:top="640" w:bottom="2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0"/>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0"/>
        </w:numPr>
        <w:tabs>
          <w:tab w:pos="1801" w:val="left" w:leader="none"/>
        </w:tabs>
        <w:spacing w:line="240" w:lineRule="auto" w:before="1" w:after="0"/>
        <w:ind w:left="1800" w:right="0" w:hanging="360"/>
        <w:jc w:val="left"/>
        <w:rPr>
          <w:b/>
          <w:sz w:val="20"/>
        </w:rPr>
      </w:pPr>
      <w:r>
        <w:rPr>
          <w:b/>
          <w:sz w:val="20"/>
        </w:rPr>
        <w:t>Liberación de 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Conflictos de</w:t>
      </w:r>
      <w:r>
        <w:rPr>
          <w:b/>
          <w:spacing w:val="-7"/>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74">
        <w:r>
          <w:rPr>
            <w:sz w:val="20"/>
          </w:rPr>
          <w:t>www.icmje.org.</w:t>
        </w:r>
      </w:hyperlink>
    </w:p>
    <w:p>
      <w:pPr>
        <w:pStyle w:val="ListParagraph"/>
        <w:numPr>
          <w:ilvl w:val="0"/>
          <w:numId w:val="10"/>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1"/>
        </w:numPr>
        <w:tabs>
          <w:tab w:pos="1801" w:val="left" w:leader="none"/>
          <w:tab w:pos="2807" w:val="left" w:leader="none"/>
          <w:tab w:pos="3471" w:val="left" w:leader="none"/>
          <w:tab w:pos="5661" w:val="left" w:leader="none"/>
        </w:tabs>
        <w:spacing w:line="240" w:lineRule="auto" w:before="38" w:after="0"/>
        <w:ind w:left="1800" w:right="0" w:hanging="360"/>
        <w:jc w:val="left"/>
        <w:rPr>
          <w:sz w:val="20"/>
        </w:rPr>
      </w:pPr>
      <w:r>
        <w:rPr>
          <w:sz w:val="20"/>
        </w:rPr>
        <w:t>Enviar</w:t>
        <w:tab/>
        <w:t>un</w:t>
        <w:tab/>
        <w:t>correo</w:t>
      </w:r>
      <w:r>
        <w:rPr>
          <w:spacing w:val="0"/>
          <w:sz w:val="20"/>
        </w:rPr>
        <w:t> </w:t>
      </w:r>
      <w:r>
        <w:rPr>
          <w:sz w:val="20"/>
        </w:rPr>
        <w:t>electrónico</w:t>
      </w:r>
      <w:r>
        <w:rPr>
          <w:spacing w:val="-1"/>
          <w:sz w:val="20"/>
        </w:rPr>
        <w:t> </w:t>
      </w:r>
      <w:r>
        <w:rPr>
          <w:sz w:val="20"/>
        </w:rPr>
        <w:t>a</w:t>
        <w:tab/>
        <w:t>la dirección electrónica</w:t>
      </w:r>
      <w:r>
        <w:rPr>
          <w:spacing w:val="-5"/>
          <w:sz w:val="20"/>
        </w:rPr>
        <w:t> </w:t>
      </w:r>
      <w:hyperlink r:id="rId24">
        <w:r>
          <w:rPr>
            <w:sz w:val="20"/>
          </w:rPr>
          <w:t>revistamedicasinergia@gmail.com</w:t>
        </w:r>
      </w:hyperlink>
    </w:p>
    <w:p>
      <w:pPr>
        <w:pStyle w:val="ListParagraph"/>
        <w:numPr>
          <w:ilvl w:val="0"/>
          <w:numId w:val="11"/>
        </w:numPr>
        <w:tabs>
          <w:tab w:pos="1856" w:val="left" w:leader="none"/>
          <w:tab w:pos="1857" w:val="left" w:leader="none"/>
        </w:tabs>
        <w:spacing w:line="240" w:lineRule="auto" w:before="34" w:after="0"/>
        <w:ind w:left="1856" w:right="0" w:hanging="416"/>
        <w:jc w:val="left"/>
        <w:rPr>
          <w:sz w:val="20"/>
        </w:rPr>
      </w:pPr>
      <w:r>
        <w:rPr>
          <w:sz w:val="20"/>
        </w:rPr>
        <w:t>solicitando la disponibilidad </w:t>
      </w:r>
      <w:r>
        <w:rPr>
          <w:spacing w:val="-3"/>
          <w:sz w:val="20"/>
        </w:rPr>
        <w:t>tema </w:t>
      </w:r>
      <w:r>
        <w:rPr>
          <w:sz w:val="20"/>
        </w:rPr>
        <w:t>para poder</w:t>
      </w:r>
      <w:r>
        <w:rPr>
          <w:spacing w:val="-4"/>
          <w:sz w:val="20"/>
        </w:rPr>
        <w:t> </w:t>
      </w:r>
      <w:r>
        <w:rPr>
          <w:sz w:val="20"/>
        </w:rPr>
        <w:t>publicar.</w:t>
      </w:r>
    </w:p>
    <w:p>
      <w:pPr>
        <w:pStyle w:val="ListParagraph"/>
        <w:numPr>
          <w:ilvl w:val="0"/>
          <w:numId w:val="11"/>
        </w:numPr>
        <w:tabs>
          <w:tab w:pos="1801" w:val="left" w:leader="none"/>
        </w:tabs>
        <w:spacing w:line="276" w:lineRule="auto" w:before="34" w:after="0"/>
        <w:ind w:left="1800" w:right="1440" w:hanging="360"/>
        <w:jc w:val="left"/>
        <w:rPr>
          <w:sz w:val="20"/>
        </w:rPr>
      </w:pPr>
      <w:r>
        <w:rPr>
          <w:sz w:val="20"/>
        </w:rPr>
        <w:t>Un coordinador de comunicará usted vía correo electrónico solicitando el articulo y los documentos adjuntos.</w:t>
      </w:r>
    </w:p>
    <w:p>
      <w:pPr>
        <w:pStyle w:val="ListParagraph"/>
        <w:numPr>
          <w:ilvl w:val="0"/>
          <w:numId w:val="11"/>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1"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1"/>
        </w:numPr>
        <w:tabs>
          <w:tab w:pos="1801" w:val="left" w:leader="none"/>
        </w:tabs>
        <w:spacing w:line="276" w:lineRule="auto" w:before="4"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1"/>
        </w:numPr>
        <w:tabs>
          <w:tab w:pos="1801" w:val="left" w:leader="none"/>
          <w:tab w:pos="2795" w:val="left" w:leader="none"/>
          <w:tab w:pos="4684" w:val="left" w:leader="none"/>
          <w:tab w:pos="5799" w:val="left" w:leader="none"/>
          <w:tab w:pos="6255" w:val="left" w:leader="none"/>
          <w:tab w:pos="7601" w:val="left" w:leader="none"/>
          <w:tab w:pos="8056" w:val="left" w:leader="none"/>
          <w:tab w:pos="9009" w:val="left" w:leader="none"/>
          <w:tab w:pos="9560" w:val="left" w:leader="none"/>
          <w:tab w:pos="10579" w:val="left" w:leader="none"/>
        </w:tabs>
        <w:spacing w:line="276" w:lineRule="auto" w:before="0" w:after="0"/>
        <w:ind w:left="1800" w:right="1435"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80"/>
          <w:footerReference w:type="default" r:id="rId81"/>
          <w:pgSz w:w="12240" w:h="15840"/>
          <w:pgMar w:header="723" w:footer="882" w:top="940" w:bottom="1080" w:left="0" w:right="0"/>
          <w:pgNumType w:start="21"/>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2863">
            <wp:simplePos x="0" y="0"/>
            <wp:positionH relativeFrom="page">
              <wp:posOffset>-3175</wp:posOffset>
            </wp:positionH>
            <wp:positionV relativeFrom="paragraph">
              <wp:posOffset>85137</wp:posOffset>
            </wp:positionV>
            <wp:extent cx="7778750" cy="485775"/>
            <wp:effectExtent l="0" t="0" r="0" b="0"/>
            <wp:wrapNone/>
            <wp:docPr id="39" name="image35.png" descr=""/>
            <wp:cNvGraphicFramePr>
              <a:graphicFrameLocks noChangeAspect="1"/>
            </wp:cNvGraphicFramePr>
            <a:graphic>
              <a:graphicData uri="http://schemas.openxmlformats.org/drawingml/2006/picture">
                <pic:pic>
                  <pic:nvPicPr>
                    <pic:cNvPr id="40" name="image35.png"/>
                    <pic:cNvPicPr/>
                  </pic:nvPicPr>
                  <pic:blipFill>
                    <a:blip r:embed="rId84"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52">
            <wp:simplePos x="0" y="0"/>
            <wp:positionH relativeFrom="page">
              <wp:posOffset>2643504</wp:posOffset>
            </wp:positionH>
            <wp:positionV relativeFrom="paragraph">
              <wp:posOffset>111927</wp:posOffset>
            </wp:positionV>
            <wp:extent cx="2069862" cy="1859756"/>
            <wp:effectExtent l="0" t="0" r="0" b="0"/>
            <wp:wrapTopAndBottom/>
            <wp:docPr id="41" name="image36.jpeg" descr=""/>
            <wp:cNvGraphicFramePr>
              <a:graphicFrameLocks noChangeAspect="1"/>
            </wp:cNvGraphicFramePr>
            <a:graphic>
              <a:graphicData uri="http://schemas.openxmlformats.org/drawingml/2006/picture">
                <pic:pic>
                  <pic:nvPicPr>
                    <pic:cNvPr id="42" name="image36.jpeg"/>
                    <pic:cNvPicPr/>
                  </pic:nvPicPr>
                  <pic:blipFill>
                    <a:blip r:embed="rId85"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spacing w:line="276" w:lineRule="auto" w:before="92"/>
        <w:ind w:left="1721" w:right="1732" w:firstLine="0"/>
        <w:jc w:val="center"/>
        <w:rPr>
          <w:sz w:val="24"/>
        </w:rPr>
      </w:pPr>
      <w:r>
        <w:rPr>
          <w:sz w:val="24"/>
        </w:rPr>
        <w:t>La publicación de un artículo científico, revisiones bibliográficas, etc. Contribuye al desarrollo de la sociedad y a que otros investigadores acorten sus tiempos de investigación.</w:t>
      </w:r>
    </w:p>
    <w:p>
      <w:pPr>
        <w:spacing w:line="448" w:lineRule="auto" w:before="203"/>
        <w:ind w:left="2929" w:right="293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spacing w:before="6"/>
        <w:ind w:left="1721" w:right="1014" w:firstLine="0"/>
        <w:jc w:val="center"/>
        <w:rPr>
          <w:sz w:val="24"/>
        </w:rPr>
      </w:pPr>
      <w:r>
        <w:rPr>
          <w:sz w:val="24"/>
        </w:rPr>
        <w:t>E-mail: </w:t>
      </w:r>
      <w:hyperlink r:id="rId24">
        <w:r>
          <w:rPr>
            <w:sz w:val="24"/>
          </w:rPr>
          <w:t>revistamedicasinergia@gmail.com</w:t>
        </w:r>
      </w:hyperlink>
    </w:p>
    <w:p>
      <w:pPr>
        <w:spacing w:after="0"/>
        <w:jc w:val="center"/>
        <w:rPr>
          <w:sz w:val="24"/>
        </w:rPr>
        <w:sectPr>
          <w:headerReference w:type="even" r:id="rId82"/>
          <w:footerReference w:type="even" r:id="rId83"/>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2568"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8" o:title=""/>
            </v:shape>
            <v:shape style="position:absolute;left:-5;top:2945;width:12214;height:175" type="#_x0000_t75" stroked="false">
              <v:imagedata r:id="rId89" o:title=""/>
            </v:shape>
            <w10:wrap type="none"/>
          </v:group>
        </w:pict>
      </w:r>
      <w:r>
        <w:rPr>
          <w:rFonts w:ascii="Calibri"/>
          <w:color w:val="5B9BD4"/>
          <w:sz w:val="96"/>
        </w:rPr>
        <w:t>Indice</w:t>
      </w:r>
    </w:p>
    <w:p>
      <w:pPr>
        <w:pStyle w:val="BodyText"/>
        <w:spacing w:before="8"/>
        <w:rPr>
          <w:rFonts w:ascii="Calibri"/>
          <w:sz w:val="96"/>
        </w:rPr>
      </w:pPr>
    </w:p>
    <w:p>
      <w:pPr>
        <w:spacing w:before="0"/>
        <w:ind w:left="1776" w:right="0" w:firstLine="0"/>
        <w:jc w:val="left"/>
        <w:rPr>
          <w:b/>
          <w:sz w:val="28"/>
        </w:rPr>
      </w:pPr>
      <w:r>
        <w:rPr>
          <w:b/>
          <w:sz w:val="28"/>
        </w:rPr>
        <w:t>REVISIONES BIBLIOGRAFICAS</w:t>
      </w:r>
    </w:p>
    <w:p>
      <w:pPr>
        <w:pStyle w:val="BodyText"/>
        <w:rPr>
          <w:b/>
          <w:sz w:val="20"/>
        </w:rPr>
      </w:pPr>
    </w:p>
    <w:p>
      <w:pPr>
        <w:pStyle w:val="BodyText"/>
        <w:rPr>
          <w:b/>
          <w:sz w:val="20"/>
        </w:rPr>
      </w:pPr>
    </w:p>
    <w:p>
      <w:pPr>
        <w:pStyle w:val="BodyText"/>
        <w:spacing w:before="1"/>
        <w:rPr>
          <w:b/>
          <w:sz w:val="20"/>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1"/>
      </w:tblGrid>
      <w:tr>
        <w:trPr>
          <w:trHeight w:val="1183" w:hRule="atLeast"/>
        </w:trPr>
        <w:tc>
          <w:tcPr>
            <w:tcW w:w="8821" w:type="dxa"/>
            <w:shd w:val="clear" w:color="auto" w:fill="DEEAF6"/>
          </w:tcPr>
          <w:p>
            <w:pPr>
              <w:pStyle w:val="TableParagraph"/>
              <w:spacing w:line="268" w:lineRule="exact"/>
              <w:ind w:left="200"/>
              <w:rPr>
                <w:sz w:val="24"/>
              </w:rPr>
            </w:pPr>
            <w:r>
              <w:rPr>
                <w:sz w:val="24"/>
              </w:rPr>
              <w:t>Hiperplasia prostática benigna (HPB)</w:t>
            </w:r>
          </w:p>
          <w:p>
            <w:pPr>
              <w:pStyle w:val="TableParagraph"/>
              <w:tabs>
                <w:tab w:pos="8621" w:val="right" w:leader="dot"/>
              </w:tabs>
              <w:spacing w:before="42"/>
              <w:ind w:left="200"/>
              <w:rPr>
                <w:sz w:val="22"/>
              </w:rPr>
            </w:pPr>
            <w:r>
              <w:rPr>
                <w:i/>
                <w:sz w:val="20"/>
              </w:rPr>
              <w:t>Ricardo</w:t>
            </w:r>
            <w:r>
              <w:rPr>
                <w:i/>
                <w:spacing w:val="-1"/>
                <w:sz w:val="20"/>
              </w:rPr>
              <w:t> </w:t>
            </w:r>
            <w:r>
              <w:rPr>
                <w:i/>
                <w:sz w:val="20"/>
              </w:rPr>
              <w:t>Sánchez</w:t>
            </w:r>
            <w:r>
              <w:rPr>
                <w:i/>
                <w:spacing w:val="-9"/>
                <w:sz w:val="20"/>
              </w:rPr>
              <w:t> </w:t>
            </w:r>
            <w:r>
              <w:rPr>
                <w:i/>
                <w:sz w:val="20"/>
              </w:rPr>
              <w:t>Gaitán</w:t>
              <w:tab/>
            </w:r>
            <w:r>
              <w:rPr>
                <w:sz w:val="22"/>
              </w:rPr>
              <w:t>3</w:t>
            </w:r>
          </w:p>
        </w:tc>
      </w:tr>
      <w:tr>
        <w:trPr>
          <w:trHeight w:val="1836" w:hRule="atLeast"/>
        </w:trPr>
        <w:tc>
          <w:tcPr>
            <w:tcW w:w="8821" w:type="dxa"/>
            <w:shd w:val="clear" w:color="auto" w:fill="DEEAF6"/>
          </w:tcPr>
          <w:p>
            <w:pPr>
              <w:pStyle w:val="TableParagraph"/>
              <w:rPr>
                <w:b/>
                <w:sz w:val="26"/>
              </w:rPr>
            </w:pPr>
          </w:p>
          <w:p>
            <w:pPr>
              <w:pStyle w:val="TableParagraph"/>
              <w:spacing w:before="2"/>
              <w:rPr>
                <w:b/>
                <w:sz w:val="27"/>
              </w:rPr>
            </w:pPr>
          </w:p>
          <w:p>
            <w:pPr>
              <w:pStyle w:val="TableParagraph"/>
              <w:ind w:left="200"/>
              <w:rPr>
                <w:sz w:val="24"/>
              </w:rPr>
            </w:pPr>
            <w:r>
              <w:rPr>
                <w:sz w:val="24"/>
              </w:rPr>
              <w:t>Úlcera gastroduodenal</w:t>
            </w:r>
          </w:p>
          <w:p>
            <w:pPr>
              <w:pStyle w:val="TableParagraph"/>
              <w:tabs>
                <w:tab w:pos="8564" w:val="right" w:leader="dot"/>
              </w:tabs>
              <w:spacing w:before="34"/>
              <w:ind w:left="200"/>
              <w:rPr>
                <w:sz w:val="22"/>
              </w:rPr>
            </w:pPr>
            <w:r>
              <w:rPr>
                <w:i/>
                <w:sz w:val="20"/>
              </w:rPr>
              <w:t>Rocío</w:t>
            </w:r>
            <w:r>
              <w:rPr>
                <w:i/>
                <w:spacing w:val="-1"/>
                <w:sz w:val="20"/>
              </w:rPr>
              <w:t> </w:t>
            </w:r>
            <w:r>
              <w:rPr>
                <w:i/>
                <w:sz w:val="20"/>
              </w:rPr>
              <w:t>Arias</w:t>
            </w:r>
            <w:r>
              <w:rPr>
                <w:i/>
                <w:spacing w:val="-1"/>
                <w:sz w:val="20"/>
              </w:rPr>
              <w:t> </w:t>
            </w:r>
            <w:r>
              <w:rPr>
                <w:i/>
                <w:sz w:val="20"/>
              </w:rPr>
              <w:t>Silva</w:t>
              <w:tab/>
            </w:r>
            <w:r>
              <w:rPr>
                <w:sz w:val="22"/>
              </w:rPr>
              <w:t>10</w:t>
            </w:r>
          </w:p>
        </w:tc>
      </w:tr>
      <w:tr>
        <w:trPr>
          <w:trHeight w:val="2088" w:hRule="atLeast"/>
        </w:trPr>
        <w:tc>
          <w:tcPr>
            <w:tcW w:w="8821" w:type="dxa"/>
            <w:shd w:val="clear" w:color="auto" w:fill="DEEAF6"/>
          </w:tcPr>
          <w:p>
            <w:pPr>
              <w:pStyle w:val="TableParagraph"/>
              <w:rPr>
                <w:b/>
                <w:sz w:val="26"/>
              </w:rPr>
            </w:pPr>
          </w:p>
          <w:p>
            <w:pPr>
              <w:pStyle w:val="TableParagraph"/>
              <w:spacing w:before="8"/>
              <w:rPr>
                <w:b/>
                <w:sz w:val="30"/>
              </w:rPr>
            </w:pPr>
          </w:p>
          <w:p>
            <w:pPr>
              <w:pStyle w:val="TableParagraph"/>
              <w:ind w:left="200"/>
              <w:rPr>
                <w:sz w:val="24"/>
              </w:rPr>
            </w:pPr>
            <w:r>
              <w:rPr>
                <w:sz w:val="24"/>
              </w:rPr>
              <w:t>Ictericia</w:t>
            </w:r>
          </w:p>
          <w:p>
            <w:pPr>
              <w:pStyle w:val="TableParagraph"/>
              <w:tabs>
                <w:tab w:pos="8594" w:val="right" w:leader="dot"/>
              </w:tabs>
              <w:spacing w:before="35"/>
              <w:ind w:left="200"/>
              <w:rPr>
                <w:sz w:val="22"/>
              </w:rPr>
            </w:pPr>
            <w:r>
              <w:rPr>
                <w:i/>
                <w:sz w:val="20"/>
              </w:rPr>
              <w:t>Daniel</w:t>
            </w:r>
            <w:r>
              <w:rPr>
                <w:i/>
                <w:spacing w:val="-1"/>
                <w:sz w:val="20"/>
              </w:rPr>
              <w:t> </w:t>
            </w:r>
            <w:r>
              <w:rPr>
                <w:i/>
                <w:sz w:val="20"/>
              </w:rPr>
              <w:t>Mondragón</w:t>
            </w:r>
            <w:r>
              <w:rPr>
                <w:i/>
                <w:spacing w:val="-4"/>
                <w:sz w:val="20"/>
              </w:rPr>
              <w:t> </w:t>
            </w:r>
            <w:r>
              <w:rPr>
                <w:i/>
                <w:sz w:val="20"/>
              </w:rPr>
              <w:t>Bustos</w:t>
              <w:tab/>
            </w:r>
            <w:r>
              <w:rPr>
                <w:sz w:val="22"/>
              </w:rPr>
              <w:t>14</w:t>
            </w:r>
          </w:p>
        </w:tc>
      </w:tr>
      <w:tr>
        <w:trPr>
          <w:trHeight w:val="1140" w:hRule="atLeast"/>
        </w:trPr>
        <w:tc>
          <w:tcPr>
            <w:tcW w:w="8821" w:type="dxa"/>
            <w:shd w:val="clear" w:color="auto" w:fill="DEEAF6"/>
          </w:tcPr>
          <w:p>
            <w:pPr>
              <w:pStyle w:val="TableParagraph"/>
              <w:tabs>
                <w:tab w:pos="8611" w:val="right" w:leader="dot"/>
              </w:tabs>
              <w:spacing w:line="256" w:lineRule="exact" w:before="864"/>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19</w:t>
            </w:r>
          </w:p>
        </w:tc>
      </w:tr>
    </w:tbl>
    <w:sectPr>
      <w:headerReference w:type="default" r:id="rId86"/>
      <w:footerReference w:type="default" r:id="rId87"/>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311">
          <wp:simplePos x="0" y="0"/>
          <wp:positionH relativeFrom="page">
            <wp:posOffset>916939</wp:posOffset>
          </wp:positionH>
          <wp:positionV relativeFrom="page">
            <wp:posOffset>9441180</wp:posOffset>
          </wp:positionV>
          <wp:extent cx="5910580" cy="203200"/>
          <wp:effectExtent l="0" t="0" r="0" b="0"/>
          <wp:wrapNone/>
          <wp:docPr id="7" name="image27.png" descr=""/>
          <wp:cNvGraphicFramePr>
            <a:graphicFrameLocks noChangeAspect="1"/>
          </wp:cNvGraphicFramePr>
          <a:graphic>
            <a:graphicData uri="http://schemas.openxmlformats.org/drawingml/2006/picture">
              <pic:pic>
                <pic:nvPicPr>
                  <pic:cNvPr id="8"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2335">
          <wp:simplePos x="0" y="0"/>
          <wp:positionH relativeFrom="page">
            <wp:posOffset>485140</wp:posOffset>
          </wp:positionH>
          <wp:positionV relativeFrom="page">
            <wp:posOffset>9390380</wp:posOffset>
          </wp:positionV>
          <wp:extent cx="419100" cy="1905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30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307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30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650002pt;margin-top:735.320129pt;width:489.6pt;height:25.35pt;mso-position-horizontal-relative:page;mso-position-vertical-relative:page;z-index:-42064" coordorigin="733,14706" coordsize="9792,507">
          <v:rect style="position:absolute;left:733;top:14709;width:720;height:504" filled="true" fillcolor="#3366cc" stroked="false">
            <v:fill type="solid"/>
          </v:rect>
          <v:shape style="position:absolute;left:764;top:14812;width:660;height:300" type="#_x0000_t75" stroked="false">
            <v:imagedata r:id="rId1" o:title=""/>
          </v:shape>
          <v:line style="position:absolute" from="1209,14721" to="10524,14721" stroked="true" strokeweight="1.4649pt" strokecolor="#3366cc">
            <v:stroke dashstyle="solid"/>
          </v:line>
          <v:shape style="position:absolute;left:1184;top:14888;width:9304;height:316" type="#_x0000_t75" stroked="false">
            <v:imagedata r:id="rId2" o:title=""/>
          </v:shape>
          <w10:wrap type="none"/>
        </v:group>
      </w:pict>
    </w:r>
    <w:r>
      <w:rPr/>
      <w:pict>
        <v:shape style="position:absolute;margin-left:47.825001pt;margin-top:742.5pt;width:18pt;height:16pt;mso-position-horizontal-relative:page;mso-position-vertical-relative:page;z-index:-42040"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16</w:t>
                </w:r>
                <w:r>
                  <w:rPr/>
                  <w:fldChar w:fldCharType="end"/>
                </w:r>
              </w:p>
            </w:txbxContent>
          </v:textbox>
          <w10:wrap type="none"/>
        </v:shape>
      </w:pict>
    </w:r>
    <w:r>
      <w:rPr/>
      <w:pict>
        <v:shape style="position:absolute;margin-left:223.270004pt;margin-top:743.747253pt;width:136.85pt;height:13.2pt;mso-position-horizontal-relative:page;mso-position-vertical-relative:page;z-index:-4201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487">
          <wp:simplePos x="0" y="0"/>
          <wp:positionH relativeFrom="page">
            <wp:posOffset>916939</wp:posOffset>
          </wp:positionH>
          <wp:positionV relativeFrom="page">
            <wp:posOffset>9441180</wp:posOffset>
          </wp:positionV>
          <wp:extent cx="5890260" cy="2032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3511">
          <wp:simplePos x="0" y="0"/>
          <wp:positionH relativeFrom="page">
            <wp:posOffset>6870700</wp:posOffset>
          </wp:positionH>
          <wp:positionV relativeFrom="page">
            <wp:posOffset>9385300</wp:posOffset>
          </wp:positionV>
          <wp:extent cx="419100" cy="190500"/>
          <wp:effectExtent l="0" t="0" r="0" b="0"/>
          <wp:wrapNone/>
          <wp:docPr id="33" name="image28.png" descr=""/>
          <wp:cNvGraphicFramePr>
            <a:graphicFrameLocks noChangeAspect="1"/>
          </wp:cNvGraphicFramePr>
          <a:graphic>
            <a:graphicData uri="http://schemas.openxmlformats.org/drawingml/2006/picture">
              <pic:pic>
                <pic:nvPicPr>
                  <pic:cNvPr id="3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192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189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19</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41872"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631">
          <wp:simplePos x="0" y="0"/>
          <wp:positionH relativeFrom="page">
            <wp:posOffset>916939</wp:posOffset>
          </wp:positionH>
          <wp:positionV relativeFrom="page">
            <wp:posOffset>9441180</wp:posOffset>
          </wp:positionV>
          <wp:extent cx="5890260" cy="2032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3655">
          <wp:simplePos x="0" y="0"/>
          <wp:positionH relativeFrom="page">
            <wp:posOffset>6870700</wp:posOffset>
          </wp:positionH>
          <wp:positionV relativeFrom="page">
            <wp:posOffset>9385300</wp:posOffset>
          </wp:positionV>
          <wp:extent cx="419100" cy="190500"/>
          <wp:effectExtent l="0" t="0" r="0" b="0"/>
          <wp:wrapNone/>
          <wp:docPr id="37" name="image28.png" descr=""/>
          <wp:cNvGraphicFramePr>
            <a:graphicFrameLocks noChangeAspect="1"/>
          </wp:cNvGraphicFramePr>
          <a:graphic>
            <a:graphicData uri="http://schemas.openxmlformats.org/drawingml/2006/picture">
              <pic:pic>
                <pic:nvPicPr>
                  <pic:cNvPr id="3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17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175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41728"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431">
          <wp:simplePos x="0" y="0"/>
          <wp:positionH relativeFrom="page">
            <wp:posOffset>916939</wp:posOffset>
          </wp:positionH>
          <wp:positionV relativeFrom="page">
            <wp:posOffset>9441180</wp:posOffset>
          </wp:positionV>
          <wp:extent cx="5890260" cy="2032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2455">
          <wp:simplePos x="0" y="0"/>
          <wp:positionH relativeFrom="page">
            <wp:posOffset>6870700</wp:posOffset>
          </wp:positionH>
          <wp:positionV relativeFrom="page">
            <wp:posOffset>9385300</wp:posOffset>
          </wp:positionV>
          <wp:extent cx="419100" cy="190500"/>
          <wp:effectExtent l="0" t="0" r="0" b="0"/>
          <wp:wrapNone/>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29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295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9.880005pt;margin-top:742.747253pt;width:228.85pt;height:13.2pt;mso-position-horizontal-relative:page;mso-position-vertical-relative:page;z-index:-42928"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599">
          <wp:simplePos x="0" y="0"/>
          <wp:positionH relativeFrom="page">
            <wp:posOffset>751840</wp:posOffset>
          </wp:positionH>
          <wp:positionV relativeFrom="page">
            <wp:posOffset>9453880</wp:posOffset>
          </wp:positionV>
          <wp:extent cx="5890260" cy="200660"/>
          <wp:effectExtent l="0" t="0" r="0" b="0"/>
          <wp:wrapNone/>
          <wp:docPr id="15" name="image33.png" descr=""/>
          <wp:cNvGraphicFramePr>
            <a:graphicFrameLocks noChangeAspect="1"/>
          </wp:cNvGraphicFramePr>
          <a:graphic>
            <a:graphicData uri="http://schemas.openxmlformats.org/drawingml/2006/picture">
              <pic:pic>
                <pic:nvPicPr>
                  <pic:cNvPr id="16" name="image33.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2623">
          <wp:simplePos x="0" y="0"/>
          <wp:positionH relativeFrom="page">
            <wp:posOffset>6705600</wp:posOffset>
          </wp:positionH>
          <wp:positionV relativeFrom="page">
            <wp:posOffset>9400540</wp:posOffset>
          </wp:positionV>
          <wp:extent cx="419100" cy="1905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42808"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25.450012pt;margin-top:742.099976pt;width:39pt;height:16pt;mso-position-horizontal-relative:page;mso-position-vertical-relative:page;z-index:-42784" type="#_x0000_t202" filled="false" stroked="false">
          <v:textbox inset="0,0,0,0">
            <w:txbxContent>
              <w:p>
                <w:pPr>
                  <w:tabs>
                    <w:tab w:pos="430"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3"/>
                    <w:sz w:val="28"/>
                    <w:shd w:fill="3366CC" w:color="auto" w:val="clear"/>
                  </w:rPr>
                  <w:t> </w:t>
                </w:r>
              </w:p>
            </w:txbxContent>
          </v:textbox>
          <w10:wrap type="none"/>
        </v:shape>
      </w:pict>
    </w:r>
    <w:r>
      <w:rPr/>
      <w:pict>
        <v:shape style="position:absolute;margin-left:176.850006pt;margin-top:743.747253pt;width:228.9pt;height:13.2pt;mso-position-horizontal-relative:page;mso-position-vertical-relative:page;z-index:-42760"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650002pt;margin-top:735.320129pt;width:489.6pt;height:25.35pt;mso-position-horizontal-relative:page;mso-position-vertical-relative:page;z-index:-42736" coordorigin="733,14706" coordsize="9792,507">
          <v:rect style="position:absolute;left:733;top:14709;width:720;height:504" filled="true" fillcolor="#3366cc" stroked="false">
            <v:fill type="solid"/>
          </v:rect>
          <v:shape style="position:absolute;left:764;top:14812;width:660;height:300" type="#_x0000_t75" stroked="false">
            <v:imagedata r:id="rId1" o:title=""/>
          </v:shape>
          <v:line style="position:absolute" from="1209,14721" to="10524,14721" stroked="true" strokeweight="1.4649pt" strokecolor="#3366cc">
            <v:stroke dashstyle="solid"/>
          </v:line>
          <v:shape style="position:absolute;left:1184;top:14888;width:9304;height:316" type="#_x0000_t75" stroked="false">
            <v:imagedata r:id="rId2" o:title=""/>
          </v:shape>
          <w10:wrap type="none"/>
        </v:group>
      </w:pict>
    </w:r>
    <w:r>
      <w:rPr/>
      <w:pict>
        <v:shape style="position:absolute;margin-left:47.825001pt;margin-top:742.5pt;width:18pt;height:16pt;mso-position-horizontal-relative:page;mso-position-vertical-relative:page;z-index:-42712"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10</w:t>
                </w:r>
                <w:r>
                  <w:rPr/>
                  <w:fldChar w:fldCharType="end"/>
                </w:r>
              </w:p>
            </w:txbxContent>
          </v:textbox>
          <w10:wrap type="none"/>
        </v:shape>
      </w:pict>
    </w:r>
    <w:r>
      <w:rPr/>
      <w:pict>
        <v:shape style="position:absolute;margin-left:223.270004pt;margin-top:743.747253pt;width:136.85pt;height:13.2pt;mso-position-horizontal-relative:page;mso-position-vertical-relative:page;z-index:-4268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815">
          <wp:simplePos x="0" y="0"/>
          <wp:positionH relativeFrom="page">
            <wp:posOffset>751840</wp:posOffset>
          </wp:positionH>
          <wp:positionV relativeFrom="page">
            <wp:posOffset>9453880</wp:posOffset>
          </wp:positionV>
          <wp:extent cx="5890260" cy="200660"/>
          <wp:effectExtent l="0" t="0" r="0" b="0"/>
          <wp:wrapNone/>
          <wp:docPr id="19" name="image33.png" descr=""/>
          <wp:cNvGraphicFramePr>
            <a:graphicFrameLocks noChangeAspect="1"/>
          </wp:cNvGraphicFramePr>
          <a:graphic>
            <a:graphicData uri="http://schemas.openxmlformats.org/drawingml/2006/picture">
              <pic:pic>
                <pic:nvPicPr>
                  <pic:cNvPr id="20" name="image33.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2839">
          <wp:simplePos x="0" y="0"/>
          <wp:positionH relativeFrom="page">
            <wp:posOffset>6705600</wp:posOffset>
          </wp:positionH>
          <wp:positionV relativeFrom="page">
            <wp:posOffset>9400540</wp:posOffset>
          </wp:positionV>
          <wp:extent cx="419100" cy="190500"/>
          <wp:effectExtent l="0" t="0" r="0" b="0"/>
          <wp:wrapNone/>
          <wp:docPr id="21" name="image28.png" descr=""/>
          <wp:cNvGraphicFramePr>
            <a:graphicFrameLocks noChangeAspect="1"/>
          </wp:cNvGraphicFramePr>
          <a:graphic>
            <a:graphicData uri="http://schemas.openxmlformats.org/drawingml/2006/picture">
              <pic:pic>
                <pic:nvPicPr>
                  <pic:cNvPr id="2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42592"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25.450012pt;margin-top:742.099976pt;width:39pt;height:16pt;mso-position-horizontal-relative:page;mso-position-vertical-relative:page;z-index:-42568" type="#_x0000_t202" filled="false" stroked="false">
          <v:textbox inset="0,0,0,0">
            <w:txbxContent>
              <w:p>
                <w:pPr>
                  <w:tabs>
                    <w:tab w:pos="286"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9"/>
                    <w:sz w:val="28"/>
                    <w:shd w:fill="3366CC" w:color="auto" w:val="clear"/>
                  </w:rPr>
                  <w:t> </w:t>
                </w:r>
              </w:p>
            </w:txbxContent>
          </v:textbox>
          <w10:wrap type="none"/>
        </v:shape>
      </w:pict>
    </w:r>
    <w:r>
      <w:rPr/>
      <w:pict>
        <v:shape style="position:absolute;margin-left:176.850006pt;margin-top:743.747253pt;width:228.9pt;height:13.2pt;mso-position-horizontal-relative:page;mso-position-vertical-relative:page;z-index:-42544"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650002pt;margin-top:735.320129pt;width:489.6pt;height:25.35pt;mso-position-horizontal-relative:page;mso-position-vertical-relative:page;z-index:-42520" coordorigin="733,14706" coordsize="9792,507">
          <v:rect style="position:absolute;left:733;top:14709;width:720;height:504" filled="true" fillcolor="#3366cc" stroked="false">
            <v:fill type="solid"/>
          </v:rect>
          <v:shape style="position:absolute;left:764;top:14812;width:660;height:300" type="#_x0000_t75" stroked="false">
            <v:imagedata r:id="rId1" o:title=""/>
          </v:shape>
          <v:line style="position:absolute" from="1209,14721" to="10524,14721" stroked="true" strokeweight="1.4649pt" strokecolor="#3366cc">
            <v:stroke dashstyle="solid"/>
          </v:line>
          <v:shape style="position:absolute;left:1184;top:14888;width:9304;height:316" type="#_x0000_t75" stroked="false">
            <v:imagedata r:id="rId2" o:title=""/>
          </v:shape>
          <w10:wrap type="none"/>
        </v:group>
      </w:pict>
    </w:r>
    <w:r>
      <w:rPr/>
      <w:pict>
        <v:shape style="position:absolute;margin-left:47.825001pt;margin-top:742.5pt;width:18pt;height:16pt;mso-position-horizontal-relative:page;mso-position-vertical-relative:page;z-index:-42496"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12</w:t>
                </w:r>
                <w:r>
                  <w:rPr/>
                  <w:fldChar w:fldCharType="end"/>
                </w:r>
              </w:p>
            </w:txbxContent>
          </v:textbox>
          <w10:wrap type="none"/>
        </v:shape>
      </w:pict>
    </w:r>
    <w:r>
      <w:rPr/>
      <w:pict>
        <v:shape style="position:absolute;margin-left:223.270004pt;margin-top:743.747253pt;width:136.85pt;height:13.2pt;mso-position-horizontal-relative:page;mso-position-vertical-relative:page;z-index:-4247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031">
          <wp:simplePos x="0" y="0"/>
          <wp:positionH relativeFrom="page">
            <wp:posOffset>751840</wp:posOffset>
          </wp:positionH>
          <wp:positionV relativeFrom="page">
            <wp:posOffset>9453880</wp:posOffset>
          </wp:positionV>
          <wp:extent cx="5890260" cy="200660"/>
          <wp:effectExtent l="0" t="0" r="0" b="0"/>
          <wp:wrapNone/>
          <wp:docPr id="23" name="image33.png" descr=""/>
          <wp:cNvGraphicFramePr>
            <a:graphicFrameLocks noChangeAspect="1"/>
          </wp:cNvGraphicFramePr>
          <a:graphic>
            <a:graphicData uri="http://schemas.openxmlformats.org/drawingml/2006/picture">
              <pic:pic>
                <pic:nvPicPr>
                  <pic:cNvPr id="24" name="image33.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3055">
          <wp:simplePos x="0" y="0"/>
          <wp:positionH relativeFrom="page">
            <wp:posOffset>6705600</wp:posOffset>
          </wp:positionH>
          <wp:positionV relativeFrom="page">
            <wp:posOffset>9400540</wp:posOffset>
          </wp:positionV>
          <wp:extent cx="419100" cy="1905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42376"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25.450012pt;margin-top:742.099976pt;width:39pt;height:16pt;mso-position-horizontal-relative:page;mso-position-vertical-relative:page;z-index:-42352" type="#_x0000_t202" filled="false" stroked="false">
          <v:textbox inset="0,0,0,0">
            <w:txbxContent>
              <w:p>
                <w:pPr>
                  <w:tabs>
                    <w:tab w:pos="286"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9"/>
                    <w:sz w:val="28"/>
                    <w:shd w:fill="3366CC" w:color="auto" w:val="clear"/>
                  </w:rPr>
                  <w:t> </w:t>
                </w:r>
              </w:p>
            </w:txbxContent>
          </v:textbox>
          <w10:wrap type="none"/>
        </v:shape>
      </w:pict>
    </w:r>
    <w:r>
      <w:rPr/>
      <w:pict>
        <v:shape style="position:absolute;margin-left:176.850006pt;margin-top:743.747253pt;width:228.9pt;height:13.2pt;mso-position-horizontal-relative:page;mso-position-vertical-relative:page;z-index:-42328"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650002pt;margin-top:735.320129pt;width:489.6pt;height:25.35pt;mso-position-horizontal-relative:page;mso-position-vertical-relative:page;z-index:-42304" coordorigin="733,14706" coordsize="9792,507">
          <v:rect style="position:absolute;left:733;top:14709;width:720;height:504" filled="true" fillcolor="#3366cc" stroked="false">
            <v:fill type="solid"/>
          </v:rect>
          <v:shape style="position:absolute;left:764;top:14812;width:660;height:300" type="#_x0000_t75" stroked="false">
            <v:imagedata r:id="rId1" o:title=""/>
          </v:shape>
          <v:line style="position:absolute" from="1209,14721" to="10524,14721" stroked="true" strokeweight="1.4649pt" strokecolor="#3366cc">
            <v:stroke dashstyle="solid"/>
          </v:line>
          <v:shape style="position:absolute;left:1184;top:14888;width:9304;height:316" type="#_x0000_t75" stroked="false">
            <v:imagedata r:id="rId2" o:title=""/>
          </v:shape>
          <w10:wrap type="none"/>
        </v:group>
      </w:pict>
    </w:r>
    <w:r>
      <w:rPr/>
      <w:pict>
        <v:shape style="position:absolute;margin-left:47.825001pt;margin-top:742.5pt;width:18pt;height:16pt;mso-position-horizontal-relative:page;mso-position-vertical-relative:page;z-index:-42280" type="#_x0000_t202" filled="false" stroked="false">
          <v:textbox inset="0,0,0,0">
            <w:txbxContent>
              <w:p>
                <w:pPr>
                  <w:spacing w:line="305"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14</w:t>
                </w:r>
                <w:r>
                  <w:rPr/>
                  <w:fldChar w:fldCharType="end"/>
                </w:r>
              </w:p>
            </w:txbxContent>
          </v:textbox>
          <w10:wrap type="none"/>
        </v:shape>
      </w:pict>
    </w:r>
    <w:r>
      <w:rPr/>
      <w:pict>
        <v:shape style="position:absolute;margin-left:223.270004pt;margin-top:743.747253pt;width:136.85pt;height:13.2pt;mso-position-horizontal-relative:page;mso-position-vertical-relative:page;z-index:-422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3271">
          <wp:simplePos x="0" y="0"/>
          <wp:positionH relativeFrom="page">
            <wp:posOffset>751840</wp:posOffset>
          </wp:positionH>
          <wp:positionV relativeFrom="page">
            <wp:posOffset>9453880</wp:posOffset>
          </wp:positionV>
          <wp:extent cx="5890260" cy="200660"/>
          <wp:effectExtent l="0" t="0" r="0" b="0"/>
          <wp:wrapNone/>
          <wp:docPr id="27" name="image33.png" descr=""/>
          <wp:cNvGraphicFramePr>
            <a:graphicFrameLocks noChangeAspect="1"/>
          </wp:cNvGraphicFramePr>
          <a:graphic>
            <a:graphicData uri="http://schemas.openxmlformats.org/drawingml/2006/picture">
              <pic:pic>
                <pic:nvPicPr>
                  <pic:cNvPr id="28" name="image33.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3295">
          <wp:simplePos x="0" y="0"/>
          <wp:positionH relativeFrom="page">
            <wp:posOffset>6705600</wp:posOffset>
          </wp:positionH>
          <wp:positionV relativeFrom="page">
            <wp:posOffset>9400540</wp:posOffset>
          </wp:positionV>
          <wp:extent cx="419100" cy="190500"/>
          <wp:effectExtent l="0" t="0" r="0" b="0"/>
          <wp:wrapNone/>
          <wp:docPr id="29" name="image28.png" descr=""/>
          <wp:cNvGraphicFramePr>
            <a:graphicFrameLocks noChangeAspect="1"/>
          </wp:cNvGraphicFramePr>
          <a:graphic>
            <a:graphicData uri="http://schemas.openxmlformats.org/drawingml/2006/picture">
              <pic:pic>
                <pic:nvPicPr>
                  <pic:cNvPr id="3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42136"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25.450012pt;margin-top:742.099976pt;width:39pt;height:16pt;mso-position-horizontal-relative:page;mso-position-vertical-relative:page;z-index:-42112" type="#_x0000_t202" filled="false" stroked="false">
          <v:textbox inset="0,0,0,0">
            <w:txbxContent>
              <w:p>
                <w:pPr>
                  <w:tabs>
                    <w:tab w:pos="286"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9"/>
                    <w:sz w:val="28"/>
                    <w:shd w:fill="3366CC" w:color="auto" w:val="clear"/>
                  </w:rPr>
                  <w:t> </w:t>
                </w:r>
              </w:p>
            </w:txbxContent>
          </v:textbox>
          <w10:wrap type="none"/>
        </v:shape>
      </w:pict>
    </w:r>
    <w:r>
      <w:rPr/>
      <w:pict>
        <v:shape style="position:absolute;margin-left:176.850006pt;margin-top:743.747253pt;width:228.9pt;height:13.2pt;mso-position-horizontal-relative:page;mso-position-vertical-relative:page;z-index:-42088" type="#_x0000_t202" filled="false" stroked="false">
          <v:textbox inset="0,0,0,0">
            <w:txbxContent>
              <w:p>
                <w:pPr>
                  <w:spacing w:before="13"/>
                  <w:ind w:left="20" w:right="0" w:firstLine="0"/>
                  <w:jc w:val="left"/>
                  <w:rPr>
                    <w:i/>
                    <w:sz w:val="20"/>
                  </w:rPr>
                </w:pPr>
                <w:r>
                  <w:rPr>
                    <w:i/>
                    <w:color w:val="2E5395"/>
                    <w:sz w:val="20"/>
                  </w:rPr>
                  <w:t>REVISTA MEDICA SINERGIA Vol 1 (7), Julio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479996pt;margin-top:35.147266pt;width:331.45pt;height:13.2pt;mso-position-horizontal-relative:page;mso-position-vertical-relative:page;z-index:-42904" type="#_x0000_t202" filled="false" stroked="false">
          <v:textbox inset="0,0,0,0">
            <w:txbxContent>
              <w:p>
                <w:pPr>
                  <w:spacing w:before="13"/>
                  <w:ind w:left="20" w:right="0" w:firstLine="0"/>
                  <w:jc w:val="left"/>
                  <w:rPr>
                    <w:i/>
                    <w:sz w:val="20"/>
                  </w:rPr>
                </w:pPr>
                <w:r>
                  <w:rPr>
                    <w:i/>
                    <w:color w:val="2D74B5"/>
                    <w:sz w:val="20"/>
                  </w:rPr>
                  <w:t>HIPERPLASIA PROSTATICA BENIGNA (HPB) – Ricardo Sánchez Gaitán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130005pt;margin-top:35.147266pt;width:174.9pt;height:13.2pt;mso-position-horizontal-relative:page;mso-position-vertical-relative:page;z-index:-42208" type="#_x0000_t202" filled="false" stroked="false">
          <v:textbox inset="0,0,0,0">
            <w:txbxContent>
              <w:p>
                <w:pPr>
                  <w:spacing w:before="13"/>
                  <w:ind w:left="20" w:right="0" w:firstLine="0"/>
                  <w:jc w:val="left"/>
                  <w:rPr>
                    <w:i/>
                    <w:sz w:val="20"/>
                  </w:rPr>
                </w:pPr>
                <w:r>
                  <w:rPr>
                    <w:i/>
                    <w:color w:val="2D74B5"/>
                    <w:sz w:val="20"/>
                  </w:rPr>
                  <w:t>ICTERICIA– Daniel Mondragón Bustos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199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41848"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9.479996pt;margin-top:35.147266pt;width:331.45pt;height:13.2pt;mso-position-horizontal-relative:page;mso-position-vertical-relative:page;z-index:-42880" type="#_x0000_t202" filled="false" stroked="false">
          <v:textbox inset="0,0,0,0">
            <w:txbxContent>
              <w:p>
                <w:pPr>
                  <w:spacing w:before="13"/>
                  <w:ind w:left="20" w:right="0" w:firstLine="0"/>
                  <w:jc w:val="left"/>
                  <w:rPr>
                    <w:i/>
                    <w:sz w:val="20"/>
                  </w:rPr>
                </w:pPr>
                <w:r>
                  <w:rPr>
                    <w:i/>
                    <w:color w:val="2D74B5"/>
                    <w:sz w:val="20"/>
                  </w:rPr>
                  <w:t>HIPERPLASIA PROSTATICA BENIGNA (HPB) – Ricardo Sánchez Gaitán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99988pt;margin-top:35.147266pt;width:227.6pt;height:13.2pt;mso-position-horizontal-relative:page;mso-position-vertical-relative:page;z-index:-42664" type="#_x0000_t202" filled="false" stroked="false">
          <v:textbox inset="0,0,0,0">
            <w:txbxContent>
              <w:p>
                <w:pPr>
                  <w:spacing w:before="13"/>
                  <w:ind w:left="20" w:right="0" w:firstLine="0"/>
                  <w:jc w:val="left"/>
                  <w:rPr>
                    <w:i/>
                    <w:sz w:val="20"/>
                  </w:rPr>
                </w:pPr>
                <w:r>
                  <w:rPr>
                    <w:i/>
                    <w:color w:val="2D74B5"/>
                    <w:sz w:val="20"/>
                  </w:rPr>
                  <w:t>ULCERA GASTRODUODENAL– Rocío Arias Silva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99988pt;margin-top:35.147266pt;width:227.6pt;height:13.2pt;mso-position-horizontal-relative:page;mso-position-vertical-relative:page;z-index:-42448" type="#_x0000_t202" filled="false" stroked="false">
          <v:textbox inset="0,0,0,0">
            <w:txbxContent>
              <w:p>
                <w:pPr>
                  <w:spacing w:before="13"/>
                  <w:ind w:left="20" w:right="0" w:firstLine="0"/>
                  <w:jc w:val="left"/>
                  <w:rPr>
                    <w:i/>
                    <w:sz w:val="20"/>
                  </w:rPr>
                </w:pPr>
                <w:r>
                  <w:rPr>
                    <w:i/>
                    <w:color w:val="2D74B5"/>
                    <w:sz w:val="20"/>
                  </w:rPr>
                  <w:t>ULCERA GASTRODUODENAL– Rocío Arias Silva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3.130005pt;margin-top:35.147266pt;width:175.1pt;height:13.2pt;mso-position-horizontal-relative:page;mso-position-vertical-relative:page;z-index:-42232" type="#_x0000_t202" filled="false" stroked="false">
          <v:textbox inset="0,0,0,0">
            <w:txbxContent>
              <w:p>
                <w:pPr>
                  <w:spacing w:before="13"/>
                  <w:ind w:left="20" w:right="0" w:firstLine="0"/>
                  <w:jc w:val="left"/>
                  <w:rPr>
                    <w:i/>
                    <w:sz w:val="20"/>
                  </w:rPr>
                </w:pPr>
                <w:r>
                  <w:rPr>
                    <w:i/>
                    <w:color w:val="2D74B5"/>
                    <w:sz w:val="20"/>
                  </w:rPr>
                  <w:t>ICTERICIA– Daniel Mondragón Bustos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800" w:hanging="360"/>
        <w:jc w:val="left"/>
      </w:pPr>
      <w:rPr>
        <w:rFonts w:hint="default" w:ascii="Arial" w:hAnsi="Arial" w:eastAsia="Arial" w:cs="Arial"/>
        <w:spacing w:val="-2"/>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0"/>
      <w:numFmt w:val="bullet"/>
      <w:lvlText w:val=""/>
      <w:lvlJc w:val="left"/>
      <w:pPr>
        <w:ind w:left="1036" w:hanging="360"/>
      </w:pPr>
      <w:rPr>
        <w:rFonts w:hint="default"/>
        <w:w w:val="100"/>
      </w:rPr>
    </w:lvl>
    <w:lvl w:ilvl="1">
      <w:start w:val="0"/>
      <w:numFmt w:val="bullet"/>
      <w:lvlText w:val=""/>
      <w:lvlJc w:val="left"/>
      <w:pPr>
        <w:ind w:left="2060" w:hanging="360"/>
      </w:pPr>
      <w:rPr>
        <w:rFonts w:hint="default"/>
        <w:w w:val="100"/>
      </w:rPr>
    </w:lvl>
    <w:lvl w:ilvl="2">
      <w:start w:val="0"/>
      <w:numFmt w:val="bullet"/>
      <w:lvlText w:val="•"/>
      <w:lvlJc w:val="left"/>
      <w:pPr>
        <w:ind w:left="1826" w:hanging="360"/>
      </w:pPr>
      <w:rPr>
        <w:rFonts w:hint="default"/>
      </w:rPr>
    </w:lvl>
    <w:lvl w:ilvl="3">
      <w:start w:val="0"/>
      <w:numFmt w:val="bullet"/>
      <w:lvlText w:val="•"/>
      <w:lvlJc w:val="left"/>
      <w:pPr>
        <w:ind w:left="1592" w:hanging="360"/>
      </w:pPr>
      <w:rPr>
        <w:rFonts w:hint="default"/>
      </w:rPr>
    </w:lvl>
    <w:lvl w:ilvl="4">
      <w:start w:val="0"/>
      <w:numFmt w:val="bullet"/>
      <w:lvlText w:val="•"/>
      <w:lvlJc w:val="left"/>
      <w:pPr>
        <w:ind w:left="1359" w:hanging="360"/>
      </w:pPr>
      <w:rPr>
        <w:rFonts w:hint="default"/>
      </w:rPr>
    </w:lvl>
    <w:lvl w:ilvl="5">
      <w:start w:val="0"/>
      <w:numFmt w:val="bullet"/>
      <w:lvlText w:val="•"/>
      <w:lvlJc w:val="left"/>
      <w:pPr>
        <w:ind w:left="1125" w:hanging="360"/>
      </w:pPr>
      <w:rPr>
        <w:rFonts w:hint="default"/>
      </w:rPr>
    </w:lvl>
    <w:lvl w:ilvl="6">
      <w:start w:val="0"/>
      <w:numFmt w:val="bullet"/>
      <w:lvlText w:val="•"/>
      <w:lvlJc w:val="left"/>
      <w:pPr>
        <w:ind w:left="891" w:hanging="360"/>
      </w:pPr>
      <w:rPr>
        <w:rFonts w:hint="default"/>
      </w:rPr>
    </w:lvl>
    <w:lvl w:ilvl="7">
      <w:start w:val="0"/>
      <w:numFmt w:val="bullet"/>
      <w:lvlText w:val="•"/>
      <w:lvlJc w:val="left"/>
      <w:pPr>
        <w:ind w:left="658" w:hanging="360"/>
      </w:pPr>
      <w:rPr>
        <w:rFonts w:hint="default"/>
      </w:rPr>
    </w:lvl>
    <w:lvl w:ilvl="8">
      <w:start w:val="0"/>
      <w:numFmt w:val="bullet"/>
      <w:lvlText w:val="•"/>
      <w:lvlJc w:val="left"/>
      <w:pPr>
        <w:ind w:left="424" w:hanging="360"/>
      </w:pPr>
      <w:rPr>
        <w:rFonts w:hint="default"/>
      </w:rPr>
    </w:lvl>
  </w:abstractNum>
  <w:abstractNum w:abstractNumId="7">
    <w:multiLevelType w:val="hybridMultilevel"/>
    <w:lvl w:ilvl="0">
      <w:start w:val="0"/>
      <w:numFmt w:val="bullet"/>
      <w:lvlText w:val=""/>
      <w:lvlJc w:val="left"/>
      <w:pPr>
        <w:ind w:left="2060" w:hanging="360"/>
      </w:pPr>
      <w:rPr>
        <w:rFonts w:hint="default" w:ascii="Symbol" w:hAnsi="Symbol" w:eastAsia="Symbol" w:cs="Symbol"/>
        <w:w w:val="100"/>
        <w:sz w:val="22"/>
        <w:szCs w:val="22"/>
      </w:rPr>
    </w:lvl>
    <w:lvl w:ilvl="1">
      <w:start w:val="0"/>
      <w:numFmt w:val="bullet"/>
      <w:lvlText w:val="•"/>
      <w:lvlJc w:val="left"/>
      <w:pPr>
        <w:ind w:left="2430" w:hanging="360"/>
      </w:pPr>
      <w:rPr>
        <w:rFonts w:hint="default"/>
      </w:rPr>
    </w:lvl>
    <w:lvl w:ilvl="2">
      <w:start w:val="0"/>
      <w:numFmt w:val="bullet"/>
      <w:lvlText w:val="•"/>
      <w:lvlJc w:val="left"/>
      <w:pPr>
        <w:ind w:left="2801" w:hanging="360"/>
      </w:pPr>
      <w:rPr>
        <w:rFonts w:hint="default"/>
      </w:rPr>
    </w:lvl>
    <w:lvl w:ilvl="3">
      <w:start w:val="0"/>
      <w:numFmt w:val="bullet"/>
      <w:lvlText w:val="•"/>
      <w:lvlJc w:val="left"/>
      <w:pPr>
        <w:ind w:left="3171" w:hanging="360"/>
      </w:pPr>
      <w:rPr>
        <w:rFonts w:hint="default"/>
      </w:rPr>
    </w:lvl>
    <w:lvl w:ilvl="4">
      <w:start w:val="0"/>
      <w:numFmt w:val="bullet"/>
      <w:lvlText w:val="•"/>
      <w:lvlJc w:val="left"/>
      <w:pPr>
        <w:ind w:left="3542" w:hanging="360"/>
      </w:pPr>
      <w:rPr>
        <w:rFonts w:hint="default"/>
      </w:rPr>
    </w:lvl>
    <w:lvl w:ilvl="5">
      <w:start w:val="0"/>
      <w:numFmt w:val="bullet"/>
      <w:lvlText w:val="•"/>
      <w:lvlJc w:val="left"/>
      <w:pPr>
        <w:ind w:left="3912" w:hanging="360"/>
      </w:pPr>
      <w:rPr>
        <w:rFonts w:hint="default"/>
      </w:rPr>
    </w:lvl>
    <w:lvl w:ilvl="6">
      <w:start w:val="0"/>
      <w:numFmt w:val="bullet"/>
      <w:lvlText w:val="•"/>
      <w:lvlJc w:val="left"/>
      <w:pPr>
        <w:ind w:left="4283" w:hanging="360"/>
      </w:pPr>
      <w:rPr>
        <w:rFonts w:hint="default"/>
      </w:rPr>
    </w:lvl>
    <w:lvl w:ilvl="7">
      <w:start w:val="0"/>
      <w:numFmt w:val="bullet"/>
      <w:lvlText w:val="•"/>
      <w:lvlJc w:val="left"/>
      <w:pPr>
        <w:ind w:left="4654" w:hanging="360"/>
      </w:pPr>
      <w:rPr>
        <w:rFonts w:hint="default"/>
      </w:rPr>
    </w:lvl>
    <w:lvl w:ilvl="8">
      <w:start w:val="0"/>
      <w:numFmt w:val="bullet"/>
      <w:lvlText w:val="•"/>
      <w:lvlJc w:val="left"/>
      <w:pPr>
        <w:ind w:left="5024" w:hanging="360"/>
      </w:pPr>
      <w:rPr>
        <w:rFonts w:hint="default"/>
      </w:rPr>
    </w:lvl>
  </w:abstractNum>
  <w:abstractNum w:abstractNumId="6">
    <w:multiLevelType w:val="hybridMultilevel"/>
    <w:lvl w:ilvl="0">
      <w:start w:val="1"/>
      <w:numFmt w:val="decimal"/>
      <w:lvlText w:val="%1."/>
      <w:lvlJc w:val="left"/>
      <w:pPr>
        <w:ind w:left="1400" w:hanging="361"/>
        <w:jc w:val="left"/>
      </w:pPr>
      <w:rPr>
        <w:rFonts w:hint="default" w:ascii="Arial" w:hAnsi="Arial" w:eastAsia="Arial" w:cs="Arial"/>
        <w:spacing w:val="-8"/>
        <w:w w:val="100"/>
        <w:sz w:val="22"/>
        <w:szCs w:val="22"/>
      </w:rPr>
    </w:lvl>
    <w:lvl w:ilvl="1">
      <w:start w:val="1"/>
      <w:numFmt w:val="upperRoman"/>
      <w:lvlText w:val="%2."/>
      <w:lvlJc w:val="left"/>
      <w:pPr>
        <w:ind w:left="1800" w:hanging="472"/>
        <w:jc w:val="right"/>
      </w:pPr>
      <w:rPr>
        <w:rFonts w:hint="default" w:ascii="Arial" w:hAnsi="Arial" w:eastAsia="Arial" w:cs="Arial"/>
        <w:b/>
        <w:bCs/>
        <w:spacing w:val="-7"/>
        <w:w w:val="99"/>
        <w:sz w:val="20"/>
        <w:szCs w:val="20"/>
      </w:rPr>
    </w:lvl>
    <w:lvl w:ilvl="2">
      <w:start w:val="1"/>
      <w:numFmt w:val="decimal"/>
      <w:lvlText w:val="%3."/>
      <w:lvlJc w:val="left"/>
      <w:pPr>
        <w:ind w:left="2160" w:hanging="360"/>
        <w:jc w:val="left"/>
      </w:pPr>
      <w:rPr>
        <w:rFonts w:hint="default" w:ascii="Arial" w:hAnsi="Arial" w:eastAsia="Arial" w:cs="Arial"/>
        <w:spacing w:val="-7"/>
        <w:w w:val="99"/>
        <w:sz w:val="20"/>
        <w:szCs w:val="20"/>
      </w:rPr>
    </w:lvl>
    <w:lvl w:ilvl="3">
      <w:start w:val="0"/>
      <w:numFmt w:val="bullet"/>
      <w:lvlText w:val="•"/>
      <w:lvlJc w:val="left"/>
      <w:pPr>
        <w:ind w:left="2694" w:hanging="360"/>
      </w:pPr>
      <w:rPr>
        <w:rFonts w:hint="default"/>
      </w:rPr>
    </w:lvl>
    <w:lvl w:ilvl="4">
      <w:start w:val="0"/>
      <w:numFmt w:val="bullet"/>
      <w:lvlText w:val="•"/>
      <w:lvlJc w:val="left"/>
      <w:pPr>
        <w:ind w:left="3229" w:hanging="360"/>
      </w:pPr>
      <w:rPr>
        <w:rFonts w:hint="default"/>
      </w:rPr>
    </w:lvl>
    <w:lvl w:ilvl="5">
      <w:start w:val="0"/>
      <w:numFmt w:val="bullet"/>
      <w:lvlText w:val="•"/>
      <w:lvlJc w:val="left"/>
      <w:pPr>
        <w:ind w:left="3764" w:hanging="360"/>
      </w:pPr>
      <w:rPr>
        <w:rFonts w:hint="default"/>
      </w:rPr>
    </w:lvl>
    <w:lvl w:ilvl="6">
      <w:start w:val="0"/>
      <w:numFmt w:val="bullet"/>
      <w:lvlText w:val="•"/>
      <w:lvlJc w:val="left"/>
      <w:pPr>
        <w:ind w:left="4298" w:hanging="360"/>
      </w:pPr>
      <w:rPr>
        <w:rFonts w:hint="default"/>
      </w:rPr>
    </w:lvl>
    <w:lvl w:ilvl="7">
      <w:start w:val="0"/>
      <w:numFmt w:val="bullet"/>
      <w:lvlText w:val="•"/>
      <w:lvlJc w:val="left"/>
      <w:pPr>
        <w:ind w:left="4833" w:hanging="360"/>
      </w:pPr>
      <w:rPr>
        <w:rFonts w:hint="default"/>
      </w:rPr>
    </w:lvl>
    <w:lvl w:ilvl="8">
      <w:start w:val="0"/>
      <w:numFmt w:val="bullet"/>
      <w:lvlText w:val="•"/>
      <w:lvlJc w:val="left"/>
      <w:pPr>
        <w:ind w:left="5368" w:hanging="360"/>
      </w:pPr>
      <w:rPr>
        <w:rFonts w:hint="default"/>
      </w:rPr>
    </w:lvl>
  </w:abstractNum>
  <w:abstractNum w:abstractNumId="5">
    <w:multiLevelType w:val="hybridMultilevel"/>
    <w:lvl w:ilvl="0">
      <w:start w:val="0"/>
      <w:numFmt w:val="bullet"/>
      <w:lvlText w:val=""/>
      <w:lvlJc w:val="left"/>
      <w:pPr>
        <w:ind w:left="1399" w:hanging="361"/>
      </w:pPr>
      <w:rPr>
        <w:rFonts w:hint="default" w:ascii="Symbol" w:hAnsi="Symbol" w:eastAsia="Symbol" w:cs="Symbol"/>
        <w:w w:val="100"/>
        <w:sz w:val="22"/>
        <w:szCs w:val="22"/>
      </w:rPr>
    </w:lvl>
    <w:lvl w:ilvl="1">
      <w:start w:val="0"/>
      <w:numFmt w:val="bullet"/>
      <w:lvlText w:val=""/>
      <w:lvlJc w:val="left"/>
      <w:pPr>
        <w:ind w:left="2421" w:hanging="361"/>
      </w:pPr>
      <w:rPr>
        <w:rFonts w:hint="default"/>
        <w:w w:val="100"/>
      </w:rPr>
    </w:lvl>
    <w:lvl w:ilvl="2">
      <w:start w:val="0"/>
      <w:numFmt w:val="bullet"/>
      <w:lvlText w:val="•"/>
      <w:lvlJc w:val="left"/>
      <w:pPr>
        <w:ind w:left="2420" w:hanging="361"/>
      </w:pPr>
      <w:rPr>
        <w:rFonts w:hint="default"/>
      </w:rPr>
    </w:lvl>
    <w:lvl w:ilvl="3">
      <w:start w:val="0"/>
      <w:numFmt w:val="bullet"/>
      <w:lvlText w:val="•"/>
      <w:lvlJc w:val="left"/>
      <w:pPr>
        <w:ind w:left="2112" w:hanging="361"/>
      </w:pPr>
      <w:rPr>
        <w:rFonts w:hint="default"/>
      </w:rPr>
    </w:lvl>
    <w:lvl w:ilvl="4">
      <w:start w:val="0"/>
      <w:numFmt w:val="bullet"/>
      <w:lvlText w:val="•"/>
      <w:lvlJc w:val="left"/>
      <w:pPr>
        <w:ind w:left="1804" w:hanging="361"/>
      </w:pPr>
      <w:rPr>
        <w:rFonts w:hint="default"/>
      </w:rPr>
    </w:lvl>
    <w:lvl w:ilvl="5">
      <w:start w:val="0"/>
      <w:numFmt w:val="bullet"/>
      <w:lvlText w:val="•"/>
      <w:lvlJc w:val="left"/>
      <w:pPr>
        <w:ind w:left="1497" w:hanging="361"/>
      </w:pPr>
      <w:rPr>
        <w:rFonts w:hint="default"/>
      </w:rPr>
    </w:lvl>
    <w:lvl w:ilvl="6">
      <w:start w:val="0"/>
      <w:numFmt w:val="bullet"/>
      <w:lvlText w:val="•"/>
      <w:lvlJc w:val="left"/>
      <w:pPr>
        <w:ind w:left="1189" w:hanging="361"/>
      </w:pPr>
      <w:rPr>
        <w:rFonts w:hint="default"/>
      </w:rPr>
    </w:lvl>
    <w:lvl w:ilvl="7">
      <w:start w:val="0"/>
      <w:numFmt w:val="bullet"/>
      <w:lvlText w:val="•"/>
      <w:lvlJc w:val="left"/>
      <w:pPr>
        <w:ind w:left="881" w:hanging="361"/>
      </w:pPr>
      <w:rPr>
        <w:rFonts w:hint="default"/>
      </w:rPr>
    </w:lvl>
    <w:lvl w:ilvl="8">
      <w:start w:val="0"/>
      <w:numFmt w:val="bullet"/>
      <w:lvlText w:val="•"/>
      <w:lvlJc w:val="left"/>
      <w:pPr>
        <w:ind w:left="574" w:hanging="361"/>
      </w:pPr>
      <w:rPr>
        <w:rFonts w:hint="default"/>
      </w:rPr>
    </w:lvl>
  </w:abstractNum>
  <w:abstractNum w:abstractNumId="4">
    <w:multiLevelType w:val="hybridMultilevel"/>
    <w:lvl w:ilvl="0">
      <w:start w:val="1"/>
      <w:numFmt w:val="decimal"/>
      <w:lvlText w:val="%1."/>
      <w:lvlJc w:val="left"/>
      <w:pPr>
        <w:ind w:left="1019" w:hanging="360"/>
        <w:jc w:val="left"/>
      </w:pPr>
      <w:rPr>
        <w:rFonts w:hint="default" w:ascii="Arial" w:hAnsi="Arial" w:eastAsia="Arial" w:cs="Arial"/>
        <w:spacing w:val="-9"/>
        <w:w w:val="99"/>
        <w:sz w:val="22"/>
        <w:szCs w:val="22"/>
      </w:rPr>
    </w:lvl>
    <w:lvl w:ilvl="1">
      <w:start w:val="0"/>
      <w:numFmt w:val="bullet"/>
      <w:lvlText w:val=""/>
      <w:lvlJc w:val="left"/>
      <w:pPr>
        <w:ind w:left="2160" w:hanging="360"/>
      </w:pPr>
      <w:rPr>
        <w:rFonts w:hint="default"/>
        <w:w w:val="100"/>
      </w:rPr>
    </w:lvl>
    <w:lvl w:ilvl="2">
      <w:start w:val="0"/>
      <w:numFmt w:val="bullet"/>
      <w:lvlText w:val="•"/>
      <w:lvlJc w:val="left"/>
      <w:pPr>
        <w:ind w:left="3460" w:hanging="360"/>
      </w:pPr>
      <w:rPr>
        <w:rFonts w:hint="default"/>
      </w:rPr>
    </w:lvl>
    <w:lvl w:ilvl="3">
      <w:start w:val="0"/>
      <w:numFmt w:val="bullet"/>
      <w:lvlText w:val="•"/>
      <w:lvlJc w:val="left"/>
      <w:pPr>
        <w:ind w:left="3320" w:hanging="360"/>
      </w:pPr>
      <w:rPr>
        <w:rFonts w:hint="default"/>
      </w:rPr>
    </w:lvl>
    <w:lvl w:ilvl="4">
      <w:start w:val="0"/>
      <w:numFmt w:val="bullet"/>
      <w:lvlText w:val="•"/>
      <w:lvlJc w:val="left"/>
      <w:pPr>
        <w:ind w:left="3180" w:hanging="360"/>
      </w:pPr>
      <w:rPr>
        <w:rFonts w:hint="default"/>
      </w:rPr>
    </w:lvl>
    <w:lvl w:ilvl="5">
      <w:start w:val="0"/>
      <w:numFmt w:val="bullet"/>
      <w:lvlText w:val="•"/>
      <w:lvlJc w:val="left"/>
      <w:pPr>
        <w:ind w:left="3040" w:hanging="360"/>
      </w:pPr>
      <w:rPr>
        <w:rFonts w:hint="default"/>
      </w:rPr>
    </w:lvl>
    <w:lvl w:ilvl="6">
      <w:start w:val="0"/>
      <w:numFmt w:val="bullet"/>
      <w:lvlText w:val="•"/>
      <w:lvlJc w:val="left"/>
      <w:pPr>
        <w:ind w:left="2900" w:hanging="360"/>
      </w:pPr>
      <w:rPr>
        <w:rFonts w:hint="default"/>
      </w:rPr>
    </w:lvl>
    <w:lvl w:ilvl="7">
      <w:start w:val="0"/>
      <w:numFmt w:val="bullet"/>
      <w:lvlText w:val="•"/>
      <w:lvlJc w:val="left"/>
      <w:pPr>
        <w:ind w:left="2760" w:hanging="360"/>
      </w:pPr>
      <w:rPr>
        <w:rFonts w:hint="default"/>
      </w:rPr>
    </w:lvl>
    <w:lvl w:ilvl="8">
      <w:start w:val="0"/>
      <w:numFmt w:val="bullet"/>
      <w:lvlText w:val="•"/>
      <w:lvlJc w:val="left"/>
      <w:pPr>
        <w:ind w:left="2621" w:hanging="360"/>
      </w:pPr>
      <w:rPr>
        <w:rFonts w:hint="default"/>
      </w:rPr>
    </w:lvl>
  </w:abstractNum>
  <w:abstractNum w:abstractNumId="3">
    <w:multiLevelType w:val="hybridMultilevel"/>
    <w:lvl w:ilvl="0">
      <w:start w:val="1"/>
      <w:numFmt w:val="decimal"/>
      <w:lvlText w:val="%1."/>
      <w:lvlJc w:val="left"/>
      <w:pPr>
        <w:ind w:left="903" w:hanging="244"/>
        <w:jc w:val="left"/>
      </w:pPr>
      <w:rPr>
        <w:rFonts w:hint="default" w:ascii="Arial" w:hAnsi="Arial" w:eastAsia="Arial" w:cs="Arial"/>
        <w:spacing w:val="0"/>
        <w:w w:val="99"/>
        <w:sz w:val="22"/>
        <w:szCs w:val="22"/>
      </w:rPr>
    </w:lvl>
    <w:lvl w:ilvl="1">
      <w:start w:val="0"/>
      <w:numFmt w:val="bullet"/>
      <w:lvlText w:val="•"/>
      <w:lvlJc w:val="left"/>
      <w:pPr>
        <w:ind w:left="1691" w:hanging="244"/>
      </w:pPr>
      <w:rPr>
        <w:rFonts w:hint="default"/>
      </w:rPr>
    </w:lvl>
    <w:lvl w:ilvl="2">
      <w:start w:val="0"/>
      <w:numFmt w:val="bullet"/>
      <w:lvlText w:val="•"/>
      <w:lvlJc w:val="left"/>
      <w:pPr>
        <w:ind w:left="2483" w:hanging="244"/>
      </w:pPr>
      <w:rPr>
        <w:rFonts w:hint="default"/>
      </w:rPr>
    </w:lvl>
    <w:lvl w:ilvl="3">
      <w:start w:val="0"/>
      <w:numFmt w:val="bullet"/>
      <w:lvlText w:val="•"/>
      <w:lvlJc w:val="left"/>
      <w:pPr>
        <w:ind w:left="3275" w:hanging="244"/>
      </w:pPr>
      <w:rPr>
        <w:rFonts w:hint="default"/>
      </w:rPr>
    </w:lvl>
    <w:lvl w:ilvl="4">
      <w:start w:val="0"/>
      <w:numFmt w:val="bullet"/>
      <w:lvlText w:val="•"/>
      <w:lvlJc w:val="left"/>
      <w:pPr>
        <w:ind w:left="4067" w:hanging="244"/>
      </w:pPr>
      <w:rPr>
        <w:rFonts w:hint="default"/>
      </w:rPr>
    </w:lvl>
    <w:lvl w:ilvl="5">
      <w:start w:val="0"/>
      <w:numFmt w:val="bullet"/>
      <w:lvlText w:val="•"/>
      <w:lvlJc w:val="left"/>
      <w:pPr>
        <w:ind w:left="4859" w:hanging="244"/>
      </w:pPr>
      <w:rPr>
        <w:rFonts w:hint="default"/>
      </w:rPr>
    </w:lvl>
    <w:lvl w:ilvl="6">
      <w:start w:val="0"/>
      <w:numFmt w:val="bullet"/>
      <w:lvlText w:val="•"/>
      <w:lvlJc w:val="left"/>
      <w:pPr>
        <w:ind w:left="5651" w:hanging="244"/>
      </w:pPr>
      <w:rPr>
        <w:rFonts w:hint="default"/>
      </w:rPr>
    </w:lvl>
    <w:lvl w:ilvl="7">
      <w:start w:val="0"/>
      <w:numFmt w:val="bullet"/>
      <w:lvlText w:val="•"/>
      <w:lvlJc w:val="left"/>
      <w:pPr>
        <w:ind w:left="6442" w:hanging="244"/>
      </w:pPr>
      <w:rPr>
        <w:rFonts w:hint="default"/>
      </w:rPr>
    </w:lvl>
    <w:lvl w:ilvl="8">
      <w:start w:val="0"/>
      <w:numFmt w:val="bullet"/>
      <w:lvlText w:val="•"/>
      <w:lvlJc w:val="left"/>
      <w:pPr>
        <w:ind w:left="7234" w:hanging="244"/>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03" w:hanging="361"/>
      </w:pPr>
      <w:rPr>
        <w:rFonts w:hint="default"/>
      </w:rPr>
    </w:lvl>
    <w:lvl w:ilvl="2">
      <w:start w:val="0"/>
      <w:numFmt w:val="bullet"/>
      <w:lvlText w:val="•"/>
      <w:lvlJc w:val="left"/>
      <w:pPr>
        <w:ind w:left="1246" w:hanging="361"/>
      </w:pPr>
      <w:rPr>
        <w:rFonts w:hint="default"/>
      </w:rPr>
    </w:lvl>
    <w:lvl w:ilvl="3">
      <w:start w:val="0"/>
      <w:numFmt w:val="bullet"/>
      <w:lvlText w:val="•"/>
      <w:lvlJc w:val="left"/>
      <w:pPr>
        <w:ind w:left="1589" w:hanging="361"/>
      </w:pPr>
      <w:rPr>
        <w:rFonts w:hint="default"/>
      </w:rPr>
    </w:lvl>
    <w:lvl w:ilvl="4">
      <w:start w:val="0"/>
      <w:numFmt w:val="bullet"/>
      <w:lvlText w:val="•"/>
      <w:lvlJc w:val="left"/>
      <w:pPr>
        <w:ind w:left="1932" w:hanging="361"/>
      </w:pPr>
      <w:rPr>
        <w:rFonts w:hint="default"/>
      </w:rPr>
    </w:lvl>
    <w:lvl w:ilvl="5">
      <w:start w:val="0"/>
      <w:numFmt w:val="bullet"/>
      <w:lvlText w:val="•"/>
      <w:lvlJc w:val="left"/>
      <w:pPr>
        <w:ind w:left="2275" w:hanging="361"/>
      </w:pPr>
      <w:rPr>
        <w:rFonts w:hint="default"/>
      </w:rPr>
    </w:lvl>
    <w:lvl w:ilvl="6">
      <w:start w:val="0"/>
      <w:numFmt w:val="bullet"/>
      <w:lvlText w:val="•"/>
      <w:lvlJc w:val="left"/>
      <w:pPr>
        <w:ind w:left="2618" w:hanging="361"/>
      </w:pPr>
      <w:rPr>
        <w:rFonts w:hint="default"/>
      </w:rPr>
    </w:lvl>
    <w:lvl w:ilvl="7">
      <w:start w:val="0"/>
      <w:numFmt w:val="bullet"/>
      <w:lvlText w:val="•"/>
      <w:lvlJc w:val="left"/>
      <w:pPr>
        <w:ind w:left="2961" w:hanging="361"/>
      </w:pPr>
      <w:rPr>
        <w:rFonts w:hint="default"/>
      </w:rPr>
    </w:lvl>
    <w:lvl w:ilvl="8">
      <w:start w:val="0"/>
      <w:numFmt w:val="bullet"/>
      <w:lvlText w:val="•"/>
      <w:lvlJc w:val="left"/>
      <w:pPr>
        <w:ind w:left="3304"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03" w:hanging="361"/>
      </w:pPr>
      <w:rPr>
        <w:rFonts w:hint="default"/>
      </w:rPr>
    </w:lvl>
    <w:lvl w:ilvl="2">
      <w:start w:val="0"/>
      <w:numFmt w:val="bullet"/>
      <w:lvlText w:val="•"/>
      <w:lvlJc w:val="left"/>
      <w:pPr>
        <w:ind w:left="1246" w:hanging="361"/>
      </w:pPr>
      <w:rPr>
        <w:rFonts w:hint="default"/>
      </w:rPr>
    </w:lvl>
    <w:lvl w:ilvl="3">
      <w:start w:val="0"/>
      <w:numFmt w:val="bullet"/>
      <w:lvlText w:val="•"/>
      <w:lvlJc w:val="left"/>
      <w:pPr>
        <w:ind w:left="1589" w:hanging="361"/>
      </w:pPr>
      <w:rPr>
        <w:rFonts w:hint="default"/>
      </w:rPr>
    </w:lvl>
    <w:lvl w:ilvl="4">
      <w:start w:val="0"/>
      <w:numFmt w:val="bullet"/>
      <w:lvlText w:val="•"/>
      <w:lvlJc w:val="left"/>
      <w:pPr>
        <w:ind w:left="1932" w:hanging="361"/>
      </w:pPr>
      <w:rPr>
        <w:rFonts w:hint="default"/>
      </w:rPr>
    </w:lvl>
    <w:lvl w:ilvl="5">
      <w:start w:val="0"/>
      <w:numFmt w:val="bullet"/>
      <w:lvlText w:val="•"/>
      <w:lvlJc w:val="left"/>
      <w:pPr>
        <w:ind w:left="2275" w:hanging="361"/>
      </w:pPr>
      <w:rPr>
        <w:rFonts w:hint="default"/>
      </w:rPr>
    </w:lvl>
    <w:lvl w:ilvl="6">
      <w:start w:val="0"/>
      <w:numFmt w:val="bullet"/>
      <w:lvlText w:val="•"/>
      <w:lvlJc w:val="left"/>
      <w:pPr>
        <w:ind w:left="2618" w:hanging="361"/>
      </w:pPr>
      <w:rPr>
        <w:rFonts w:hint="default"/>
      </w:rPr>
    </w:lvl>
    <w:lvl w:ilvl="7">
      <w:start w:val="0"/>
      <w:numFmt w:val="bullet"/>
      <w:lvlText w:val="•"/>
      <w:lvlJc w:val="left"/>
      <w:pPr>
        <w:ind w:left="2961" w:hanging="361"/>
      </w:pPr>
      <w:rPr>
        <w:rFonts w:hint="default"/>
      </w:rPr>
    </w:lvl>
    <w:lvl w:ilvl="8">
      <w:start w:val="0"/>
      <w:numFmt w:val="bullet"/>
      <w:lvlText w:val="•"/>
      <w:lvlJc w:val="left"/>
      <w:pPr>
        <w:ind w:left="3304" w:hanging="361"/>
      </w:pPr>
      <w:rPr>
        <w:rFonts w:hint="default"/>
      </w:rPr>
    </w:lvl>
  </w:abstractNum>
  <w:abstractNum w:abstractNumId="0">
    <w:multiLevelType w:val="hybridMultilevel"/>
    <w:lvl w:ilvl="0">
      <w:start w:val="0"/>
      <w:numFmt w:val="bullet"/>
      <w:lvlText w:val=""/>
      <w:lvlJc w:val="left"/>
      <w:pPr>
        <w:ind w:left="628" w:hanging="361"/>
      </w:pPr>
      <w:rPr>
        <w:rFonts w:hint="default" w:ascii="Symbol" w:hAnsi="Symbol" w:eastAsia="Symbol" w:cs="Symbol"/>
        <w:w w:val="100"/>
        <w:sz w:val="24"/>
        <w:szCs w:val="24"/>
      </w:rPr>
    </w:lvl>
    <w:lvl w:ilvl="1">
      <w:start w:val="0"/>
      <w:numFmt w:val="bullet"/>
      <w:lvlText w:val="•"/>
      <w:lvlJc w:val="left"/>
      <w:pPr>
        <w:ind w:left="957" w:hanging="361"/>
      </w:pPr>
      <w:rPr>
        <w:rFonts w:hint="default"/>
      </w:rPr>
    </w:lvl>
    <w:lvl w:ilvl="2">
      <w:start w:val="0"/>
      <w:numFmt w:val="bullet"/>
      <w:lvlText w:val="•"/>
      <w:lvlJc w:val="left"/>
      <w:pPr>
        <w:ind w:left="1294" w:hanging="361"/>
      </w:pPr>
      <w:rPr>
        <w:rFonts w:hint="default"/>
      </w:rPr>
    </w:lvl>
    <w:lvl w:ilvl="3">
      <w:start w:val="0"/>
      <w:numFmt w:val="bullet"/>
      <w:lvlText w:val="•"/>
      <w:lvlJc w:val="left"/>
      <w:pPr>
        <w:ind w:left="1631" w:hanging="361"/>
      </w:pPr>
      <w:rPr>
        <w:rFonts w:hint="default"/>
      </w:rPr>
    </w:lvl>
    <w:lvl w:ilvl="4">
      <w:start w:val="0"/>
      <w:numFmt w:val="bullet"/>
      <w:lvlText w:val="•"/>
      <w:lvlJc w:val="left"/>
      <w:pPr>
        <w:ind w:left="1968" w:hanging="361"/>
      </w:pPr>
      <w:rPr>
        <w:rFonts w:hint="default"/>
      </w:rPr>
    </w:lvl>
    <w:lvl w:ilvl="5">
      <w:start w:val="0"/>
      <w:numFmt w:val="bullet"/>
      <w:lvlText w:val="•"/>
      <w:lvlJc w:val="left"/>
      <w:pPr>
        <w:ind w:left="2305" w:hanging="361"/>
      </w:pPr>
      <w:rPr>
        <w:rFonts w:hint="default"/>
      </w:rPr>
    </w:lvl>
    <w:lvl w:ilvl="6">
      <w:start w:val="0"/>
      <w:numFmt w:val="bullet"/>
      <w:lvlText w:val="•"/>
      <w:lvlJc w:val="left"/>
      <w:pPr>
        <w:ind w:left="2642" w:hanging="361"/>
      </w:pPr>
      <w:rPr>
        <w:rFonts w:hint="default"/>
      </w:rPr>
    </w:lvl>
    <w:lvl w:ilvl="7">
      <w:start w:val="0"/>
      <w:numFmt w:val="bullet"/>
      <w:lvlText w:val="•"/>
      <w:lvlJc w:val="left"/>
      <w:pPr>
        <w:ind w:left="2979" w:hanging="361"/>
      </w:pPr>
      <w:rPr>
        <w:rFonts w:hint="default"/>
      </w:rPr>
    </w:lvl>
    <w:lvl w:ilvl="8">
      <w:start w:val="0"/>
      <w:numFmt w:val="bullet"/>
      <w:lvlText w:val="•"/>
      <w:lvlJc w:val="left"/>
      <w:pPr>
        <w:ind w:left="3316"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21"/>
      <w:jc w:val="center"/>
      <w:outlineLvl w:val="1"/>
    </w:pPr>
    <w:rPr>
      <w:rFonts w:ascii="Calibri" w:hAnsi="Calibri" w:eastAsia="Calibri" w:cs="Calibri"/>
      <w:sz w:val="96"/>
      <w:szCs w:val="96"/>
    </w:rPr>
  </w:style>
  <w:style w:styleId="Heading2" w:type="paragraph">
    <w:name w:val="Heading 2"/>
    <w:basedOn w:val="Normal"/>
    <w:uiPriority w:val="1"/>
    <w:qFormat/>
    <w:pPr>
      <w:ind w:left="837"/>
      <w:outlineLvl w:val="2"/>
    </w:pPr>
    <w:rPr>
      <w:rFonts w:ascii="Arial" w:hAnsi="Arial" w:eastAsia="Arial" w:cs="Arial"/>
      <w:b/>
      <w:bCs/>
      <w:sz w:val="28"/>
      <w:szCs w:val="28"/>
    </w:rPr>
  </w:style>
  <w:style w:styleId="Heading3" w:type="paragraph">
    <w:name w:val="Heading 3"/>
    <w:basedOn w:val="Normal"/>
    <w:uiPriority w:val="1"/>
    <w:qFormat/>
    <w:pPr>
      <w:ind w:left="1700"/>
      <w:outlineLvl w:val="3"/>
    </w:pPr>
    <w:rPr>
      <w:rFonts w:ascii="Arial" w:hAnsi="Arial" w:eastAsia="Arial" w:cs="Arial"/>
      <w:b/>
      <w:bCs/>
      <w:sz w:val="24"/>
      <w:szCs w:val="24"/>
    </w:rPr>
  </w:style>
  <w:style w:styleId="Heading4" w:type="paragraph">
    <w:name w:val="Heading 4"/>
    <w:basedOn w:val="Normal"/>
    <w:uiPriority w:val="1"/>
    <w:qFormat/>
    <w:pPr>
      <w:ind w:left="676"/>
      <w:outlineLvl w:val="4"/>
    </w:pPr>
    <w:rPr>
      <w:rFonts w:ascii="Arial" w:hAnsi="Arial" w:eastAsia="Arial" w:cs="Arial"/>
      <w:b/>
      <w:bCs/>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hyperlink" Target="http://www.ncbi.nlm.nih.gov/" TargetMode="External"/><Relationship Id="rId41" Type="http://schemas.openxmlformats.org/officeDocument/2006/relationships/hyperlink" Target="http://www.ncbi.nlm.nih.gov/pubmed/12614245?itool=EntrezSystem2.PEntrez.Pubmed.Pub" TargetMode="External"/><Relationship Id="rId42" Type="http://schemas.openxmlformats.org/officeDocument/2006/relationships/hyperlink" Target="http://www.ncbi.nlm.nih.gov/pubmed/9474174?itool=EntrezSystem2.PEntrez.Pubmed.Pub" TargetMode="External"/><Relationship Id="rId43" Type="http://schemas.openxmlformats.org/officeDocument/2006/relationships/hyperlink" Target="http://www.ncbi.nlm.nih.go/" TargetMode="External"/><Relationship Id="rId44" Type="http://schemas.openxmlformats.org/officeDocument/2006/relationships/hyperlink" Target="http://www.ncbi.nlm.nih.gov/pubmed/15592029?itool=EntrezSystem2.PEntrez.Pubmed.Pub" TargetMode="External"/><Relationship Id="rId45" Type="http://schemas.openxmlformats.org/officeDocument/2006/relationships/hyperlink" Target="http://www.health.govt.nz/" TargetMode="External"/><Relationship Id="rId46" Type="http://schemas.openxmlformats.org/officeDocument/2006/relationships/hyperlink" Target="http://www.health.govt.nz/system/files/documents/publications/prostate_practitioner_show_" TargetMode="External"/><Relationship Id="rId47" Type="http://schemas.openxmlformats.org/officeDocument/2006/relationships/hyperlink" Target="http://www.pcf.org/" TargetMode="External"/><Relationship Id="rId48" Type="http://schemas.openxmlformats.org/officeDocument/2006/relationships/header" Target="header3.xml"/><Relationship Id="rId49" Type="http://schemas.openxmlformats.org/officeDocument/2006/relationships/footer" Target="footer3.xml"/><Relationship Id="rId50" Type="http://schemas.openxmlformats.org/officeDocument/2006/relationships/footer" Target="footer4.xml"/><Relationship Id="rId51" Type="http://schemas.openxmlformats.org/officeDocument/2006/relationships/hyperlink" Target="http://www.pcf.org/site/c.leJRIROrEpH/b.8586063/k.FD0C/Hiperplasia_prost225tica_benign" TargetMode="External"/><Relationship Id="rId52" Type="http://schemas.openxmlformats.org/officeDocument/2006/relationships/hyperlink" Target="http://www.ncbi.nlm.nih.gov/pubmed/17588302?itool=EntrezSystem2.PEntrez.Pubmed.Pub" TargetMode="External"/><Relationship Id="rId53" Type="http://schemas.openxmlformats.org/officeDocument/2006/relationships/hyperlink" Target="http://www.bmj.com/" TargetMode="External"/><Relationship Id="rId54" Type="http://schemas.openxmlformats.org/officeDocument/2006/relationships/hyperlink" Target="http://www.bmj.com/content/336/7636/146" TargetMode="External"/><Relationship Id="rId55" Type="http://schemas.openxmlformats.org/officeDocument/2006/relationships/hyperlink" Target="http://www.bmj.com/content/336/7637/206" TargetMode="External"/><Relationship Id="rId56" Type="http://schemas.openxmlformats.org/officeDocument/2006/relationships/hyperlink" Target="http://www.ncbi.nlm.nih.gov/pubmed/11834396?itool=EntrezSystem2.PEntrez.Pubmed.Pub" TargetMode="External"/><Relationship Id="rId57" Type="http://schemas.openxmlformats.org/officeDocument/2006/relationships/header" Target="header4.xml"/><Relationship Id="rId58" Type="http://schemas.openxmlformats.org/officeDocument/2006/relationships/header" Target="header5.xml"/><Relationship Id="rId59" Type="http://schemas.openxmlformats.org/officeDocument/2006/relationships/footer" Target="footer5.xml"/><Relationship Id="rId60" Type="http://schemas.openxmlformats.org/officeDocument/2006/relationships/footer" Target="footer6.xml"/><Relationship Id="rId61" Type="http://schemas.openxmlformats.org/officeDocument/2006/relationships/header" Target="header6.xml"/><Relationship Id="rId62" Type="http://schemas.openxmlformats.org/officeDocument/2006/relationships/header" Target="header7.xml"/><Relationship Id="rId63" Type="http://schemas.openxmlformats.org/officeDocument/2006/relationships/footer" Target="footer7.xml"/><Relationship Id="rId64" Type="http://schemas.openxmlformats.org/officeDocument/2006/relationships/footer" Target="footer8.xml"/><Relationship Id="rId65" Type="http://schemas.openxmlformats.org/officeDocument/2006/relationships/header" Target="header8.xml"/><Relationship Id="rId66" Type="http://schemas.openxmlformats.org/officeDocument/2006/relationships/header" Target="header9.xml"/><Relationship Id="rId67" Type="http://schemas.openxmlformats.org/officeDocument/2006/relationships/header" Target="header10.xml"/><Relationship Id="rId68" Type="http://schemas.openxmlformats.org/officeDocument/2006/relationships/footer" Target="footer9.xml"/><Relationship Id="rId69" Type="http://schemas.openxmlformats.org/officeDocument/2006/relationships/footer" Target="footer10.xml"/><Relationship Id="rId70" Type="http://schemas.openxmlformats.org/officeDocument/2006/relationships/hyperlink" Target="http://www.medicapanamericana.com/" TargetMode="External"/><Relationship Id="rId71" Type="http://schemas.openxmlformats.org/officeDocument/2006/relationships/hyperlink" Target="http://expertconsult.com/" TargetMode="External"/><Relationship Id="rId72" Type="http://schemas.openxmlformats.org/officeDocument/2006/relationships/header" Target="header11.xml"/><Relationship Id="rId73" Type="http://schemas.openxmlformats.org/officeDocument/2006/relationships/footer" Target="footer11.xml"/><Relationship Id="rId74" Type="http://schemas.openxmlformats.org/officeDocument/2006/relationships/hyperlink" Target="http://www.icmje.org/" TargetMode="External"/><Relationship Id="rId75" Type="http://schemas.openxmlformats.org/officeDocument/2006/relationships/header" Target="header12.xml"/><Relationship Id="rId76" Type="http://schemas.openxmlformats.org/officeDocument/2006/relationships/footer" Target="footer12.xml"/><Relationship Id="rId77" Type="http://schemas.openxmlformats.org/officeDocument/2006/relationships/hyperlink" Target="http://www.scielo.cl/scielo.php?script=sci_arttext&amp;amp;pid=S0370-41062013000400012&amp;amp;lng=es&amp;amp;tlng=es" TargetMode="External"/><Relationship Id="rId78" Type="http://schemas.openxmlformats.org/officeDocument/2006/relationships/image" Target="media/image28.png"/><Relationship Id="rId79" Type="http://schemas.openxmlformats.org/officeDocument/2006/relationships/image" Target="media/image27.png"/><Relationship Id="rId80" Type="http://schemas.openxmlformats.org/officeDocument/2006/relationships/header" Target="header13.xml"/><Relationship Id="rId81" Type="http://schemas.openxmlformats.org/officeDocument/2006/relationships/footer" Target="footer13.xml"/><Relationship Id="rId82" Type="http://schemas.openxmlformats.org/officeDocument/2006/relationships/header" Target="header14.xml"/><Relationship Id="rId83" Type="http://schemas.openxmlformats.org/officeDocument/2006/relationships/footer" Target="footer14.xml"/><Relationship Id="rId84" Type="http://schemas.openxmlformats.org/officeDocument/2006/relationships/image" Target="media/image35.png"/><Relationship Id="rId85" Type="http://schemas.openxmlformats.org/officeDocument/2006/relationships/image" Target="media/image36.jpeg"/><Relationship Id="rId86" Type="http://schemas.openxmlformats.org/officeDocument/2006/relationships/header" Target="header15.xml"/><Relationship Id="rId87" Type="http://schemas.openxmlformats.org/officeDocument/2006/relationships/footer" Target="footer15.xml"/><Relationship Id="rId88" Type="http://schemas.openxmlformats.org/officeDocument/2006/relationships/image" Target="media/image37.png"/><Relationship Id="rId89" Type="http://schemas.openxmlformats.org/officeDocument/2006/relationships/image" Target="media/image38.png"/><Relationship Id="rId9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0.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34.png"/></Relationships>

</file>

<file path=word/_rels/footer11.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3.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3.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28.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34.png"/></Relationships>

</file>

<file path=word/_rels/footer5.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28.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34.png"/></Relationships>

</file>

<file path=word/_rels/footer7.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28.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34.png"/></Relationships>

</file>

<file path=word/_rels/footer9.xml.rels><?xml version="1.0" encoding="UTF-8" standalone="yes"?>
<Relationships xmlns="http://schemas.openxmlformats.org/package/2006/relationships"><Relationship Id="rId1" Type="http://schemas.openxmlformats.org/officeDocument/2006/relationships/image" Target="media/image33.png"/><Relationship Id="rId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2018-03-26T21:01:41Z</dcterms:created>
  <dcterms:modified xsi:type="dcterms:W3CDTF">2018-03-26T21:01:41Z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