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Default Extension="jpeg" ContentType="image/jpeg"/>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50128"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6332"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0916;height:368" type="#_x0000_t75" stroked="false">
              <v:imagedata r:id="rId13" o:title=""/>
            </v:shape>
            <v:shape style="position:absolute;left:7448;top:12014;width:1678;height:1678" type="#_x0000_t75" stroked="false">
              <v:imagedata r:id="rId14"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spacing w:before="8"/>
        <w:rPr>
          <w:b/>
          <w:sz w:val="18"/>
        </w:rPr>
      </w:pPr>
    </w:p>
    <w:p>
      <w:pPr>
        <w:pStyle w:val="Heading2"/>
        <w:spacing w:before="88"/>
        <w:ind w:left="7910"/>
      </w:pPr>
      <w:r>
        <w:rPr>
          <w:color w:val="3A3838"/>
        </w:rPr>
        <w:t>ARTICULOS</w:t>
      </w:r>
    </w:p>
    <w:p>
      <w:pPr>
        <w:pStyle w:val="BodyText"/>
        <w:rPr>
          <w:b/>
          <w:sz w:val="20"/>
        </w:rPr>
      </w:pPr>
    </w:p>
    <w:p>
      <w:pPr>
        <w:pStyle w:val="BodyText"/>
        <w:spacing w:before="4" w:after="1"/>
        <w:rPr>
          <w:b/>
          <w:sz w:val="25"/>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2"/>
      </w:tblGrid>
      <w:tr>
        <w:trPr>
          <w:trHeight w:val="2311" w:hRule="atLeast"/>
        </w:trPr>
        <w:tc>
          <w:tcPr>
            <w:tcW w:w="4722" w:type="dxa"/>
          </w:tcPr>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Disección</w:t>
            </w:r>
            <w:r>
              <w:rPr>
                <w:spacing w:val="-2"/>
                <w:sz w:val="24"/>
              </w:rPr>
              <w:t> </w:t>
            </w:r>
            <w:r>
              <w:rPr>
                <w:sz w:val="24"/>
              </w:rPr>
              <w:t>aortica</w:t>
            </w:r>
          </w:p>
          <w:p>
            <w:pPr>
              <w:pStyle w:val="TableParagraph"/>
              <w:spacing w:before="10"/>
              <w:ind w:left="0"/>
              <w:rPr>
                <w:b/>
                <w:sz w:val="25"/>
              </w:rPr>
            </w:pPr>
          </w:p>
          <w:p>
            <w:pPr>
              <w:pStyle w:val="TableParagraph"/>
              <w:numPr>
                <w:ilvl w:val="0"/>
                <w:numId w:val="1"/>
              </w:numPr>
              <w:tabs>
                <w:tab w:pos="560" w:val="left" w:leader="none"/>
                <w:tab w:pos="561" w:val="left" w:leader="none"/>
              </w:tabs>
              <w:spacing w:line="273" w:lineRule="auto" w:before="0" w:after="0"/>
              <w:ind w:left="560" w:right="1108" w:hanging="360"/>
              <w:jc w:val="left"/>
              <w:rPr>
                <w:sz w:val="24"/>
              </w:rPr>
            </w:pPr>
            <w:r>
              <w:rPr>
                <w:sz w:val="24"/>
              </w:rPr>
              <w:t>Arteritis séptica posterior a plastia de ligamento</w:t>
            </w:r>
            <w:r>
              <w:rPr>
                <w:spacing w:val="-16"/>
                <w:sz w:val="24"/>
              </w:rPr>
              <w:t> </w:t>
            </w:r>
            <w:r>
              <w:rPr>
                <w:sz w:val="24"/>
              </w:rPr>
              <w:t>cruzado anterior</w:t>
            </w:r>
          </w:p>
          <w:p>
            <w:pPr>
              <w:pStyle w:val="TableParagraph"/>
              <w:spacing w:before="7"/>
              <w:ind w:left="0"/>
              <w:rPr>
                <w:b/>
                <w:sz w:val="27"/>
              </w:rPr>
            </w:pPr>
          </w:p>
          <w:p>
            <w:pPr>
              <w:pStyle w:val="TableParagraph"/>
              <w:numPr>
                <w:ilvl w:val="0"/>
                <w:numId w:val="1"/>
              </w:numPr>
              <w:tabs>
                <w:tab w:pos="560" w:val="left" w:leader="none"/>
                <w:tab w:pos="561" w:val="left" w:leader="none"/>
              </w:tabs>
              <w:spacing w:line="240" w:lineRule="auto" w:before="1" w:after="0"/>
              <w:ind w:left="560" w:right="0" w:hanging="360"/>
              <w:jc w:val="left"/>
              <w:rPr>
                <w:sz w:val="24"/>
              </w:rPr>
            </w:pPr>
            <w:r>
              <w:rPr>
                <w:sz w:val="24"/>
              </w:rPr>
              <w:t>Aturdimiento miocárdico</w:t>
            </w:r>
            <w:r>
              <w:rPr>
                <w:spacing w:val="-8"/>
                <w:sz w:val="24"/>
              </w:rPr>
              <w:t> </w:t>
            </w:r>
            <w:r>
              <w:rPr>
                <w:sz w:val="24"/>
              </w:rPr>
              <w:t>neurogénico</w:t>
            </w:r>
          </w:p>
        </w:tc>
      </w:tr>
      <w:tr>
        <w:trPr>
          <w:trHeight w:val="1401" w:hRule="atLeast"/>
        </w:trPr>
        <w:tc>
          <w:tcPr>
            <w:tcW w:w="4722" w:type="dxa"/>
          </w:tcPr>
          <w:p>
            <w:pPr>
              <w:pStyle w:val="TableParagraph"/>
              <w:numPr>
                <w:ilvl w:val="0"/>
                <w:numId w:val="2"/>
              </w:numPr>
              <w:tabs>
                <w:tab w:pos="560" w:val="left" w:leader="none"/>
                <w:tab w:pos="561" w:val="left" w:leader="none"/>
              </w:tabs>
              <w:spacing w:line="240" w:lineRule="auto" w:before="141" w:after="0"/>
              <w:ind w:left="548" w:right="0" w:hanging="348"/>
              <w:jc w:val="left"/>
              <w:rPr>
                <w:sz w:val="24"/>
              </w:rPr>
            </w:pPr>
            <w:r>
              <w:rPr>
                <w:sz w:val="24"/>
              </w:rPr>
              <w:t>Delirio en el adulto</w:t>
            </w:r>
            <w:r>
              <w:rPr>
                <w:spacing w:val="-9"/>
                <w:sz w:val="24"/>
              </w:rPr>
              <w:t> </w:t>
            </w:r>
            <w:r>
              <w:rPr>
                <w:sz w:val="24"/>
              </w:rPr>
              <w:t>mayor</w:t>
            </w:r>
          </w:p>
          <w:p>
            <w:pPr>
              <w:pStyle w:val="TableParagraph"/>
              <w:spacing w:before="6"/>
              <w:ind w:left="0"/>
              <w:rPr>
                <w:b/>
                <w:sz w:val="28"/>
              </w:rPr>
            </w:pPr>
          </w:p>
          <w:p>
            <w:pPr>
              <w:pStyle w:val="TableParagraph"/>
              <w:numPr>
                <w:ilvl w:val="0"/>
                <w:numId w:val="2"/>
              </w:numPr>
              <w:tabs>
                <w:tab w:pos="560" w:val="left" w:leader="none"/>
                <w:tab w:pos="561" w:val="left" w:leader="none"/>
              </w:tabs>
              <w:spacing w:line="320" w:lineRule="atLeast" w:before="0" w:after="0"/>
              <w:ind w:left="548" w:right="1090" w:hanging="348"/>
              <w:jc w:val="left"/>
              <w:rPr>
                <w:sz w:val="24"/>
              </w:rPr>
            </w:pPr>
            <w:r>
              <w:rPr>
                <w:sz w:val="24"/>
              </w:rPr>
              <w:t>Trastorno de ansiedad</w:t>
            </w:r>
            <w:r>
              <w:rPr>
                <w:spacing w:val="-22"/>
                <w:sz w:val="24"/>
              </w:rPr>
              <w:t> </w:t>
            </w:r>
            <w:r>
              <w:rPr>
                <w:sz w:val="24"/>
              </w:rPr>
              <w:t>social (fobia</w:t>
            </w:r>
            <w:r>
              <w:rPr>
                <w:spacing w:val="-6"/>
                <w:sz w:val="24"/>
              </w:rPr>
              <w:t> </w:t>
            </w:r>
            <w:r>
              <w:rPr>
                <w:sz w:val="24"/>
              </w:rPr>
              <w:t>social)</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49"/>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3476" w:val="left" w:leader="none"/>
          <w:tab w:pos="4989" w:val="left" w:leader="none"/>
          <w:tab w:pos="7778" w:val="left" w:leader="none"/>
          <w:tab w:pos="8958" w:val="left" w:leader="none"/>
        </w:tabs>
        <w:spacing w:before="35"/>
        <w:ind w:left="648" w:right="0" w:firstLine="0"/>
        <w:jc w:val="left"/>
        <w:rPr>
          <w:rFonts w:ascii="Calibri" w:hAnsi="Calibri"/>
          <w:b/>
          <w:sz w:val="32"/>
        </w:rPr>
      </w:pPr>
      <w:r>
        <w:rPr>
          <w:rFonts w:ascii="Calibri" w:hAnsi="Calibri"/>
          <w:b/>
          <w:color w:val="FFFFFF"/>
          <w:spacing w:val="6"/>
          <w:sz w:val="32"/>
        </w:rPr>
        <w:t>ABRIL</w:t>
      </w:r>
      <w:r>
        <w:rPr>
          <w:rFonts w:ascii="Calibri" w:hAnsi="Calibri"/>
          <w:b/>
          <w:color w:val="FFFFFF"/>
          <w:spacing w:val="16"/>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6"/>
          <w:sz w:val="32"/>
        </w:rPr>
        <w:t>VOLUMEN</w:t>
      </w:r>
      <w:r>
        <w:rPr>
          <w:rFonts w:ascii="Calibri" w:hAnsi="Calibri"/>
          <w:b/>
          <w:color w:val="FFFFFF"/>
          <w:spacing w:val="23"/>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13"/>
          <w:sz w:val="32"/>
        </w:rPr>
        <w:t> </w:t>
      </w:r>
      <w:r>
        <w:rPr>
          <w:rFonts w:ascii="Calibri" w:hAnsi="Calibri"/>
          <w:b/>
          <w:color w:val="FFFFFF"/>
          <w:sz w:val="32"/>
        </w:rPr>
        <w:t>4</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right="1080"/>
              <w:rPr>
                <w:sz w:val="22"/>
              </w:rPr>
            </w:pPr>
            <w:r>
              <w:rPr>
                <w:sz w:val="22"/>
                <w:shd w:fill="D2D2D2" w:color="auto" w:val="clear"/>
              </w:rPr>
              <w:t>Departamento de publicación:</w:t>
            </w:r>
            <w:r>
              <w:rPr>
                <w:sz w:val="22"/>
              </w:rPr>
              <w:t> Editorial Esculapio</w:t>
            </w:r>
          </w:p>
          <w:p>
            <w:pPr>
              <w:pStyle w:val="TableParagraph"/>
              <w:spacing w:before="35"/>
              <w:ind w:right="1369"/>
              <w:rPr>
                <w:rFonts w:ascii="Calibri" w:hAnsi="Calibri"/>
                <w:sz w:val="22"/>
              </w:rPr>
            </w:pPr>
            <w:r>
              <w:rPr>
                <w:rFonts w:ascii="Calibri" w:hAnsi="Calibri"/>
                <w:sz w:val="22"/>
              </w:rPr>
              <w:t>Administración y Dirección: 50 metros norte de UCIMED,</w:t>
            </w:r>
          </w:p>
          <w:p>
            <w:pPr>
              <w:pStyle w:val="TableParagraph"/>
              <w:ind w:right="1080"/>
              <w:rPr>
                <w:rFonts w:ascii="Calibri" w:hAnsi="Calibri"/>
                <w:sz w:val="22"/>
              </w:rPr>
            </w:pPr>
            <w:r>
              <w:rPr>
                <w:rFonts w:ascii="Calibri" w:hAnsi="Calibri"/>
                <w:sz w:val="22"/>
              </w:rPr>
              <w:t>Sabana Sur, San José-Costa Rica Teléfono: 8668002</w:t>
            </w:r>
          </w:p>
          <w:p>
            <w:pPr>
              <w:pStyle w:val="TableParagraph"/>
              <w:spacing w:line="268" w:lineRule="exact" w:before="1"/>
              <w:rPr>
                <w:rFonts w:ascii="Calibri"/>
                <w:sz w:val="22"/>
              </w:rPr>
            </w:pPr>
            <w:r>
              <w:rPr>
                <w:rFonts w:ascii="Calibri"/>
                <w:sz w:val="22"/>
              </w:rPr>
              <w:t>E-mail</w:t>
            </w:r>
            <w:hyperlink r:id="rId24">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5">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725" w:firstLine="0"/>
        <w:jc w:val="left"/>
        <w:rPr>
          <w:sz w:val="18"/>
        </w:rPr>
      </w:pPr>
      <w:r>
        <w:rPr/>
        <w:drawing>
          <wp:anchor distT="0" distB="0" distL="0" distR="0" allowOverlap="1" layoutInCell="1" locked="0" behindDoc="1" simplePos="0" relativeHeight="268385543">
            <wp:simplePos x="0" y="0"/>
            <wp:positionH relativeFrom="page">
              <wp:posOffset>3815079</wp:posOffset>
            </wp:positionH>
            <wp:positionV relativeFrom="paragraph">
              <wp:posOffset>-1676883</wp:posOffset>
            </wp:positionV>
            <wp:extent cx="1392433" cy="694944"/>
            <wp:effectExtent l="0" t="0" r="0" b="0"/>
            <wp:wrapNone/>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6"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7" name="image28.png" descr=""/>
            <wp:cNvGraphicFramePr>
              <a:graphicFrameLocks noChangeAspect="1"/>
            </wp:cNvGraphicFramePr>
            <a:graphic>
              <a:graphicData uri="http://schemas.openxmlformats.org/drawingml/2006/picture">
                <pic:pic>
                  <pic:nvPicPr>
                    <pic:cNvPr id="8" name="image28.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5797" w:val="left" w:leader="none"/>
          <w:tab w:pos="6149" w:val="left" w:leader="none"/>
        </w:tabs>
        <w:spacing w:line="259" w:lineRule="auto" w:before="0"/>
        <w:ind w:left="4733" w:right="4731" w:firstLine="0"/>
        <w:jc w:val="center"/>
        <w:rPr>
          <w:sz w:val="18"/>
        </w:rPr>
      </w:pPr>
      <w:r>
        <w:rPr>
          <w:sz w:val="18"/>
        </w:rPr>
        <w:t>Fecha de publicación: ABRIL</w:t>
      </w:r>
      <w:r>
        <w:rPr>
          <w:spacing w:val="-9"/>
          <w:sz w:val="18"/>
        </w:rPr>
        <w:t> </w:t>
      </w:r>
      <w:r>
        <w:rPr>
          <w:sz w:val="18"/>
        </w:rPr>
        <w:t>2016 Volumen:1</w:t>
        <w:tab/>
        <w:t>–</w:t>
        <w:tab/>
        <w:t>Numero:4</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733" w:right="4728" w:firstLine="0"/>
        <w:jc w:val="center"/>
        <w:rPr>
          <w:sz w:val="18"/>
        </w:rPr>
      </w:pPr>
      <w:r>
        <w:rPr>
          <w:sz w:val="18"/>
        </w:rPr>
        <w:t>Sabana Sur, San José-Costa Rica Teléfono: 27165548</w:t>
      </w:r>
    </w:p>
    <w:p>
      <w:pPr>
        <w:spacing w:before="13"/>
        <w:ind w:left="1735" w:right="1732" w:firstLine="0"/>
        <w:jc w:val="center"/>
        <w:rPr>
          <w:sz w:val="18"/>
        </w:rPr>
      </w:pPr>
      <w:r>
        <w:rPr>
          <w:sz w:val="18"/>
        </w:rPr>
        <w:t>E-mail: </w:t>
      </w:r>
      <w:hyperlink r:id="rId24">
        <w:r>
          <w:rPr>
            <w:sz w:val="18"/>
          </w:rPr>
          <w:t>revistamedicasinergia@gmail.com</w:t>
        </w:r>
      </w:hyperlink>
    </w:p>
    <w:p>
      <w:pPr>
        <w:pStyle w:val="BodyText"/>
        <w:spacing w:before="5"/>
        <w:rPr>
          <w:sz w:val="12"/>
        </w:rPr>
      </w:pPr>
      <w:r>
        <w:rPr/>
        <w:drawing>
          <wp:anchor distT="0" distB="0" distL="0" distR="0" allowOverlap="1" layoutInCell="1" locked="0" behindDoc="0" simplePos="0" relativeHeight="1312">
            <wp:simplePos x="0" y="0"/>
            <wp:positionH relativeFrom="page">
              <wp:posOffset>5549900</wp:posOffset>
            </wp:positionH>
            <wp:positionV relativeFrom="paragraph">
              <wp:posOffset>116177</wp:posOffset>
            </wp:positionV>
            <wp:extent cx="519009" cy="608838"/>
            <wp:effectExtent l="0" t="0" r="0" b="0"/>
            <wp:wrapTopAndBottom/>
            <wp:docPr id="9" name="image27.png" descr=""/>
            <wp:cNvGraphicFramePr>
              <a:graphicFrameLocks noChangeAspect="1"/>
            </wp:cNvGraphicFramePr>
            <a:graphic>
              <a:graphicData uri="http://schemas.openxmlformats.org/drawingml/2006/picture">
                <pic:pic>
                  <pic:nvPicPr>
                    <pic:cNvPr id="10" name="image27.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2"/>
        </w:rPr>
        <w:sectPr>
          <w:footerReference w:type="default" r:id="rId27"/>
          <w:pgSz w:w="12240" w:h="15840"/>
          <w:pgMar w:footer="882" w:header="0" w:top="1500" w:bottom="1080" w:left="0" w:right="0"/>
        </w:sectPr>
      </w:pPr>
    </w:p>
    <w:p>
      <w:pPr>
        <w:pStyle w:val="Heading2"/>
        <w:ind w:right="1732"/>
        <w:jc w:val="center"/>
      </w:pPr>
      <w:r>
        <w:rPr/>
        <w:drawing>
          <wp:anchor distT="0" distB="0" distL="0" distR="0" allowOverlap="1" layoutInCell="1" locked="0" behindDoc="1" simplePos="0" relativeHeight="268385735">
            <wp:simplePos x="0" y="0"/>
            <wp:positionH relativeFrom="page">
              <wp:posOffset>-3175</wp:posOffset>
            </wp:positionH>
            <wp:positionV relativeFrom="paragraph">
              <wp:posOffset>-3634</wp:posOffset>
            </wp:positionV>
            <wp:extent cx="7755255" cy="485775"/>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35" cstate="print"/>
                    <a:stretch>
                      <a:fillRect/>
                    </a:stretch>
                  </pic:blipFill>
                  <pic:spPr>
                    <a:xfrm>
                      <a:off x="0" y="0"/>
                      <a:ext cx="7755255" cy="485775"/>
                    </a:xfrm>
                    <a:prstGeom prst="rect">
                      <a:avLst/>
                    </a:prstGeom>
                  </pic:spPr>
                </pic:pic>
              </a:graphicData>
            </a:graphic>
          </wp:anchor>
        </w:drawing>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9"/>
        </w:rPr>
      </w:pPr>
    </w:p>
    <w:p>
      <w:pPr>
        <w:pStyle w:val="BodyText"/>
        <w:spacing w:before="1"/>
        <w:ind w:left="1440"/>
      </w:pPr>
      <w:r>
        <w:rPr/>
        <w:t>Aurora Ugalde Rodríguez</w:t>
      </w:r>
    </w:p>
    <w:p>
      <w:pPr>
        <w:pStyle w:val="BodyText"/>
        <w:spacing w:before="127"/>
        <w:ind w:left="1440"/>
      </w:pPr>
      <w:r>
        <w:rPr/>
        <w:t>Médico General. Universidad Latina de Costa Rica. San José -Costa Rica</w:t>
      </w:r>
    </w:p>
    <w:p>
      <w:pPr>
        <w:pStyle w:val="BodyText"/>
        <w:rPr>
          <w:sz w:val="24"/>
        </w:rPr>
      </w:pPr>
    </w:p>
    <w:p>
      <w:pPr>
        <w:pStyle w:val="BodyText"/>
        <w:rPr>
          <w:sz w:val="24"/>
        </w:rPr>
      </w:pPr>
    </w:p>
    <w:p>
      <w:pPr>
        <w:pStyle w:val="BodyText"/>
        <w:rPr>
          <w:sz w:val="24"/>
        </w:rPr>
      </w:pPr>
    </w:p>
    <w:p>
      <w:pPr>
        <w:pStyle w:val="BodyText"/>
        <w:spacing w:before="4"/>
        <w:rPr>
          <w:sz w:val="19"/>
        </w:rPr>
      </w:pPr>
    </w:p>
    <w:p>
      <w:pPr>
        <w:pStyle w:val="BodyText"/>
        <w:spacing w:before="1"/>
        <w:ind w:left="1440"/>
      </w:pPr>
      <w:r>
        <w:rPr/>
        <w:t>Andy Vactory Myers</w:t>
      </w:r>
    </w:p>
    <w:p>
      <w:pPr>
        <w:pStyle w:val="BodyText"/>
        <w:spacing w:before="127"/>
        <w:ind w:left="1440"/>
      </w:pPr>
      <w:r>
        <w:rPr/>
        <w:t>Médico Residente de Ortopedia. Universidad de Costa Rica. San José – Costa Rica</w:t>
      </w:r>
    </w:p>
    <w:p>
      <w:pPr>
        <w:pStyle w:val="BodyText"/>
        <w:rPr>
          <w:sz w:val="24"/>
        </w:rPr>
      </w:pPr>
    </w:p>
    <w:p>
      <w:pPr>
        <w:pStyle w:val="BodyText"/>
        <w:rPr>
          <w:sz w:val="24"/>
        </w:rPr>
      </w:pPr>
    </w:p>
    <w:p>
      <w:pPr>
        <w:pStyle w:val="BodyText"/>
        <w:spacing w:before="5"/>
        <w:rPr>
          <w:sz w:val="29"/>
        </w:rPr>
      </w:pPr>
    </w:p>
    <w:p>
      <w:pPr>
        <w:pStyle w:val="BodyText"/>
        <w:ind w:left="1440"/>
      </w:pPr>
      <w:r>
        <w:rPr/>
        <w:t>Jeinny Maroto Fernández</w:t>
      </w:r>
    </w:p>
    <w:p>
      <w:pPr>
        <w:pStyle w:val="BodyText"/>
        <w:spacing w:before="15"/>
        <w:ind w:left="1440"/>
      </w:pPr>
      <w:r>
        <w:rPr/>
        <w:t>Médico General. Universidad Latina de Costa Rica. San José -Costa Rica</w:t>
      </w:r>
    </w:p>
    <w:p>
      <w:pPr>
        <w:pStyle w:val="BodyText"/>
        <w:rPr>
          <w:sz w:val="24"/>
        </w:rPr>
      </w:pPr>
    </w:p>
    <w:p>
      <w:pPr>
        <w:pStyle w:val="BodyText"/>
        <w:rPr>
          <w:sz w:val="24"/>
        </w:rPr>
      </w:pPr>
    </w:p>
    <w:p>
      <w:pPr>
        <w:pStyle w:val="BodyText"/>
        <w:spacing w:before="6"/>
        <w:rPr>
          <w:sz w:val="29"/>
        </w:rPr>
      </w:pPr>
    </w:p>
    <w:p>
      <w:pPr>
        <w:pStyle w:val="BodyText"/>
        <w:ind w:left="1440"/>
      </w:pPr>
      <w:r>
        <w:rPr/>
        <w:t>Karen Vanessa Meza Elizondo</w:t>
      </w:r>
    </w:p>
    <w:p>
      <w:pPr>
        <w:pStyle w:val="BodyText"/>
        <w:spacing w:before="19"/>
        <w:ind w:left="1440"/>
      </w:pPr>
      <w:r>
        <w:rPr/>
        <w:t>Médico General. Universidad Hispanoamericana. San José- Costa Rica</w:t>
      </w:r>
    </w:p>
    <w:p>
      <w:pPr>
        <w:pStyle w:val="BodyText"/>
        <w:rPr>
          <w:sz w:val="24"/>
        </w:rPr>
      </w:pPr>
    </w:p>
    <w:p>
      <w:pPr>
        <w:pStyle w:val="BodyText"/>
        <w:rPr>
          <w:sz w:val="24"/>
        </w:rPr>
      </w:pPr>
    </w:p>
    <w:p>
      <w:pPr>
        <w:pStyle w:val="BodyText"/>
        <w:rPr>
          <w:sz w:val="25"/>
        </w:rPr>
      </w:pPr>
    </w:p>
    <w:p>
      <w:pPr>
        <w:pStyle w:val="BodyText"/>
        <w:ind w:left="1440"/>
      </w:pPr>
      <w:r>
        <w:rPr/>
        <w:t>Yerlin Elizondo Arias</w:t>
      </w:r>
    </w:p>
    <w:p>
      <w:pPr>
        <w:pStyle w:val="BodyText"/>
        <w:spacing w:before="19"/>
        <w:ind w:left="1440"/>
      </w:pPr>
      <w:r>
        <w:rPr/>
        <w:t>Médico General. Universidad de Ciencias Médicas. San José-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line="256"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4"/>
          <w:sz w:val="18"/>
        </w:rPr>
        <w:t> </w:t>
      </w:r>
      <w:r>
        <w:rPr>
          <w:sz w:val="18"/>
        </w:rPr>
        <w:t>responsabilidad exclusiva de sus autores. Está totalmente prohibida su reproducción de REVISTA MEDICA SINRGIA sin previa autorización</w:t>
      </w: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1336;mso-wrap-distance-left:0;mso-wrap-distance-right:0" from="73.492996pt,12.914621pt" to="539.252996pt,12.914621pt" stroked="true" strokeweight="1.4649pt" strokecolor="#3366cc">
            <v:stroke dashstyle="solid"/>
            <w10:wrap type="topAndBottom"/>
          </v:line>
        </w:pict>
      </w:r>
    </w:p>
    <w:p>
      <w:pPr>
        <w:pStyle w:val="BodyText"/>
        <w:spacing w:before="6"/>
        <w:rPr>
          <w:sz w:val="3"/>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407" w:val="left" w:leader="none"/>
                      </w:tabs>
                      <w:spacing w:line="280" w:lineRule="exact" w:before="0"/>
                      <w:ind w:left="0" w:right="0" w:firstLine="0"/>
                      <w:jc w:val="left"/>
                      <w:rPr>
                        <w:rFonts w:ascii="Calibri"/>
                        <w:sz w:val="28"/>
                      </w:rPr>
                    </w:pPr>
                    <w:r>
                      <w:rPr>
                        <w:rFonts w:ascii="Calibri"/>
                        <w:color w:val="FFFFFF"/>
                        <w:sz w:val="28"/>
                        <w:shd w:fill="3366CC" w:color="auto" w:val="clear"/>
                      </w:rPr>
                      <w:t> </w:t>
                      <w:tab/>
                      <w:t>2</w:t>
                    </w:r>
                    <w:r>
                      <w:rPr>
                        <w:rFonts w:ascii="Calibri"/>
                        <w:color w:val="FFFFFF"/>
                        <w:spacing w:val="-20"/>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footerReference w:type="default" r:id="rId34"/>
          <w:pgSz w:w="12240" w:h="15840"/>
          <w:pgMar w:footer="0" w:header="0" w:top="1320" w:bottom="280" w:left="0" w:right="0"/>
        </w:sectPr>
      </w:pPr>
    </w:p>
    <w:p>
      <w:pPr>
        <w:spacing w:before="78"/>
        <w:ind w:left="1844" w:right="0" w:firstLine="0"/>
        <w:jc w:val="left"/>
        <w:rPr>
          <w:sz w:val="16"/>
        </w:rPr>
      </w:pPr>
      <w:r>
        <w:rPr/>
        <w:pict>
          <v:group style="position:absolute;margin-left:85pt;margin-top:4.183923pt;width:454.25pt;height:376.1pt;mso-position-horizontal-relative:page;mso-position-vertical-relative:paragraph;z-index:-49696" coordorigin="1700,84" coordsize="9085,7522">
            <v:shape style="position:absolute;left:3720;top:1335;width:7065;height:6270" type="#_x0000_t75" stroked="false">
              <v:imagedata r:id="rId39" o:title=""/>
            </v:shape>
            <v:shape style="position:absolute;left:1700;top:83;width:2016;height:7400" type="#_x0000_t75" stroked="false">
              <v:imagedata r:id="rId40" o:title=""/>
            </v:shape>
            <w10:wrap type="none"/>
          </v:group>
        </w:pict>
      </w:r>
      <w:r>
        <w:rPr>
          <w:sz w:val="16"/>
        </w:rPr>
        <w:t>Revista Médica</w:t>
      </w:r>
      <w:r>
        <w:rPr>
          <w:spacing w:val="-11"/>
          <w:sz w:val="16"/>
        </w:rPr>
        <w:t> </w:t>
      </w:r>
      <w:r>
        <w:rPr>
          <w:sz w:val="16"/>
        </w:rPr>
        <w:t>Sinergia</w:t>
      </w:r>
    </w:p>
    <w:p>
      <w:pPr>
        <w:pStyle w:val="BodyText"/>
        <w:spacing w:before="8"/>
        <w:rPr>
          <w:sz w:val="18"/>
        </w:rPr>
      </w:pPr>
    </w:p>
    <w:p>
      <w:pPr>
        <w:spacing w:before="0"/>
        <w:ind w:left="2116" w:right="0" w:firstLine="0"/>
        <w:jc w:val="left"/>
        <w:rPr>
          <w:sz w:val="16"/>
        </w:rPr>
      </w:pPr>
      <w:r>
        <w:rPr>
          <w:sz w:val="16"/>
        </w:rPr>
        <w:t>ISSN 2215-4523</w:t>
      </w:r>
    </w:p>
    <w:p>
      <w:pPr>
        <w:spacing w:line="261" w:lineRule="auto" w:before="11"/>
        <w:ind w:left="2052" w:right="117" w:firstLine="216"/>
        <w:jc w:val="left"/>
        <w:rPr>
          <w:sz w:val="16"/>
        </w:rPr>
      </w:pPr>
      <w:r>
        <w:rPr>
          <w:sz w:val="16"/>
        </w:rPr>
        <w:t>Vol.1 Num:4 Abril 2016 pp:3-8</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7"/>
        </w:rPr>
      </w:pPr>
    </w:p>
    <w:p>
      <w:pPr>
        <w:pStyle w:val="BodyText"/>
        <w:ind w:left="267"/>
      </w:pPr>
      <w:r>
        <w:rPr/>
        <w:t>RESUMEN</w:t>
      </w:r>
    </w:p>
    <w:p>
      <w:pPr>
        <w:pStyle w:val="Heading3"/>
        <w:ind w:left="871" w:right="3404"/>
      </w:pPr>
      <w:r>
        <w:rPr>
          <w:b w:val="0"/>
        </w:rPr>
        <w:br w:type="column"/>
      </w:r>
      <w:r>
        <w:rPr/>
        <w:t>DISECCION AORTICA</w:t>
      </w:r>
    </w:p>
    <w:p>
      <w:pPr>
        <w:spacing w:before="54"/>
        <w:ind w:left="869" w:right="3404" w:firstLine="0"/>
        <w:jc w:val="center"/>
        <w:rPr>
          <w:sz w:val="22"/>
        </w:rPr>
      </w:pPr>
      <w:r>
        <w:rPr>
          <w:sz w:val="22"/>
        </w:rPr>
        <w:t>(</w:t>
      </w:r>
      <w:r>
        <w:rPr>
          <w:sz w:val="20"/>
        </w:rPr>
        <w:t>AORTIC DISSECTION</w:t>
      </w:r>
      <w:r>
        <w:rPr>
          <w:sz w:val="22"/>
        </w:rPr>
        <w:t>)</w:t>
      </w:r>
    </w:p>
    <w:p>
      <w:pPr>
        <w:pStyle w:val="BodyText"/>
        <w:spacing w:before="4"/>
        <w:rPr>
          <w:sz w:val="20"/>
        </w:rPr>
      </w:pPr>
    </w:p>
    <w:p>
      <w:pPr>
        <w:pStyle w:val="BodyText"/>
        <w:ind w:left="3147"/>
      </w:pPr>
      <w:r>
        <w:rPr/>
        <w:t>* Aurora Ugalde Rodríguez</w:t>
      </w:r>
    </w:p>
    <w:p>
      <w:pPr>
        <w:spacing w:after="0"/>
        <w:sectPr>
          <w:footerReference w:type="default" r:id="rId38"/>
          <w:pgSz w:w="12240" w:h="15840"/>
          <w:pgMar w:footer="882" w:header="0" w:top="1360" w:bottom="1080" w:left="0" w:right="0"/>
          <w:cols w:num="3" w:equalWidth="0">
            <w:col w:w="3566" w:space="40"/>
            <w:col w:w="1370" w:space="39"/>
            <w:col w:w="7225"/>
          </w:cols>
        </w:sectPr>
      </w:pPr>
    </w:p>
    <w:p>
      <w:pPr>
        <w:pStyle w:val="BodyText"/>
        <w:ind w:left="3873" w:right="1601"/>
        <w:jc w:val="both"/>
      </w:pPr>
      <w:r>
        <w:rPr/>
        <w:t>Esta es una condición clínica en donde hay una alteración de la anatomía normal de la íntima y la media de la pared aortica. Se debe sospechar e incluir en el diagnóstico diferencial de todo paciente con dolor torácico intenso, hipertenso y con electrocardiograma normal o no concluyente. Es una emergencia cardiovascular, además de ser una patología infrecuente pero que con un tratamiento adecuado y a tiempo puede otorgar amplia sobrevida.</w:t>
      </w:r>
    </w:p>
    <w:p>
      <w:pPr>
        <w:pStyle w:val="BodyText"/>
        <w:spacing w:before="5"/>
        <w:rPr>
          <w:sz w:val="25"/>
        </w:rPr>
      </w:pPr>
    </w:p>
    <w:p>
      <w:pPr>
        <w:pStyle w:val="BodyText"/>
        <w:ind w:left="3873"/>
        <w:jc w:val="both"/>
      </w:pPr>
      <w:r>
        <w:rPr/>
        <w:t>DESCRIPTORES</w:t>
      </w:r>
    </w:p>
    <w:p>
      <w:pPr>
        <w:pStyle w:val="BodyText"/>
        <w:spacing w:before="39"/>
        <w:ind w:left="3873"/>
        <w:jc w:val="both"/>
      </w:pPr>
      <w:r>
        <w:rPr/>
        <w:t>Aorta, disección, aneurisma, emergencia cardiovascular</w:t>
      </w:r>
    </w:p>
    <w:p>
      <w:pPr>
        <w:pStyle w:val="BodyText"/>
        <w:spacing w:before="8"/>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7"/>
        </w:rPr>
      </w:pPr>
    </w:p>
    <w:p>
      <w:pPr>
        <w:spacing w:line="276" w:lineRule="auto" w:before="0"/>
        <w:ind w:left="1700" w:right="-10" w:firstLine="0"/>
        <w:jc w:val="left"/>
        <w:rPr>
          <w:sz w:val="16"/>
        </w:rPr>
      </w:pPr>
      <w:r>
        <w:rPr>
          <w:sz w:val="16"/>
        </w:rPr>
        <w:t>*Médico Asistente</w:t>
      </w:r>
      <w:r>
        <w:rPr>
          <w:spacing w:val="-13"/>
          <w:sz w:val="16"/>
        </w:rPr>
        <w:t> </w:t>
      </w:r>
      <w:r>
        <w:rPr>
          <w:sz w:val="16"/>
        </w:rPr>
        <w:t>General. Área Salud</w:t>
      </w:r>
      <w:r>
        <w:rPr>
          <w:spacing w:val="-3"/>
          <w:sz w:val="16"/>
        </w:rPr>
        <w:t> </w:t>
      </w:r>
      <w:r>
        <w:rPr>
          <w:sz w:val="16"/>
        </w:rPr>
        <w:t>Golfito.</w:t>
      </w:r>
    </w:p>
    <w:p>
      <w:pPr>
        <w:spacing w:before="5"/>
        <w:ind w:left="1700" w:right="0" w:firstLine="0"/>
        <w:jc w:val="left"/>
        <w:rPr>
          <w:sz w:val="16"/>
        </w:rPr>
      </w:pPr>
      <w:r>
        <w:rPr>
          <w:sz w:val="16"/>
        </w:rPr>
        <w:t>Costa Rica</w:t>
      </w:r>
    </w:p>
    <w:p>
      <w:pPr>
        <w:pStyle w:val="BodyText"/>
        <w:spacing w:before="93"/>
        <w:ind w:left="198"/>
      </w:pPr>
      <w:r>
        <w:rPr/>
        <w:br w:type="column"/>
      </w:r>
      <w:r>
        <w:rPr/>
        <w:t>SUMMARY:</w:t>
      </w:r>
    </w:p>
    <w:p>
      <w:pPr>
        <w:pStyle w:val="BodyText"/>
        <w:spacing w:line="276" w:lineRule="auto" w:before="35"/>
        <w:ind w:left="198" w:right="1390"/>
      </w:pPr>
      <w:r>
        <w:rPr/>
        <w:t>This is a clinical condition where there is an alteration of the normal anatomy of the intimal and medium of the aortic wall. It should be included in the differential diagnosis of all patients with intensive thoracic pain hypertension and normal EKG. Is a cardiovascular emergency besides being a rare pathology but the with adequate and timely treatment can provide comprehensive survival.</w:t>
      </w:r>
    </w:p>
    <w:p>
      <w:pPr>
        <w:pStyle w:val="BodyText"/>
        <w:spacing w:before="2"/>
        <w:rPr>
          <w:sz w:val="25"/>
        </w:rPr>
      </w:pPr>
    </w:p>
    <w:p>
      <w:pPr>
        <w:pStyle w:val="BodyText"/>
        <w:spacing w:before="1"/>
        <w:ind w:left="198"/>
      </w:pPr>
      <w:r>
        <w:rPr/>
        <w:t>KEYWORDS</w:t>
      </w:r>
    </w:p>
    <w:p>
      <w:pPr>
        <w:pStyle w:val="BodyText"/>
        <w:spacing w:before="39"/>
        <w:ind w:left="198"/>
      </w:pPr>
      <w:r>
        <w:rPr/>
        <w:t>Aortic, dissection, aneurysm, cardiovascular emergency</w:t>
      </w:r>
    </w:p>
    <w:p>
      <w:pPr>
        <w:spacing w:after="0"/>
        <w:sectPr>
          <w:type w:val="continuous"/>
          <w:pgSz w:w="12240" w:h="15840"/>
          <w:pgMar w:top="1500" w:bottom="0" w:left="0" w:right="0"/>
          <w:cols w:num="2" w:equalWidth="0">
            <w:col w:w="3636" w:space="40"/>
            <w:col w:w="8564"/>
          </w:cols>
        </w:sectPr>
      </w:pPr>
    </w:p>
    <w:p>
      <w:pPr>
        <w:pStyle w:val="BodyText"/>
        <w:rPr>
          <w:sz w:val="20"/>
        </w:rPr>
      </w:pPr>
    </w:p>
    <w:p>
      <w:pPr>
        <w:pStyle w:val="BodyText"/>
        <w:rPr>
          <w:sz w:val="20"/>
        </w:rPr>
      </w:pPr>
    </w:p>
    <w:p>
      <w:pPr>
        <w:pStyle w:val="BodyText"/>
        <w:spacing w:before="3"/>
      </w:pPr>
    </w:p>
    <w:p>
      <w:pPr>
        <w:spacing w:after="0"/>
        <w:sectPr>
          <w:type w:val="continuous"/>
          <w:pgSz w:w="12240" w:h="15840"/>
          <w:pgMar w:top="1500" w:bottom="0" w:left="0" w:right="0"/>
        </w:sectPr>
      </w:pPr>
    </w:p>
    <w:p>
      <w:pPr>
        <w:pStyle w:val="Heading4"/>
        <w:spacing w:before="132"/>
        <w:ind w:left="1700"/>
      </w:pPr>
      <w:r>
        <w:rPr/>
        <w:t>INTRODUCCION</w:t>
      </w:r>
    </w:p>
    <w:p>
      <w:pPr>
        <w:pStyle w:val="BodyText"/>
        <w:spacing w:before="4"/>
        <w:rPr>
          <w:b/>
          <w:sz w:val="21"/>
        </w:rPr>
      </w:pPr>
    </w:p>
    <w:p>
      <w:pPr>
        <w:pStyle w:val="BodyText"/>
        <w:spacing w:line="276" w:lineRule="auto"/>
        <w:ind w:left="1700"/>
        <w:jc w:val="both"/>
      </w:pPr>
      <w:r>
        <w:rPr/>
        <w:t>La disección aguda es </w:t>
      </w:r>
      <w:r>
        <w:rPr>
          <w:spacing w:val="-3"/>
        </w:rPr>
        <w:t>la </w:t>
      </w:r>
      <w:r>
        <w:rPr/>
        <w:t>afección más común de </w:t>
      </w:r>
      <w:r>
        <w:rPr>
          <w:spacing w:val="-3"/>
        </w:rPr>
        <w:t>la </w:t>
      </w:r>
      <w:r>
        <w:rPr/>
        <w:t>aorta torácica y es dos o tres veces más frecuente que </w:t>
      </w:r>
      <w:r>
        <w:rPr>
          <w:spacing w:val="-3"/>
        </w:rPr>
        <w:t>la </w:t>
      </w:r>
      <w:r>
        <w:rPr/>
        <w:t>ruptura del aneurisma aórtico abdominal; de no tratarse, tiene una mortalidad del 60% en las primeras 24 h y del 92% en el primer mes, por </w:t>
      </w:r>
      <w:r>
        <w:rPr>
          <w:spacing w:val="-3"/>
        </w:rPr>
        <w:t>lo </w:t>
      </w:r>
      <w:r>
        <w:rPr/>
        <w:t>que </w:t>
      </w:r>
      <w:r>
        <w:rPr>
          <w:spacing w:val="-3"/>
        </w:rPr>
        <w:t>la </w:t>
      </w:r>
      <w:r>
        <w:rPr/>
        <w:t>supervivencia dependerá de </w:t>
      </w:r>
      <w:r>
        <w:rPr>
          <w:spacing w:val="-3"/>
        </w:rPr>
        <w:t>la </w:t>
      </w:r>
      <w:r>
        <w:rPr/>
        <w:t>rapidez en </w:t>
      </w:r>
      <w:r>
        <w:rPr>
          <w:spacing w:val="-3"/>
        </w:rPr>
        <w:t>la </w:t>
      </w:r>
      <w:r>
        <w:rPr/>
        <w:t>instauración del tratamiento médico, quirúrgico o ambos. El mayor reto para el médico es hacer el diagnóstico oportuno, considerando que </w:t>
      </w:r>
      <w:r>
        <w:rPr>
          <w:spacing w:val="-3"/>
        </w:rPr>
        <w:t>la </w:t>
      </w:r>
      <w:r>
        <w:rPr/>
        <w:t>sintomatología y presentación es variable de acuerdo a </w:t>
      </w:r>
      <w:r>
        <w:rPr>
          <w:spacing w:val="-3"/>
        </w:rPr>
        <w:t>la </w:t>
      </w:r>
      <w:r>
        <w:rPr/>
        <w:t>localización de </w:t>
      </w:r>
      <w:r>
        <w:rPr>
          <w:spacing w:val="-3"/>
        </w:rPr>
        <w:t>la</w:t>
      </w:r>
      <w:r>
        <w:rPr>
          <w:spacing w:val="-1"/>
        </w:rPr>
        <w:t> </w:t>
      </w:r>
      <w:r>
        <w:rPr/>
        <w:t>disección.</w:t>
      </w:r>
    </w:p>
    <w:p>
      <w:pPr>
        <w:pStyle w:val="Heading4"/>
        <w:spacing w:before="92"/>
        <w:ind w:left="664"/>
      </w:pPr>
      <w:r>
        <w:rPr>
          <w:b w:val="0"/>
        </w:rPr>
        <w:br w:type="column"/>
      </w:r>
      <w:r>
        <w:rPr/>
        <w:t>ETIOLOGIA Y FISIOPATOLOGIA</w:t>
      </w:r>
    </w:p>
    <w:p>
      <w:pPr>
        <w:pStyle w:val="BodyText"/>
        <w:rPr>
          <w:b/>
          <w:sz w:val="21"/>
        </w:rPr>
      </w:pPr>
    </w:p>
    <w:p>
      <w:pPr>
        <w:pStyle w:val="BodyText"/>
        <w:spacing w:line="276" w:lineRule="auto"/>
        <w:ind w:left="664" w:right="1695"/>
        <w:jc w:val="both"/>
      </w:pPr>
      <w:r>
        <w:rPr/>
        <w:t>La disección aórtica se caracteriza por </w:t>
      </w:r>
      <w:r>
        <w:rPr>
          <w:spacing w:val="-3"/>
        </w:rPr>
        <w:t>la </w:t>
      </w:r>
      <w:r>
        <w:rPr/>
        <w:t>creación de una falsa luz en </w:t>
      </w:r>
      <w:r>
        <w:rPr>
          <w:spacing w:val="-3"/>
        </w:rPr>
        <w:t>la </w:t>
      </w:r>
      <w:r>
        <w:rPr/>
        <w:t>capa media de </w:t>
      </w:r>
      <w:r>
        <w:rPr>
          <w:spacing w:val="-3"/>
        </w:rPr>
        <w:t>la </w:t>
      </w:r>
      <w:r>
        <w:rPr/>
        <w:t>pared aortica. La base del proceso fisiopatológico de </w:t>
      </w:r>
      <w:r>
        <w:rPr>
          <w:spacing w:val="-3"/>
        </w:rPr>
        <w:t>la </w:t>
      </w:r>
      <w:r>
        <w:rPr/>
        <w:t>disección aórtica es </w:t>
      </w:r>
      <w:r>
        <w:rPr>
          <w:spacing w:val="-3"/>
        </w:rPr>
        <w:t>la </w:t>
      </w:r>
      <w:r>
        <w:rPr/>
        <w:t>degeneración de </w:t>
      </w:r>
      <w:r>
        <w:rPr>
          <w:spacing w:val="-3"/>
        </w:rPr>
        <w:t>la </w:t>
      </w:r>
      <w:r>
        <w:rPr/>
        <w:t>pared. Los mecanismos no están del todo establecidos, sin embargo, se sabe que ocurre deterioro de las fibras de colágeno y elastina con formación de quistes, que producirán necrosis quística de </w:t>
      </w:r>
      <w:r>
        <w:rPr>
          <w:spacing w:val="-3"/>
        </w:rPr>
        <w:t>la </w:t>
      </w:r>
      <w:r>
        <w:rPr/>
        <w:t>media y se cree que es una condición previa a </w:t>
      </w:r>
      <w:r>
        <w:rPr>
          <w:spacing w:val="-3"/>
        </w:rPr>
        <w:t>la </w:t>
      </w:r>
      <w:r>
        <w:rPr/>
        <w:t>disección; recientemente se ha demostrado </w:t>
      </w:r>
      <w:r>
        <w:rPr>
          <w:spacing w:val="-3"/>
        </w:rPr>
        <w:t>la </w:t>
      </w:r>
      <w:r>
        <w:rPr/>
        <w:t>presencia de infiltrado de células</w:t>
      </w:r>
      <w:r>
        <w:rPr>
          <w:spacing w:val="2"/>
        </w:rPr>
        <w:t> </w:t>
      </w:r>
      <w:r>
        <w:rPr/>
        <w:t>inflamatorias</w:t>
      </w:r>
    </w:p>
    <w:p>
      <w:pPr>
        <w:spacing w:after="0" w:line="276" w:lineRule="auto"/>
        <w:jc w:val="both"/>
        <w:sectPr>
          <w:type w:val="continuous"/>
          <w:pgSz w:w="12240" w:h="15840"/>
          <w:pgMar w:top="1500" w:bottom="0" w:left="0" w:right="0"/>
          <w:cols w:num="2" w:equalWidth="0">
            <w:col w:w="5770" w:space="40"/>
            <w:col w:w="6430"/>
          </w:cols>
        </w:sectPr>
      </w:pPr>
    </w:p>
    <w:p>
      <w:pPr>
        <w:pStyle w:val="BodyText"/>
        <w:rPr>
          <w:sz w:val="20"/>
        </w:rPr>
      </w:pPr>
    </w:p>
    <w:p>
      <w:pPr>
        <w:spacing w:after="0"/>
        <w:rPr>
          <w:sz w:val="20"/>
        </w:rPr>
        <w:sectPr>
          <w:headerReference w:type="default" r:id="rId41"/>
          <w:footerReference w:type="default" r:id="rId42"/>
          <w:pgSz w:w="12240" w:h="15840"/>
          <w:pgMar w:header="711" w:footer="0" w:top="920" w:bottom="280" w:left="0" w:right="0"/>
        </w:sectPr>
      </w:pPr>
    </w:p>
    <w:p>
      <w:pPr>
        <w:pStyle w:val="BodyText"/>
        <w:spacing w:before="8"/>
        <w:rPr>
          <w:sz w:val="21"/>
        </w:rPr>
      </w:pPr>
    </w:p>
    <w:p>
      <w:pPr>
        <w:pStyle w:val="BodyText"/>
        <w:spacing w:line="276" w:lineRule="auto"/>
        <w:ind w:left="1700" w:right="1"/>
        <w:jc w:val="both"/>
      </w:pPr>
      <w:r>
        <w:rPr/>
        <w:t>El desgarro de </w:t>
      </w:r>
      <w:r>
        <w:rPr>
          <w:spacing w:val="-3"/>
        </w:rPr>
        <w:t>la </w:t>
      </w:r>
      <w:r>
        <w:rPr/>
        <w:t>íntima expone </w:t>
      </w:r>
      <w:r>
        <w:rPr>
          <w:spacing w:val="-3"/>
        </w:rPr>
        <w:t>la </w:t>
      </w:r>
      <w:r>
        <w:rPr/>
        <w:t>capa media enferma al flujo de las fuerzas mecánicas que contribuyen a </w:t>
      </w:r>
      <w:r>
        <w:rPr>
          <w:spacing w:val="-3"/>
        </w:rPr>
        <w:t>la </w:t>
      </w:r>
      <w:r>
        <w:rPr/>
        <w:t>disección, las cuales son: el flujo sanguíneo pulsátil, las fuerzas de flexión en sitios fijos, el impacto radial del pulso de presión (presión hidrostática) y </w:t>
      </w:r>
      <w:r>
        <w:rPr>
          <w:spacing w:val="1"/>
        </w:rPr>
        <w:t>el </w:t>
      </w:r>
      <w:r>
        <w:rPr/>
        <w:t>estrés de cizallamiento de </w:t>
      </w:r>
      <w:r>
        <w:rPr>
          <w:spacing w:val="-3"/>
        </w:rPr>
        <w:t>la </w:t>
      </w:r>
      <w:r>
        <w:rPr/>
        <w:t>sangre. La adventicia puede inicialmente contener el sangrado o evolucionar a </w:t>
      </w:r>
      <w:r>
        <w:rPr>
          <w:spacing w:val="-3"/>
        </w:rPr>
        <w:t>la </w:t>
      </w:r>
      <w:r>
        <w:rPr/>
        <w:t>rotura del vaso. La hipertensión se suma a una tensión mecánica en </w:t>
      </w:r>
      <w:r>
        <w:rPr>
          <w:spacing w:val="-3"/>
        </w:rPr>
        <w:t>la </w:t>
      </w:r>
      <w:r>
        <w:rPr/>
        <w:t>pared aórtica, a las fuerzas de cizallamiento que ejercen un esfuerzo longitudinal a </w:t>
      </w:r>
      <w:r>
        <w:rPr>
          <w:spacing w:val="-3"/>
        </w:rPr>
        <w:t>lo </w:t>
      </w:r>
      <w:r>
        <w:rPr/>
        <w:t>largo de </w:t>
      </w:r>
      <w:r>
        <w:rPr>
          <w:spacing w:val="-3"/>
        </w:rPr>
        <w:t>la </w:t>
      </w:r>
      <w:r>
        <w:rPr/>
        <w:t>pared aórtica. La combinación de estos factores da como resultado el desgarro de </w:t>
      </w:r>
      <w:r>
        <w:rPr>
          <w:spacing w:val="-3"/>
        </w:rPr>
        <w:t>la </w:t>
      </w:r>
      <w:r>
        <w:rPr/>
        <w:t>íntima y </w:t>
      </w:r>
      <w:r>
        <w:rPr>
          <w:spacing w:val="-3"/>
        </w:rPr>
        <w:t>la </w:t>
      </w:r>
      <w:r>
        <w:rPr/>
        <w:t>propagación de </w:t>
      </w:r>
      <w:r>
        <w:rPr>
          <w:spacing w:val="-3"/>
        </w:rPr>
        <w:t>la </w:t>
      </w:r>
      <w:r>
        <w:rPr/>
        <w:t>disección en </w:t>
      </w:r>
      <w:r>
        <w:rPr>
          <w:spacing w:val="-3"/>
        </w:rPr>
        <w:t>la </w:t>
      </w:r>
      <w:r>
        <w:rPr/>
        <w:t>aorta. En ocasiones puede estar presente un aneurisma previo a </w:t>
      </w:r>
      <w:r>
        <w:rPr>
          <w:spacing w:val="-3"/>
        </w:rPr>
        <w:t>la </w:t>
      </w:r>
      <w:r>
        <w:rPr/>
        <w:t>disección, pero este no siempre está</w:t>
      </w:r>
      <w:r>
        <w:rPr>
          <w:spacing w:val="-5"/>
        </w:rPr>
        <w:t> </w:t>
      </w:r>
      <w:r>
        <w:rPr/>
        <w:t>presente.</w:t>
      </w:r>
    </w:p>
    <w:p>
      <w:pPr>
        <w:pStyle w:val="BodyText"/>
        <w:spacing w:line="276" w:lineRule="auto" w:before="1"/>
        <w:ind w:left="1700" w:right="1"/>
        <w:jc w:val="both"/>
      </w:pPr>
      <w:r>
        <w:rPr/>
        <w:t>La localización del desgarro intima primario más frecuente es la aorta ascendente, entre 1-5 cm por encima del seno de Valsalva derecho en el 65% de los casos, en la aorta descendente proximal debajo de la subclavia izquierda en el 20%, en el arco aórtico transverso en 10% y en aorta distal toracoabdominal en el 5%.</w:t>
      </w:r>
    </w:p>
    <w:p>
      <w:pPr>
        <w:pStyle w:val="BodyText"/>
        <w:spacing w:line="276" w:lineRule="auto" w:before="1"/>
        <w:ind w:left="1700"/>
        <w:jc w:val="both"/>
      </w:pPr>
      <w:r>
        <w:rPr/>
        <w:t>Recientemente se han descrito otras dos formas etiológicas de disección aortica: el hematoma intramural y </w:t>
      </w:r>
      <w:r>
        <w:rPr>
          <w:spacing w:val="-3"/>
        </w:rPr>
        <w:t>la </w:t>
      </w:r>
      <w:r>
        <w:rPr/>
        <w:t>úlcera aórtica aterosclerótica penetrante. El hematoma intramural, también conocido como disección aortica sin desgarro intima, es esencialmente una hemorragia contenida en </w:t>
      </w:r>
      <w:r>
        <w:rPr>
          <w:spacing w:val="-3"/>
        </w:rPr>
        <w:t>la </w:t>
      </w:r>
      <w:r>
        <w:rPr/>
        <w:t>capa media aórtica, extendida hasta </w:t>
      </w:r>
      <w:r>
        <w:rPr>
          <w:spacing w:val="-3"/>
        </w:rPr>
        <w:t>la </w:t>
      </w:r>
      <w:r>
        <w:rPr/>
        <w:t>adventicia, que es producida por rotura de los vasa vasorum. Correspondería al 3-13% de las disecciones sin desgarro intima de los estudios patológicos antiguos. La ulcera penetrante, como su nombre indica,</w:t>
      </w:r>
      <w:r>
        <w:rPr>
          <w:spacing w:val="-17"/>
        </w:rPr>
        <w:t> </w:t>
      </w:r>
      <w:r>
        <w:rPr/>
        <w:t>sería</w:t>
      </w:r>
    </w:p>
    <w:p>
      <w:pPr>
        <w:pStyle w:val="BodyText"/>
        <w:spacing w:before="8"/>
        <w:rPr>
          <w:sz w:val="21"/>
        </w:rPr>
      </w:pPr>
      <w:r>
        <w:rPr/>
        <w:br w:type="column"/>
      </w:r>
      <w:r>
        <w:rPr>
          <w:sz w:val="21"/>
        </w:rPr>
      </w:r>
    </w:p>
    <w:p>
      <w:pPr>
        <w:pStyle w:val="BodyText"/>
        <w:spacing w:line="276" w:lineRule="auto"/>
        <w:ind w:left="663" w:right="1696"/>
        <w:jc w:val="both"/>
      </w:pPr>
      <w:r>
        <w:rPr/>
        <w:t>una ulceración de una lesión arteriosclerótica aórtica que penetra en </w:t>
      </w:r>
      <w:r>
        <w:rPr>
          <w:spacing w:val="-3"/>
        </w:rPr>
        <w:t>la </w:t>
      </w:r>
      <w:r>
        <w:rPr/>
        <w:t>lámina elástica interna, formando un hematoma en </w:t>
      </w:r>
      <w:r>
        <w:rPr>
          <w:spacing w:val="-3"/>
        </w:rPr>
        <w:t>la </w:t>
      </w:r>
      <w:r>
        <w:rPr/>
        <w:t>capa media de </w:t>
      </w:r>
      <w:r>
        <w:rPr>
          <w:spacing w:val="-3"/>
        </w:rPr>
        <w:t>la </w:t>
      </w:r>
      <w:r>
        <w:rPr/>
        <w:t>aorta torácica descendente, permaneciendo localizado o extendiéndose unos centímetros, sin formar una segunda luz. La disección aórtica ocurre con mayor frecuencia en pacientes de edad avanzada (entre </w:t>
      </w:r>
      <w:r>
        <w:rPr>
          <w:spacing w:val="-3"/>
        </w:rPr>
        <w:t>la </w:t>
      </w:r>
      <w:r>
        <w:rPr/>
        <w:t>quinta y </w:t>
      </w:r>
      <w:r>
        <w:rPr>
          <w:spacing w:val="-3"/>
        </w:rPr>
        <w:t>la </w:t>
      </w:r>
      <w:r>
        <w:rPr/>
        <w:t>séptima décadas de vida) con historia de hipertensión arterial y arterioesclerosis generalizada; es tres veces más frecuente en el sexo masculino. En pacientes jóvenes, puede ser debida a hipertensión esencial y, con frecuencia, se asocia con válvula aortica bicúspide y coartación aortica, entidad que también produce hipertensión arterial severa. Los que no tienen hipertensión pueden tener defectos hereditarios del tejido conectivo como los síndromes de Marfan, Ehlers- Danlos, Noonan o Turner. Existen causas iatrogénicas, como cateterización aortica, colocación de balón de contra pulsación, canalización femoral. Estas disecciones iatrogénicas pueden ser severas y muy extensas o limitadas, no son muy frecuentes. En cuanto a trauma se destacan los de desaceleración como accidentes automovilísticos y caída de gran</w:t>
      </w:r>
      <w:r>
        <w:rPr>
          <w:spacing w:val="-1"/>
        </w:rPr>
        <w:t> </w:t>
      </w:r>
      <w:r>
        <w:rPr/>
        <w:t>altura.</w:t>
      </w:r>
    </w:p>
    <w:p>
      <w:pPr>
        <w:pStyle w:val="BodyText"/>
        <w:spacing w:before="10"/>
        <w:rPr>
          <w:sz w:val="21"/>
        </w:rPr>
      </w:pPr>
    </w:p>
    <w:p>
      <w:pPr>
        <w:pStyle w:val="Heading4"/>
        <w:ind w:left="663"/>
      </w:pPr>
      <w:r>
        <w:rPr/>
        <w:t>PRESENTACION CLINICA</w:t>
      </w:r>
    </w:p>
    <w:p>
      <w:pPr>
        <w:pStyle w:val="BodyText"/>
        <w:spacing w:before="1"/>
        <w:rPr>
          <w:b/>
          <w:sz w:val="21"/>
        </w:rPr>
      </w:pPr>
    </w:p>
    <w:p>
      <w:pPr>
        <w:pStyle w:val="BodyText"/>
        <w:spacing w:line="276" w:lineRule="auto"/>
        <w:ind w:left="663" w:right="1695"/>
        <w:jc w:val="both"/>
      </w:pPr>
      <w:r>
        <w:rPr/>
        <w:t>Los síntomas de presentación más comunes de una disección aortica son dolor de pecho y/o dolor de espalda. Se localiza en </w:t>
      </w:r>
      <w:r>
        <w:rPr>
          <w:spacing w:val="-3"/>
        </w:rPr>
        <w:t>la </w:t>
      </w:r>
      <w:r>
        <w:rPr/>
        <w:t>región anterior del tórax, cuello, garganta y mandíbula. También se </w:t>
      </w:r>
      <w:r>
        <w:rPr>
          <w:spacing w:val="-3"/>
        </w:rPr>
        <w:t>le </w:t>
      </w:r>
      <w:r>
        <w:rPr/>
        <w:t>describe en </w:t>
      </w:r>
      <w:r>
        <w:rPr>
          <w:spacing w:val="-3"/>
        </w:rPr>
        <w:t>la </w:t>
      </w:r>
      <w:r>
        <w:rPr/>
        <w:t>región dorsal siguiendo hacia caudal hasta </w:t>
      </w:r>
      <w:r>
        <w:rPr>
          <w:spacing w:val="-3"/>
        </w:rPr>
        <w:t>la </w:t>
      </w:r>
      <w:r>
        <w:rPr/>
        <w:t>región abdominal. Se caracteriza por ser severamente intenso y los pacientes </w:t>
      </w:r>
      <w:r>
        <w:rPr>
          <w:spacing w:val="-3"/>
        </w:rPr>
        <w:t>lo </w:t>
      </w:r>
      <w:r>
        <w:rPr/>
        <w:t>describen como un dolor de inicio</w:t>
      </w:r>
      <w:r>
        <w:rPr>
          <w:spacing w:val="60"/>
        </w:rPr>
        <w:t> </w:t>
      </w:r>
      <w:r>
        <w:rPr/>
        <w:t>súbito,</w:t>
      </w:r>
    </w:p>
    <w:p>
      <w:pPr>
        <w:spacing w:after="0" w:line="276" w:lineRule="auto"/>
        <w:jc w:val="both"/>
        <w:sectPr>
          <w:type w:val="continuous"/>
          <w:pgSz w:w="12240" w:h="15840"/>
          <w:pgMar w:top="1500" w:bottom="0" w:left="0" w:right="0"/>
          <w:cols w:num="2" w:equalWidth="0">
            <w:col w:w="5771" w:space="40"/>
            <w:col w:w="6429"/>
          </w:cols>
        </w:sectPr>
      </w:pPr>
    </w:p>
    <w:p>
      <w:pPr>
        <w:pStyle w:val="BodyText"/>
        <w:spacing w:before="11"/>
        <w:rPr>
          <w:sz w:val="25"/>
        </w:rPr>
      </w:pPr>
    </w:p>
    <w:p>
      <w:pPr>
        <w:pStyle w:val="BodyText"/>
        <w:ind w:left="733"/>
        <w:rPr>
          <w:sz w:val="20"/>
        </w:rPr>
      </w:pPr>
      <w:r>
        <w:rPr>
          <w:sz w:val="20"/>
        </w:rPr>
        <w:pict>
          <v:group style="width:489.6pt;height:25.35pt;mso-position-horizontal-relative:char;mso-position-vertical-relative:line" coordorigin="0,0" coordsize="9792,507">
            <v:rect style="position:absolute;left:0;top:2;width:720;height:504" filled="true" fillcolor="#3366cc" stroked="false">
              <v:fill type="solid"/>
            </v:rect>
            <v:shape style="position:absolute;left:31;top:105;width:660;height:300" type="#_x0000_t75" stroked="false">
              <v:imagedata r:id="rId36" o:title=""/>
            </v:shape>
            <v:line style="position:absolute" from="476,15" to="9791,15" stroked="true" strokeweight="1.4649pt" strokecolor="#3366cc">
              <v:stroke dashstyle="solid"/>
            </v:line>
            <v:shape style="position:absolute;left:451;top:181;width:9304;height:316" type="#_x0000_t75" stroked="false">
              <v:imagedata r:id="rId43" o:title=""/>
            </v:shape>
            <v:shape style="position:absolute;left:0;top:0;width:9792;height:507" type="#_x0000_t202" filled="false" stroked="false">
              <v:textbox inset="0,0,0,0">
                <w:txbxContent>
                  <w:p>
                    <w:pPr>
                      <w:spacing w:before="182"/>
                      <w:ind w:left="3730" w:right="3320" w:firstLine="0"/>
                      <w:jc w:val="center"/>
                      <w:rPr>
                        <w:i/>
                        <w:sz w:val="20"/>
                      </w:rPr>
                    </w:pPr>
                    <w:r>
                      <w:rPr>
                        <w:i/>
                        <w:color w:val="3166CC"/>
                        <w:sz w:val="20"/>
                      </w:rPr>
                      <w:t>REVISTA MEDICA SINERGIA</w:t>
                    </w:r>
                  </w:p>
                </w:txbxContent>
              </v:textbox>
              <w10:wrap type="none"/>
            </v:shape>
            <v:shape style="position:absolute;left:0;top:29;width:720;height:478" type="#_x0000_t202" filled="false" stroked="false">
              <v:textbox inset="0,0,0,0">
                <w:txbxContent>
                  <w:p>
                    <w:pPr>
                      <w:spacing w:before="77"/>
                      <w:ind w:left="407" w:right="0" w:firstLine="0"/>
                      <w:jc w:val="left"/>
                      <w:rPr>
                        <w:rFonts w:ascii="Calibri"/>
                        <w:sz w:val="28"/>
                      </w:rPr>
                    </w:pPr>
                    <w:r>
                      <w:rPr>
                        <w:rFonts w:ascii="Calibri"/>
                        <w:color w:val="FFFFFF"/>
                        <w:sz w:val="28"/>
                      </w:rPr>
                      <w:t>4</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spacing w:after="0"/>
        <w:rPr>
          <w:sz w:val="20"/>
        </w:rPr>
        <w:sectPr>
          <w:footerReference w:type="default" r:id="rId44"/>
          <w:pgSz w:w="12240" w:h="15840"/>
          <w:pgMar w:footer="882" w:header="711" w:top="940" w:bottom="1080" w:left="0" w:right="0"/>
        </w:sectPr>
      </w:pPr>
    </w:p>
    <w:p>
      <w:pPr>
        <w:pStyle w:val="BodyText"/>
        <w:spacing w:before="8"/>
      </w:pPr>
    </w:p>
    <w:p>
      <w:pPr>
        <w:pStyle w:val="BodyText"/>
        <w:ind w:left="1440"/>
      </w:pPr>
      <w:r>
        <w:rPr/>
        <w:t>punzante y desgarrante.</w:t>
      </w:r>
    </w:p>
    <w:p>
      <w:pPr>
        <w:pStyle w:val="BodyText"/>
        <w:rPr>
          <w:sz w:val="25"/>
        </w:rPr>
      </w:pPr>
    </w:p>
    <w:p>
      <w:pPr>
        <w:pStyle w:val="Heading4"/>
      </w:pPr>
      <w:r>
        <w:rPr/>
        <w:t>CLASIFICACION</w:t>
      </w:r>
    </w:p>
    <w:p>
      <w:pPr>
        <w:pStyle w:val="BodyText"/>
        <w:spacing w:before="1"/>
        <w:rPr>
          <w:b/>
          <w:sz w:val="21"/>
        </w:rPr>
      </w:pPr>
    </w:p>
    <w:p>
      <w:pPr>
        <w:pStyle w:val="BodyText"/>
        <w:spacing w:line="276" w:lineRule="auto"/>
        <w:ind w:left="1440"/>
        <w:jc w:val="both"/>
      </w:pPr>
      <w:r>
        <w:rPr/>
        <w:t>Las disecciones son clasificadas de acuerdo a su localización anatómica y su agudeza. Según su agudeza; se considera aguda si el cuadro clínico lleva menos de 14 días de evolución; si tiene 14 días, se denomina crónica y una tercera parte de los pacientes alcanzaran esta categoría. Desde el punto de vista de su localización; las dos clasificaciones anatómicas más comunes son, </w:t>
      </w:r>
      <w:r>
        <w:rPr>
          <w:spacing w:val="-3"/>
        </w:rPr>
        <w:t>la </w:t>
      </w:r>
      <w:r>
        <w:rPr/>
        <w:t>clasificación de Stanford y </w:t>
      </w:r>
      <w:r>
        <w:rPr>
          <w:spacing w:val="-3"/>
        </w:rPr>
        <w:t>la </w:t>
      </w:r>
      <w:r>
        <w:rPr/>
        <w:t>clasificación</w:t>
      </w:r>
      <w:r>
        <w:rPr>
          <w:spacing w:val="-1"/>
        </w:rPr>
        <w:t> </w:t>
      </w:r>
      <w:r>
        <w:rPr/>
        <w:t>DeBakey.</w:t>
      </w:r>
    </w:p>
    <w:p>
      <w:pPr>
        <w:spacing w:before="195"/>
        <w:ind w:left="1440" w:right="0" w:firstLine="0"/>
        <w:jc w:val="left"/>
        <w:rPr>
          <w:b/>
          <w:sz w:val="18"/>
        </w:rPr>
      </w:pPr>
      <w:r>
        <w:rPr>
          <w:b/>
          <w:sz w:val="24"/>
        </w:rPr>
        <w:t>CLASIFICACION DE BAKEY </w:t>
      </w:r>
      <w:r>
        <w:rPr>
          <w:b/>
          <w:sz w:val="20"/>
        </w:rPr>
        <w:t>(</w:t>
      </w:r>
      <w:r>
        <w:rPr>
          <w:b/>
          <w:sz w:val="18"/>
        </w:rPr>
        <w:t>FIG. 1)</w:t>
      </w:r>
    </w:p>
    <w:p>
      <w:pPr>
        <w:pStyle w:val="BodyText"/>
        <w:rPr>
          <w:b/>
          <w:sz w:val="21"/>
        </w:rPr>
      </w:pPr>
    </w:p>
    <w:p>
      <w:pPr>
        <w:pStyle w:val="BodyText"/>
        <w:spacing w:line="278" w:lineRule="auto" w:before="1"/>
        <w:ind w:left="1440" w:right="4"/>
        <w:jc w:val="both"/>
      </w:pPr>
      <w:r>
        <w:rPr>
          <w:b/>
        </w:rPr>
        <w:t>Tipo I: </w:t>
      </w:r>
      <w:r>
        <w:rPr/>
        <w:t>Compromete la aorta ascendente, el arco y se extiende a la aorta descendente. (Toda la aorta)</w:t>
      </w:r>
    </w:p>
    <w:p>
      <w:pPr>
        <w:pStyle w:val="BodyText"/>
        <w:spacing w:line="280" w:lineRule="auto"/>
        <w:ind w:left="1440"/>
      </w:pPr>
      <w:r>
        <w:rPr>
          <w:b/>
        </w:rPr>
        <w:t>Tipo II: </w:t>
      </w:r>
      <w:r>
        <w:rPr/>
        <w:t>La disección se limita a la aorta ascendente y al arco aórtico.</w:t>
      </w:r>
    </w:p>
    <w:p>
      <w:pPr>
        <w:pStyle w:val="BodyText"/>
        <w:spacing w:line="278" w:lineRule="auto"/>
        <w:ind w:left="1440" w:right="4"/>
        <w:jc w:val="both"/>
      </w:pPr>
      <w:r>
        <w:rPr>
          <w:b/>
        </w:rPr>
        <w:t>Tipo III: </w:t>
      </w:r>
      <w:r>
        <w:rPr/>
        <w:t>La disección se origina a nivel de la subclavia izquierda y se extiende en forma distal</w:t>
      </w:r>
    </w:p>
    <w:p>
      <w:pPr>
        <w:pStyle w:val="BodyText"/>
        <w:spacing w:line="278" w:lineRule="auto" w:before="2"/>
        <w:ind w:left="1440" w:right="463"/>
      </w:pPr>
      <w:r>
        <w:rPr>
          <w:b/>
        </w:rPr>
        <w:t>IIIa</w:t>
      </w:r>
      <w:r>
        <w:rPr/>
        <w:t>: Abarca aorta descendente hasta el diafragma</w:t>
      </w:r>
    </w:p>
    <w:p>
      <w:pPr>
        <w:pStyle w:val="BodyText"/>
        <w:spacing w:line="280" w:lineRule="auto"/>
        <w:ind w:left="1440" w:right="415"/>
      </w:pPr>
      <w:r>
        <w:rPr/>
        <w:t>I</w:t>
      </w:r>
      <w:r>
        <w:rPr>
          <w:b/>
        </w:rPr>
        <w:t>IIb</w:t>
      </w:r>
      <w:r>
        <w:rPr/>
        <w:t>: Se extiende distalmente a partir del diafragma.</w:t>
      </w:r>
    </w:p>
    <w:p>
      <w:pPr>
        <w:pStyle w:val="BodyText"/>
        <w:spacing w:before="9"/>
        <w:rPr>
          <w:sz w:val="24"/>
        </w:rPr>
      </w:pPr>
    </w:p>
    <w:p>
      <w:pPr>
        <w:spacing w:line="252" w:lineRule="exact" w:before="0"/>
        <w:ind w:left="1440" w:right="0" w:firstLine="0"/>
        <w:jc w:val="left"/>
        <w:rPr>
          <w:b/>
          <w:sz w:val="18"/>
        </w:rPr>
      </w:pPr>
      <w:r>
        <w:rPr>
          <w:b/>
          <w:sz w:val="22"/>
        </w:rPr>
        <w:t>CLASIFICACION DE STANFORD </w:t>
      </w:r>
      <w:r>
        <w:rPr>
          <w:b/>
          <w:sz w:val="18"/>
        </w:rPr>
        <w:t>(FIG. 1)</w:t>
      </w:r>
    </w:p>
    <w:p>
      <w:pPr>
        <w:spacing w:line="242" w:lineRule="auto" w:before="0" w:after="6"/>
        <w:ind w:left="1440" w:right="47" w:firstLine="0"/>
        <w:jc w:val="left"/>
        <w:rPr>
          <w:sz w:val="20"/>
        </w:rPr>
      </w:pPr>
      <w:r>
        <w:rPr>
          <w:b/>
          <w:sz w:val="20"/>
        </w:rPr>
        <w:t>Figura 1: Clasificación de DeBakey y de Stanford de la disección. Fuente: </w:t>
      </w:r>
      <w:r>
        <w:rPr>
          <w:sz w:val="20"/>
        </w:rPr>
        <w:t>Fletcher, M. (2014). Disección aórtica: “conceptos actuales, presentación, diagnóstico y manejo”.</w:t>
      </w:r>
    </w:p>
    <w:p>
      <w:pPr>
        <w:pStyle w:val="BodyText"/>
        <w:ind w:left="1440"/>
        <w:rPr>
          <w:sz w:val="20"/>
        </w:rPr>
      </w:pPr>
      <w:r>
        <w:rPr>
          <w:sz w:val="20"/>
        </w:rPr>
        <w:drawing>
          <wp:inline distT="0" distB="0" distL="0" distR="0">
            <wp:extent cx="2652597" cy="1659636"/>
            <wp:effectExtent l="0" t="0" r="0" b="0"/>
            <wp:docPr id="21" name="image34.jpeg" descr=""/>
            <wp:cNvGraphicFramePr>
              <a:graphicFrameLocks noChangeAspect="1"/>
            </wp:cNvGraphicFramePr>
            <a:graphic>
              <a:graphicData uri="http://schemas.openxmlformats.org/drawingml/2006/picture">
                <pic:pic>
                  <pic:nvPicPr>
                    <pic:cNvPr id="22" name="image34.jpeg"/>
                    <pic:cNvPicPr/>
                  </pic:nvPicPr>
                  <pic:blipFill>
                    <a:blip r:embed="rId45" cstate="print"/>
                    <a:stretch>
                      <a:fillRect/>
                    </a:stretch>
                  </pic:blipFill>
                  <pic:spPr>
                    <a:xfrm>
                      <a:off x="0" y="0"/>
                      <a:ext cx="2652597" cy="1659636"/>
                    </a:xfrm>
                    <a:prstGeom prst="rect">
                      <a:avLst/>
                    </a:prstGeom>
                  </pic:spPr>
                </pic:pic>
              </a:graphicData>
            </a:graphic>
          </wp:inline>
        </w:drawing>
      </w:r>
      <w:r>
        <w:rPr>
          <w:sz w:val="20"/>
        </w:rPr>
      </w:r>
    </w:p>
    <w:p>
      <w:pPr>
        <w:pStyle w:val="BodyText"/>
        <w:rPr>
          <w:sz w:val="24"/>
        </w:rPr>
      </w:pPr>
      <w:r>
        <w:rPr/>
        <w:br w:type="column"/>
      </w:r>
      <w:r>
        <w:rPr>
          <w:sz w:val="24"/>
        </w:rPr>
      </w:r>
    </w:p>
    <w:p>
      <w:pPr>
        <w:pStyle w:val="ListParagraph"/>
        <w:numPr>
          <w:ilvl w:val="0"/>
          <w:numId w:val="3"/>
        </w:numPr>
        <w:tabs>
          <w:tab w:pos="923" w:val="left" w:leader="none"/>
        </w:tabs>
        <w:spacing w:line="276" w:lineRule="auto" w:before="189" w:after="0"/>
        <w:ind w:left="678" w:right="1436" w:firstLine="0"/>
        <w:jc w:val="both"/>
        <w:rPr>
          <w:sz w:val="22"/>
        </w:rPr>
      </w:pPr>
      <w:r>
        <w:rPr>
          <w:b/>
          <w:sz w:val="22"/>
        </w:rPr>
        <w:t>Tipo </w:t>
      </w:r>
      <w:r>
        <w:rPr>
          <w:b/>
          <w:spacing w:val="-6"/>
          <w:sz w:val="22"/>
        </w:rPr>
        <w:t>A: </w:t>
      </w:r>
      <w:r>
        <w:rPr>
          <w:sz w:val="22"/>
        </w:rPr>
        <w:t>Proximal o ascendente, con extensión o no al arco y aorta descendente; reúne los tipos I y II de De</w:t>
      </w:r>
      <w:r>
        <w:rPr>
          <w:spacing w:val="-9"/>
          <w:sz w:val="22"/>
        </w:rPr>
        <w:t> </w:t>
      </w:r>
      <w:r>
        <w:rPr>
          <w:sz w:val="22"/>
        </w:rPr>
        <w:t>Bakey.</w:t>
      </w:r>
    </w:p>
    <w:p>
      <w:pPr>
        <w:pStyle w:val="ListParagraph"/>
        <w:numPr>
          <w:ilvl w:val="0"/>
          <w:numId w:val="3"/>
        </w:numPr>
        <w:tabs>
          <w:tab w:pos="826" w:val="left" w:leader="none"/>
        </w:tabs>
        <w:spacing w:line="280" w:lineRule="auto" w:before="0" w:after="0"/>
        <w:ind w:left="678" w:right="1436" w:firstLine="0"/>
        <w:jc w:val="both"/>
        <w:rPr>
          <w:sz w:val="22"/>
        </w:rPr>
      </w:pPr>
      <w:r>
        <w:rPr>
          <w:b/>
          <w:sz w:val="22"/>
        </w:rPr>
        <w:t>Tipo B: </w:t>
      </w:r>
      <w:r>
        <w:rPr>
          <w:sz w:val="22"/>
        </w:rPr>
        <w:t>Distal o descendente, equivalente al tipo III de De</w:t>
      </w:r>
      <w:r>
        <w:rPr>
          <w:spacing w:val="-9"/>
          <w:sz w:val="22"/>
        </w:rPr>
        <w:t> </w:t>
      </w:r>
      <w:r>
        <w:rPr>
          <w:sz w:val="22"/>
        </w:rPr>
        <w:t>Bakey</w:t>
      </w:r>
    </w:p>
    <w:p>
      <w:pPr>
        <w:pStyle w:val="BodyText"/>
        <w:spacing w:before="8"/>
        <w:rPr>
          <w:sz w:val="24"/>
        </w:rPr>
      </w:pPr>
    </w:p>
    <w:p>
      <w:pPr>
        <w:pStyle w:val="Heading4"/>
        <w:spacing w:line="276" w:lineRule="auto" w:before="1"/>
        <w:ind w:left="678" w:right="1436"/>
        <w:jc w:val="both"/>
      </w:pPr>
      <w:r>
        <w:rPr/>
        <w:t>CLASIFICACION PROPUESTA POR SVENSSON</w:t>
      </w:r>
    </w:p>
    <w:p>
      <w:pPr>
        <w:pStyle w:val="BodyText"/>
        <w:spacing w:line="276" w:lineRule="auto" w:before="206"/>
        <w:ind w:left="678" w:right="1438"/>
        <w:jc w:val="both"/>
      </w:pPr>
      <w:r>
        <w:rPr/>
        <w:t>Recientemente Svensson y col han descrito una nueva clasificación en la que se considera al hematoma intramural y a la ulcera aortica como subtipos de disección</w:t>
      </w:r>
      <w:r>
        <w:rPr>
          <w:vertAlign w:val="superscript"/>
        </w:rPr>
        <w:t>:</w:t>
      </w:r>
    </w:p>
    <w:p>
      <w:pPr>
        <w:pStyle w:val="BodyText"/>
        <w:spacing w:before="9"/>
        <w:rPr>
          <w:sz w:val="24"/>
        </w:rPr>
      </w:pPr>
    </w:p>
    <w:p>
      <w:pPr>
        <w:pStyle w:val="ListParagraph"/>
        <w:numPr>
          <w:ilvl w:val="0"/>
          <w:numId w:val="3"/>
        </w:numPr>
        <w:tabs>
          <w:tab w:pos="839" w:val="left" w:leader="none"/>
        </w:tabs>
        <w:spacing w:line="278" w:lineRule="auto" w:before="0" w:after="0"/>
        <w:ind w:left="678" w:right="1436" w:firstLine="0"/>
        <w:jc w:val="both"/>
        <w:rPr>
          <w:sz w:val="22"/>
        </w:rPr>
      </w:pPr>
      <w:r>
        <w:rPr>
          <w:b/>
          <w:sz w:val="22"/>
        </w:rPr>
        <w:t>Clase 1. </w:t>
      </w:r>
      <w:r>
        <w:rPr>
          <w:sz w:val="22"/>
        </w:rPr>
        <w:t>Disección aortica clásica con un colgajo intimo-medial entre verdadero y falso</w:t>
      </w:r>
      <w:r>
        <w:rPr>
          <w:spacing w:val="3"/>
          <w:sz w:val="22"/>
        </w:rPr>
        <w:t> </w:t>
      </w:r>
      <w:r>
        <w:rPr>
          <w:sz w:val="22"/>
        </w:rPr>
        <w:t>lumen</w:t>
      </w:r>
    </w:p>
    <w:p>
      <w:pPr>
        <w:pStyle w:val="ListParagraph"/>
        <w:numPr>
          <w:ilvl w:val="0"/>
          <w:numId w:val="3"/>
        </w:numPr>
        <w:tabs>
          <w:tab w:pos="830" w:val="left" w:leader="none"/>
        </w:tabs>
        <w:spacing w:line="278" w:lineRule="auto" w:before="0" w:after="0"/>
        <w:ind w:left="678" w:right="1437" w:firstLine="0"/>
        <w:jc w:val="both"/>
        <w:rPr>
          <w:sz w:val="22"/>
        </w:rPr>
      </w:pPr>
      <w:r>
        <w:rPr>
          <w:b/>
          <w:sz w:val="22"/>
        </w:rPr>
        <w:t>Clase 2. </w:t>
      </w:r>
      <w:r>
        <w:rPr>
          <w:sz w:val="22"/>
        </w:rPr>
        <w:t>Disrupción medial con formación de hematoma o hemorragia</w:t>
      </w:r>
      <w:r>
        <w:rPr>
          <w:spacing w:val="-7"/>
          <w:sz w:val="22"/>
        </w:rPr>
        <w:t> </w:t>
      </w:r>
      <w:r>
        <w:rPr>
          <w:sz w:val="22"/>
        </w:rPr>
        <w:t>intramural.</w:t>
      </w:r>
    </w:p>
    <w:p>
      <w:pPr>
        <w:pStyle w:val="ListParagraph"/>
        <w:numPr>
          <w:ilvl w:val="0"/>
          <w:numId w:val="3"/>
        </w:numPr>
        <w:tabs>
          <w:tab w:pos="1046" w:val="left" w:leader="none"/>
        </w:tabs>
        <w:spacing w:line="278" w:lineRule="auto" w:before="0" w:after="0"/>
        <w:ind w:left="678" w:right="1440" w:firstLine="0"/>
        <w:jc w:val="both"/>
        <w:rPr>
          <w:sz w:val="22"/>
        </w:rPr>
      </w:pPr>
      <w:r>
        <w:rPr>
          <w:b/>
          <w:sz w:val="22"/>
        </w:rPr>
        <w:t>Clase 3: </w:t>
      </w:r>
      <w:r>
        <w:rPr>
          <w:sz w:val="22"/>
        </w:rPr>
        <w:t>Discreta disección sin hematoma, de localización excéntrica, en el sitio de </w:t>
      </w:r>
      <w:r>
        <w:rPr>
          <w:spacing w:val="-3"/>
          <w:sz w:val="22"/>
        </w:rPr>
        <w:t>la </w:t>
      </w:r>
      <w:r>
        <w:rPr>
          <w:sz w:val="22"/>
        </w:rPr>
        <w:t>lesión</w:t>
      </w:r>
      <w:r>
        <w:rPr>
          <w:spacing w:val="11"/>
          <w:sz w:val="22"/>
        </w:rPr>
        <w:t> </w:t>
      </w:r>
      <w:r>
        <w:rPr>
          <w:sz w:val="22"/>
        </w:rPr>
        <w:t>inicial.</w:t>
      </w:r>
    </w:p>
    <w:p>
      <w:pPr>
        <w:pStyle w:val="ListParagraph"/>
        <w:numPr>
          <w:ilvl w:val="0"/>
          <w:numId w:val="3"/>
        </w:numPr>
        <w:tabs>
          <w:tab w:pos="879" w:val="left" w:leader="none"/>
        </w:tabs>
        <w:spacing w:line="278" w:lineRule="auto" w:before="0" w:after="0"/>
        <w:ind w:left="678" w:right="1434" w:firstLine="0"/>
        <w:jc w:val="both"/>
        <w:rPr>
          <w:sz w:val="22"/>
        </w:rPr>
      </w:pPr>
      <w:r>
        <w:rPr>
          <w:b/>
          <w:sz w:val="22"/>
        </w:rPr>
        <w:t>Clase 4. </w:t>
      </w:r>
      <w:r>
        <w:rPr>
          <w:sz w:val="22"/>
        </w:rPr>
        <w:t>Ruptura de placa que lleva a ulceración aortica penetrante sin hematoma subyacente usualmente</w:t>
      </w:r>
      <w:r>
        <w:rPr>
          <w:spacing w:val="-5"/>
          <w:sz w:val="22"/>
        </w:rPr>
        <w:t> </w:t>
      </w:r>
      <w:r>
        <w:rPr>
          <w:sz w:val="22"/>
        </w:rPr>
        <w:t>subadventicial.</w:t>
      </w:r>
    </w:p>
    <w:p>
      <w:pPr>
        <w:pStyle w:val="ListParagraph"/>
        <w:numPr>
          <w:ilvl w:val="0"/>
          <w:numId w:val="3"/>
        </w:numPr>
        <w:tabs>
          <w:tab w:pos="1022" w:val="left" w:leader="none"/>
        </w:tabs>
        <w:spacing w:line="276" w:lineRule="auto" w:before="5" w:after="0"/>
        <w:ind w:left="678" w:right="1436" w:firstLine="0"/>
        <w:jc w:val="both"/>
        <w:rPr>
          <w:sz w:val="22"/>
        </w:rPr>
      </w:pPr>
      <w:r>
        <w:rPr>
          <w:b/>
          <w:sz w:val="22"/>
        </w:rPr>
        <w:t>Clase 5. </w:t>
      </w:r>
      <w:r>
        <w:rPr>
          <w:sz w:val="22"/>
        </w:rPr>
        <w:t>Disección iatrogénica y traumática</w:t>
      </w:r>
    </w:p>
    <w:p>
      <w:pPr>
        <w:pStyle w:val="Heading4"/>
        <w:spacing w:before="199"/>
        <w:ind w:left="678"/>
        <w:jc w:val="both"/>
      </w:pPr>
      <w:r>
        <w:rPr/>
        <w:t>DIAGNOSTICO</w:t>
      </w:r>
    </w:p>
    <w:p>
      <w:pPr>
        <w:pStyle w:val="BodyText"/>
        <w:rPr>
          <w:b/>
          <w:sz w:val="21"/>
        </w:rPr>
      </w:pPr>
    </w:p>
    <w:p>
      <w:pPr>
        <w:pStyle w:val="BodyText"/>
        <w:spacing w:line="276" w:lineRule="auto" w:before="1"/>
        <w:ind w:left="678" w:right="1432"/>
        <w:jc w:val="both"/>
      </w:pPr>
      <w:r>
        <w:rPr/>
        <w:t>Para establecer un diagnóstico rápido y certero, es necesario mantener un alto índice de sospecha y llevar a cabo una evaluación básica, que incluya un ECG, radiografía de tórax y laboratorio (marcadores cardiacos). El ECG es a menudo normal o podría mirarse cambios no específicos en el contexto de </w:t>
      </w:r>
      <w:r>
        <w:rPr>
          <w:spacing w:val="-3"/>
        </w:rPr>
        <w:t>la </w:t>
      </w:r>
      <w:r>
        <w:rPr/>
        <w:t>disección aortica. Además, permite diferenciar entre una disección y un Síndrome coronario agudo, puesto que el cuadro clínico puede ser muy parecido. Es importante considerar </w:t>
      </w:r>
      <w:r>
        <w:rPr>
          <w:spacing w:val="-3"/>
        </w:rPr>
        <w:t>la </w:t>
      </w:r>
      <w:r>
        <w:rPr/>
        <w:t>posibilidad de disección en casos de</w:t>
      </w:r>
      <w:r>
        <w:rPr>
          <w:spacing w:val="32"/>
        </w:rPr>
        <w:t> </w:t>
      </w:r>
      <w:r>
        <w:rPr/>
        <w:t>isquemia,</w:t>
      </w:r>
    </w:p>
    <w:p>
      <w:pPr>
        <w:spacing w:after="0" w:line="276" w:lineRule="auto"/>
        <w:jc w:val="both"/>
        <w:sectPr>
          <w:type w:val="continuous"/>
          <w:pgSz w:w="12240" w:h="15840"/>
          <w:pgMar w:top="1500" w:bottom="0" w:left="0" w:right="0"/>
          <w:cols w:num="2" w:equalWidth="0">
            <w:col w:w="5764" w:space="40"/>
            <w:col w:w="6436"/>
          </w:cols>
        </w:sectPr>
      </w:pPr>
    </w:p>
    <w:p>
      <w:pPr>
        <w:spacing w:before="65"/>
        <w:ind w:left="6202" w:right="0" w:firstLine="0"/>
        <w:jc w:val="left"/>
        <w:rPr>
          <w:i/>
          <w:sz w:val="20"/>
        </w:rPr>
      </w:pPr>
      <w:r>
        <w:rPr>
          <w:i/>
          <w:color w:val="2D74B5"/>
          <w:sz w:val="20"/>
        </w:rPr>
        <w:t>DISECCION AORTICA – Aurora Ugalde Rodríguez</w:t>
      </w:r>
    </w:p>
    <w:p>
      <w:pPr>
        <w:pStyle w:val="BodyText"/>
        <w:spacing w:before="6"/>
        <w:rPr>
          <w:i/>
          <w:sz w:val="15"/>
        </w:rPr>
      </w:pPr>
    </w:p>
    <w:p>
      <w:pPr>
        <w:spacing w:after="0"/>
        <w:rPr>
          <w:sz w:val="15"/>
        </w:rPr>
        <w:sectPr>
          <w:headerReference w:type="default" r:id="rId46"/>
          <w:footerReference w:type="default" r:id="rId47"/>
          <w:pgSz w:w="12240" w:h="15840"/>
          <w:pgMar w:header="0" w:footer="0" w:top="880" w:bottom="280" w:left="0" w:right="0"/>
        </w:sectPr>
      </w:pPr>
    </w:p>
    <w:p>
      <w:pPr>
        <w:pStyle w:val="BodyText"/>
        <w:spacing w:line="276" w:lineRule="auto" w:before="93"/>
        <w:ind w:left="1440"/>
        <w:jc w:val="both"/>
      </w:pPr>
      <w:r>
        <w:rPr/>
        <w:t>especialmente en </w:t>
      </w:r>
      <w:r>
        <w:rPr>
          <w:spacing w:val="-3"/>
        </w:rPr>
        <w:t>la </w:t>
      </w:r>
      <w:r>
        <w:rPr/>
        <w:t>isquemia inferior; porque </w:t>
      </w:r>
      <w:r>
        <w:rPr>
          <w:spacing w:val="-3"/>
        </w:rPr>
        <w:t>la </w:t>
      </w:r>
      <w:r>
        <w:rPr/>
        <w:t>disección proximal puede extenderse hasta </w:t>
      </w:r>
      <w:r>
        <w:rPr>
          <w:spacing w:val="-3"/>
        </w:rPr>
        <w:t>la </w:t>
      </w:r>
      <w:r>
        <w:rPr/>
        <w:t>arteria coronaria derecha. Un 7% de los pacientes con disección aortica se evidencia </w:t>
      </w:r>
      <w:r>
        <w:rPr>
          <w:spacing w:val="-3"/>
        </w:rPr>
        <w:t>la </w:t>
      </w:r>
      <w:r>
        <w:rPr/>
        <w:t>isquemia aguda (ya sea elevaciones del ST o nuevas ondas Q) en el ECG. Los datos de laboratorio son muy inespecíficos. Es frecuente </w:t>
      </w:r>
      <w:r>
        <w:rPr>
          <w:spacing w:val="-3"/>
        </w:rPr>
        <w:t>la </w:t>
      </w:r>
      <w:r>
        <w:rPr/>
        <w:t>leucocitosis y puede haber anemia por secuestro de sangre en </w:t>
      </w:r>
      <w:r>
        <w:rPr>
          <w:spacing w:val="-3"/>
        </w:rPr>
        <w:t>la </w:t>
      </w:r>
      <w:r>
        <w:rPr/>
        <w:t>falsa luz o por extravasación de sangre desde </w:t>
      </w:r>
      <w:r>
        <w:rPr>
          <w:spacing w:val="-3"/>
        </w:rPr>
        <w:t>la </w:t>
      </w:r>
      <w:r>
        <w:rPr/>
        <w:t>aorta. La creatinina puede aumentar cuando disminuye </w:t>
      </w:r>
      <w:r>
        <w:rPr>
          <w:spacing w:val="-3"/>
        </w:rPr>
        <w:t>la </w:t>
      </w:r>
      <w:r>
        <w:rPr/>
        <w:t>perfusión</w:t>
      </w:r>
      <w:r>
        <w:rPr>
          <w:spacing w:val="-1"/>
        </w:rPr>
        <w:t> </w:t>
      </w:r>
      <w:r>
        <w:rPr/>
        <w:t>renal.</w:t>
      </w:r>
    </w:p>
    <w:p>
      <w:pPr>
        <w:pStyle w:val="BodyText"/>
        <w:spacing w:before="9"/>
        <w:rPr>
          <w:sz w:val="21"/>
        </w:rPr>
      </w:pPr>
    </w:p>
    <w:p>
      <w:pPr>
        <w:pStyle w:val="BodyText"/>
        <w:spacing w:line="276" w:lineRule="auto"/>
        <w:ind w:left="1440" w:right="1"/>
        <w:jc w:val="both"/>
      </w:pPr>
      <w:r>
        <w:rPr>
          <w:b/>
          <w:sz w:val="24"/>
        </w:rPr>
        <w:t>Radiografía de tórax: </w:t>
      </w:r>
      <w:r>
        <w:rPr/>
        <w:t>Aunque se ha sugerido que adecuadamente realizada e interpretada por expertos tiene una alta precisión diagnostica, </w:t>
      </w:r>
      <w:r>
        <w:rPr>
          <w:spacing w:val="-3"/>
        </w:rPr>
        <w:t>la </w:t>
      </w:r>
      <w:r>
        <w:rPr/>
        <w:t>realidad es que en menos del 30% de pacientes existen signos inequívocos de disección. En cuanto a los signos radiológicos, el más característico es el ensanchamiento del mediastino, que se puede evaluar en el tiempo mediante radiografías sucesivas. Otro signo diagnóstico es </w:t>
      </w:r>
      <w:r>
        <w:rPr>
          <w:spacing w:val="-3"/>
        </w:rPr>
        <w:t>la </w:t>
      </w:r>
      <w:r>
        <w:rPr/>
        <w:t>separación entre </w:t>
      </w:r>
      <w:r>
        <w:rPr>
          <w:spacing w:val="-3"/>
        </w:rPr>
        <w:t>la </w:t>
      </w:r>
      <w:r>
        <w:rPr/>
        <w:t>calcificación de </w:t>
      </w:r>
      <w:r>
        <w:rPr>
          <w:spacing w:val="-3"/>
        </w:rPr>
        <w:t>la </w:t>
      </w:r>
      <w:r>
        <w:rPr/>
        <w:t>íntima, en el casos de disección, y </w:t>
      </w:r>
      <w:r>
        <w:rPr>
          <w:spacing w:val="1"/>
        </w:rPr>
        <w:t>el </w:t>
      </w:r>
      <w:r>
        <w:rPr/>
        <w:t>borde externo de </w:t>
      </w:r>
      <w:r>
        <w:rPr>
          <w:spacing w:val="-3"/>
        </w:rPr>
        <w:t>la </w:t>
      </w:r>
      <w:r>
        <w:rPr/>
        <w:t>aorta, así como el desplazamiento de </w:t>
      </w:r>
      <w:r>
        <w:rPr>
          <w:spacing w:val="-3"/>
        </w:rPr>
        <w:t>la </w:t>
      </w:r>
      <w:r>
        <w:rPr/>
        <w:t>tráquea hacia </w:t>
      </w:r>
      <w:r>
        <w:rPr>
          <w:spacing w:val="-3"/>
        </w:rPr>
        <w:t>la </w:t>
      </w:r>
      <w:r>
        <w:rPr/>
        <w:t>derecha, del esófago hacia </w:t>
      </w:r>
      <w:r>
        <w:rPr>
          <w:spacing w:val="-3"/>
        </w:rPr>
        <w:t>la </w:t>
      </w:r>
      <w:r>
        <w:rPr/>
        <w:t>derecha y hacia delante y el ensanchamiento de </w:t>
      </w:r>
      <w:r>
        <w:rPr>
          <w:spacing w:val="-3"/>
        </w:rPr>
        <w:t>la </w:t>
      </w:r>
      <w:r>
        <w:rPr/>
        <w:t>línea paraespinal. Signos sugestivos de sangrado fuera de </w:t>
      </w:r>
      <w:r>
        <w:rPr>
          <w:spacing w:val="-3"/>
        </w:rPr>
        <w:t>la </w:t>
      </w:r>
      <w:r>
        <w:rPr/>
        <w:t>pared arterial son el derrame pleural y </w:t>
      </w:r>
      <w:r>
        <w:rPr>
          <w:spacing w:val="-3"/>
        </w:rPr>
        <w:t>la </w:t>
      </w:r>
      <w:r>
        <w:rPr/>
        <w:t>aparición de un casquete extrapleural en los vértices del tórax. En caso de que se realice un primer estudio de imagen, como </w:t>
      </w:r>
      <w:r>
        <w:rPr>
          <w:spacing w:val="-3"/>
        </w:rPr>
        <w:t>la </w:t>
      </w:r>
      <w:r>
        <w:rPr/>
        <w:t>radiografía, este sea negativo y exista una sospecha alta de tratarse de una disección aórtica, se debe realizar un segundo estudio de imagen.</w:t>
      </w:r>
    </w:p>
    <w:p>
      <w:pPr>
        <w:spacing w:line="276" w:lineRule="auto" w:before="198"/>
        <w:ind w:left="1440" w:right="0" w:firstLine="0"/>
        <w:jc w:val="both"/>
        <w:rPr>
          <w:sz w:val="22"/>
        </w:rPr>
      </w:pPr>
      <w:r>
        <w:rPr>
          <w:b/>
          <w:sz w:val="24"/>
        </w:rPr>
        <w:t>Ultrasonido intravascular</w:t>
      </w:r>
      <w:r>
        <w:rPr>
          <w:sz w:val="22"/>
        </w:rPr>
        <w:t>: Se ha descrito su uso recientemente en la evaluación del paciente con sospecha de</w:t>
      </w:r>
    </w:p>
    <w:p>
      <w:pPr>
        <w:pStyle w:val="BodyText"/>
        <w:spacing w:line="276" w:lineRule="auto" w:before="93"/>
        <w:ind w:left="678" w:right="1434"/>
        <w:jc w:val="both"/>
        <w:rPr>
          <w:i/>
        </w:rPr>
      </w:pPr>
      <w:r>
        <w:rPr/>
        <w:br w:type="column"/>
      </w:r>
      <w:r>
        <w:rPr/>
        <w:t>disección aortica. La sonda es introducida por vía arteria femoral y se avanza por vía retrograda, visualizando la totalidad de la aorta abdominal y torácica. Su mayor utilidad estriba en la información para establecer un correcto planteamiento quirúrgico y para control de procedimientos de fenestración y colocación de prótesis endoluminales (</w:t>
      </w:r>
      <w:r>
        <w:rPr>
          <w:i/>
        </w:rPr>
        <w:t>“stents”).</w:t>
      </w:r>
    </w:p>
    <w:p>
      <w:pPr>
        <w:pStyle w:val="BodyText"/>
        <w:spacing w:before="3"/>
        <w:rPr>
          <w:i/>
          <w:sz w:val="25"/>
        </w:rPr>
      </w:pPr>
    </w:p>
    <w:p>
      <w:pPr>
        <w:pStyle w:val="BodyText"/>
        <w:spacing w:line="276" w:lineRule="auto" w:before="1"/>
        <w:ind w:left="678" w:right="1429"/>
        <w:jc w:val="both"/>
      </w:pPr>
      <w:r>
        <w:rPr>
          <w:b/>
          <w:sz w:val="24"/>
        </w:rPr>
        <w:t>Ecografía</w:t>
      </w:r>
      <w:r>
        <w:rPr>
          <w:b/>
        </w:rPr>
        <w:t>: </w:t>
      </w:r>
      <w:r>
        <w:rPr/>
        <w:t>Es una técnica no invasiva, disponible en </w:t>
      </w:r>
      <w:r>
        <w:rPr>
          <w:spacing w:val="-3"/>
        </w:rPr>
        <w:t>la </w:t>
      </w:r>
      <w:r>
        <w:rPr/>
        <w:t>mayoría de los centros, que no necesita medio de contraste intravenoso y es desplazable a </w:t>
      </w:r>
      <w:r>
        <w:rPr>
          <w:spacing w:val="-3"/>
        </w:rPr>
        <w:t>la </w:t>
      </w:r>
      <w:r>
        <w:rPr/>
        <w:t>cabecera  del paciente. Usada en combinación con ultrasonido doppler e imágenes de flujo a color, da información sobre </w:t>
      </w:r>
      <w:r>
        <w:rPr>
          <w:spacing w:val="-3"/>
        </w:rPr>
        <w:t>la </w:t>
      </w:r>
      <w:r>
        <w:rPr/>
        <w:t>existencia y grado de regurgitación</w:t>
      </w:r>
      <w:r>
        <w:rPr>
          <w:spacing w:val="-2"/>
        </w:rPr>
        <w:t> </w:t>
      </w:r>
      <w:r>
        <w:rPr/>
        <w:t>aortica.</w:t>
      </w:r>
    </w:p>
    <w:p>
      <w:pPr>
        <w:pStyle w:val="BodyText"/>
        <w:spacing w:before="7"/>
        <w:rPr>
          <w:sz w:val="25"/>
        </w:rPr>
      </w:pPr>
    </w:p>
    <w:p>
      <w:pPr>
        <w:pStyle w:val="ListParagraph"/>
        <w:numPr>
          <w:ilvl w:val="0"/>
          <w:numId w:val="4"/>
        </w:numPr>
        <w:tabs>
          <w:tab w:pos="1071" w:val="left" w:leader="none"/>
        </w:tabs>
        <w:spacing w:line="276" w:lineRule="auto" w:before="0" w:after="0"/>
        <w:ind w:left="678" w:right="1432" w:firstLine="0"/>
        <w:jc w:val="both"/>
        <w:rPr>
          <w:sz w:val="22"/>
        </w:rPr>
      </w:pPr>
      <w:r>
        <w:rPr>
          <w:b/>
          <w:i/>
          <w:sz w:val="22"/>
        </w:rPr>
        <w:t>Ecografía transtorácica. </w:t>
      </w:r>
      <w:r>
        <w:rPr>
          <w:sz w:val="22"/>
        </w:rPr>
        <w:t>Tiene baja sensibilidad y especificidad (inferior al 60%), pero un alto valor predictivo positivo. Sus mayores limitaciones son </w:t>
      </w:r>
      <w:r>
        <w:rPr>
          <w:spacing w:val="-3"/>
          <w:sz w:val="22"/>
        </w:rPr>
        <w:t>la </w:t>
      </w:r>
      <w:r>
        <w:rPr>
          <w:sz w:val="22"/>
        </w:rPr>
        <w:t>incapacidad para visualizar </w:t>
      </w:r>
      <w:r>
        <w:rPr>
          <w:spacing w:val="-3"/>
          <w:sz w:val="22"/>
        </w:rPr>
        <w:t>la </w:t>
      </w:r>
      <w:r>
        <w:rPr>
          <w:sz w:val="22"/>
        </w:rPr>
        <w:t>totalidad de </w:t>
      </w:r>
      <w:r>
        <w:rPr>
          <w:spacing w:val="-3"/>
          <w:sz w:val="22"/>
        </w:rPr>
        <w:t>la </w:t>
      </w:r>
      <w:r>
        <w:rPr>
          <w:sz w:val="22"/>
        </w:rPr>
        <w:t>aorta torácica, mala calidad de imagen en un 10% de pacientes (enfisematosos, obesos, ventilación mecánica) y no es capaz de visualizar las arterias</w:t>
      </w:r>
      <w:r>
        <w:rPr>
          <w:spacing w:val="-12"/>
          <w:sz w:val="22"/>
        </w:rPr>
        <w:t> </w:t>
      </w:r>
      <w:r>
        <w:rPr>
          <w:sz w:val="22"/>
        </w:rPr>
        <w:t>coronarias.</w:t>
      </w:r>
    </w:p>
    <w:p>
      <w:pPr>
        <w:pStyle w:val="BodyText"/>
        <w:spacing w:before="2"/>
        <w:rPr>
          <w:sz w:val="25"/>
        </w:rPr>
      </w:pPr>
    </w:p>
    <w:p>
      <w:pPr>
        <w:pStyle w:val="ListParagraph"/>
        <w:numPr>
          <w:ilvl w:val="0"/>
          <w:numId w:val="4"/>
        </w:numPr>
        <w:tabs>
          <w:tab w:pos="1063" w:val="left" w:leader="none"/>
          <w:tab w:pos="2608" w:val="left" w:leader="none"/>
          <w:tab w:pos="3784" w:val="left" w:leader="none"/>
          <w:tab w:pos="4552" w:val="left" w:leader="none"/>
        </w:tabs>
        <w:spacing w:line="276" w:lineRule="auto" w:before="0" w:after="0"/>
        <w:ind w:left="678" w:right="1432" w:firstLine="0"/>
        <w:jc w:val="both"/>
        <w:rPr>
          <w:sz w:val="22"/>
        </w:rPr>
      </w:pPr>
      <w:r>
        <w:rPr>
          <w:b/>
          <w:i/>
          <w:sz w:val="22"/>
        </w:rPr>
        <w:t>Ecografía transesofágica (ETE). </w:t>
      </w:r>
      <w:r>
        <w:rPr>
          <w:sz w:val="22"/>
        </w:rPr>
        <w:t>Es una técnica segura, con alta sensibilidad y especificidad</w:t>
        <w:tab/>
        <w:t>(99%</w:t>
        <w:tab/>
        <w:t>y</w:t>
        <w:tab/>
        <w:t>97% respectivamente). La introducción de sondas biplanares y multiplanares ha posibilitado </w:t>
      </w:r>
      <w:r>
        <w:rPr>
          <w:spacing w:val="-3"/>
          <w:sz w:val="22"/>
        </w:rPr>
        <w:t>la </w:t>
      </w:r>
      <w:r>
        <w:rPr>
          <w:sz w:val="22"/>
        </w:rPr>
        <w:t>visualización de </w:t>
      </w:r>
      <w:r>
        <w:rPr>
          <w:spacing w:val="-3"/>
          <w:sz w:val="22"/>
        </w:rPr>
        <w:t>la </w:t>
      </w:r>
      <w:r>
        <w:rPr>
          <w:sz w:val="22"/>
        </w:rPr>
        <w:t>totalidad de </w:t>
      </w:r>
      <w:r>
        <w:rPr>
          <w:spacing w:val="-3"/>
          <w:sz w:val="22"/>
        </w:rPr>
        <w:t>la </w:t>
      </w:r>
      <w:r>
        <w:rPr>
          <w:sz w:val="22"/>
        </w:rPr>
        <w:t>aorta torácica. Esta técnica tiene muchas ventajas que </w:t>
      </w:r>
      <w:r>
        <w:rPr>
          <w:spacing w:val="-3"/>
          <w:sz w:val="22"/>
        </w:rPr>
        <w:t>la </w:t>
      </w:r>
      <w:r>
        <w:rPr>
          <w:sz w:val="22"/>
        </w:rPr>
        <w:t>recomiendan como de primera elección en pacientes con sospecha de disección Aortica. Cumple plenamente los tres principios básicos: establece el diagnóstico, determina </w:t>
      </w:r>
      <w:r>
        <w:rPr>
          <w:spacing w:val="-3"/>
          <w:sz w:val="22"/>
        </w:rPr>
        <w:t>la </w:t>
      </w:r>
      <w:r>
        <w:rPr>
          <w:sz w:val="22"/>
        </w:rPr>
        <w:t>afectación de aorta ascendente y define </w:t>
      </w:r>
      <w:r>
        <w:rPr>
          <w:spacing w:val="-3"/>
          <w:sz w:val="22"/>
        </w:rPr>
        <w:t>la </w:t>
      </w:r>
      <w:r>
        <w:rPr>
          <w:sz w:val="22"/>
        </w:rPr>
        <w:t>existencia de anatomía</w:t>
      </w:r>
      <w:r>
        <w:rPr>
          <w:spacing w:val="-7"/>
          <w:sz w:val="22"/>
        </w:rPr>
        <w:t> </w:t>
      </w:r>
      <w:r>
        <w:rPr>
          <w:sz w:val="22"/>
        </w:rPr>
        <w:t>anormal.</w:t>
      </w:r>
    </w:p>
    <w:p>
      <w:pPr>
        <w:pStyle w:val="BodyText"/>
        <w:spacing w:before="2"/>
        <w:ind w:left="678"/>
        <w:jc w:val="both"/>
      </w:pPr>
      <w:r>
        <w:rPr/>
        <w:t>El diagnostico mediante ETE de la</w:t>
      </w:r>
    </w:p>
    <w:p>
      <w:pPr>
        <w:spacing w:after="0"/>
        <w:jc w:val="both"/>
        <w:sectPr>
          <w:type w:val="continuous"/>
          <w:pgSz w:w="12240" w:h="15840"/>
          <w:pgMar w:top="1500" w:bottom="0" w:left="0" w:right="0"/>
          <w:cols w:num="2" w:equalWidth="0">
            <w:col w:w="5764" w:space="40"/>
            <w:col w:w="6436"/>
          </w:cols>
        </w:sectPr>
      </w:pPr>
    </w:p>
    <w:p>
      <w:pPr>
        <w:pStyle w:val="BodyText"/>
        <w:rPr>
          <w:sz w:val="20"/>
        </w:rPr>
      </w:pPr>
    </w:p>
    <w:p>
      <w:pPr>
        <w:pStyle w:val="BodyText"/>
        <w:spacing w:before="1"/>
        <w:rPr>
          <w:sz w:val="19"/>
        </w:rPr>
      </w:pPr>
    </w:p>
    <w:p>
      <w:pPr>
        <w:spacing w:line="30" w:lineRule="exact"/>
        <w:ind w:left="1454" w:right="0" w:firstLine="0"/>
        <w:rPr>
          <w:sz w:val="2"/>
        </w:rPr>
      </w:pPr>
      <w:r>
        <w:rPr>
          <w:rFonts w:ascii="Times New Roman"/>
          <w:spacing w:val="10"/>
          <w:sz w:val="2"/>
        </w:rPr>
        <w:t> </w:t>
      </w:r>
      <w:r>
        <w:rPr>
          <w:spacing w:val="10"/>
          <w:position w:val="0"/>
          <w:sz w:val="2"/>
        </w:rPr>
        <w:pict>
          <v:group style="width:465.8pt;height:1.5pt;mso-position-horizontal-relative:char;mso-position-vertical-relative:line" coordorigin="0,0" coordsize="9316,30">
            <v:line style="position:absolute" from="0,15" to="9315,15" stroked="true" strokeweight="1.4649pt" strokecolor="#3366cc">
              <v:stroke dashstyle="solid"/>
            </v:line>
          </v:group>
        </w:pict>
      </w:r>
      <w:r>
        <w:rPr>
          <w:spacing w:val="10"/>
          <w:position w:val="0"/>
          <w:sz w:val="2"/>
        </w:rPr>
      </w:r>
    </w:p>
    <w:p>
      <w:pPr>
        <w:pStyle w:val="BodyText"/>
        <w:spacing w:before="1"/>
        <w:rPr>
          <w:sz w:val="6"/>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407" w:val="left" w:leader="none"/>
                      </w:tabs>
                      <w:spacing w:line="280" w:lineRule="exact" w:before="0"/>
                      <w:ind w:left="0" w:right="0" w:firstLine="0"/>
                      <w:jc w:val="left"/>
                      <w:rPr>
                        <w:rFonts w:ascii="Calibri"/>
                        <w:sz w:val="28"/>
                      </w:rPr>
                    </w:pPr>
                    <w:r>
                      <w:rPr>
                        <w:rFonts w:ascii="Calibri"/>
                        <w:color w:val="FFFFFF"/>
                        <w:sz w:val="28"/>
                        <w:shd w:fill="3366CC" w:color="auto" w:val="clear"/>
                      </w:rPr>
                      <w:t> </w:t>
                      <w:tab/>
                      <w:t>6</w:t>
                    </w:r>
                    <w:r>
                      <w:rPr>
                        <w:rFonts w:ascii="Calibri"/>
                        <w:color w:val="FFFFFF"/>
                        <w:spacing w:val="-20"/>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spacing w:after="0"/>
        <w:rPr>
          <w:sz w:val="20"/>
        </w:rPr>
        <w:sectPr>
          <w:headerReference w:type="default" r:id="rId48"/>
          <w:footerReference w:type="default" r:id="rId49"/>
          <w:pgSz w:w="12240" w:h="15840"/>
          <w:pgMar w:header="723" w:footer="0" w:top="940" w:bottom="280" w:left="0" w:right="0"/>
        </w:sectPr>
      </w:pPr>
    </w:p>
    <w:p>
      <w:pPr>
        <w:pStyle w:val="BodyText"/>
        <w:spacing w:before="8"/>
      </w:pPr>
    </w:p>
    <w:p>
      <w:pPr>
        <w:pStyle w:val="BodyText"/>
        <w:spacing w:line="276" w:lineRule="auto"/>
        <w:ind w:left="1440"/>
        <w:jc w:val="both"/>
      </w:pPr>
      <w:r>
        <w:rPr/>
        <w:t>disección aórtica requiere </w:t>
      </w:r>
      <w:r>
        <w:rPr>
          <w:spacing w:val="-3"/>
        </w:rPr>
        <w:t>la </w:t>
      </w:r>
      <w:r>
        <w:rPr/>
        <w:t>demostración de una luz verdadera y una luz falsa, separadas por un colgajo de </w:t>
      </w:r>
      <w:r>
        <w:rPr>
          <w:spacing w:val="-3"/>
        </w:rPr>
        <w:t>la </w:t>
      </w:r>
      <w:r>
        <w:rPr/>
        <w:t>íntima. Por sus implicaciones terapéuticas, es también necesario confirmar o descartar </w:t>
      </w:r>
      <w:r>
        <w:rPr>
          <w:spacing w:val="-3"/>
        </w:rPr>
        <w:t>la </w:t>
      </w:r>
      <w:r>
        <w:rPr/>
        <w:t>afección de </w:t>
      </w:r>
      <w:r>
        <w:rPr>
          <w:spacing w:val="-3"/>
        </w:rPr>
        <w:t>la </w:t>
      </w:r>
      <w:r>
        <w:rPr/>
        <w:t>aorta ascendente, para clasificar </w:t>
      </w:r>
      <w:r>
        <w:rPr>
          <w:spacing w:val="-3"/>
        </w:rPr>
        <w:t>la </w:t>
      </w:r>
      <w:r>
        <w:rPr/>
        <w:t>disección en tipo A (proximal) o tipo B (distal). Además de su elevada precisión para el diagnóstico y </w:t>
      </w:r>
      <w:r>
        <w:rPr>
          <w:spacing w:val="-3"/>
        </w:rPr>
        <w:t>la </w:t>
      </w:r>
      <w:r>
        <w:rPr/>
        <w:t>localización de </w:t>
      </w:r>
      <w:r>
        <w:rPr>
          <w:spacing w:val="-3"/>
        </w:rPr>
        <w:t>la </w:t>
      </w:r>
      <w:r>
        <w:rPr/>
        <w:t>disección aórtica, </w:t>
      </w:r>
      <w:r>
        <w:rPr>
          <w:spacing w:val="-3"/>
        </w:rPr>
        <w:t>la </w:t>
      </w:r>
      <w:r>
        <w:rPr/>
        <w:t>ETE facilita información detallada sobre otras observaciones de importancia crítica para el tratamiento quirúrgico y/o médico inmediato: el lugar del desgarro primitivo, el flujo y </w:t>
      </w:r>
      <w:r>
        <w:rPr>
          <w:spacing w:val="-3"/>
        </w:rPr>
        <w:t>la </w:t>
      </w:r>
      <w:r>
        <w:rPr/>
        <w:t>formación de trombos en </w:t>
      </w:r>
      <w:r>
        <w:rPr>
          <w:spacing w:val="-3"/>
        </w:rPr>
        <w:t>la </w:t>
      </w:r>
      <w:r>
        <w:rPr/>
        <w:t>luz falsa, </w:t>
      </w:r>
      <w:r>
        <w:rPr>
          <w:spacing w:val="-3"/>
        </w:rPr>
        <w:t>la </w:t>
      </w:r>
      <w:r>
        <w:rPr/>
        <w:t>coexistencia y gravedad de </w:t>
      </w:r>
      <w:r>
        <w:rPr>
          <w:spacing w:val="-3"/>
        </w:rPr>
        <w:t>la </w:t>
      </w:r>
      <w:r>
        <w:rPr/>
        <w:t>incompetencia aórtica y su mecanismo etiológico. La función ventricular y </w:t>
      </w:r>
      <w:r>
        <w:rPr>
          <w:spacing w:val="-3"/>
        </w:rPr>
        <w:t>la </w:t>
      </w:r>
      <w:r>
        <w:rPr/>
        <w:t>presencia de líquido pericárdico también proporcionarán información útil para el correcto abordaje terapéutico. Además, en muchos casos aporta información sobre </w:t>
      </w:r>
      <w:r>
        <w:rPr>
          <w:spacing w:val="-3"/>
        </w:rPr>
        <w:t>la </w:t>
      </w:r>
      <w:r>
        <w:rPr/>
        <w:t>posición relativa de las arterias coronarias y </w:t>
      </w:r>
      <w:r>
        <w:rPr>
          <w:spacing w:val="-3"/>
        </w:rPr>
        <w:t>la </w:t>
      </w:r>
      <w:r>
        <w:rPr/>
        <w:t>afección de los vasos del cuello. Con </w:t>
      </w:r>
      <w:r>
        <w:rPr>
          <w:spacing w:val="-3"/>
        </w:rPr>
        <w:t>la </w:t>
      </w:r>
      <w:r>
        <w:rPr/>
        <w:t>ecografía en modo multiplicar se han podido detectar colgajos de </w:t>
      </w:r>
      <w:r>
        <w:rPr>
          <w:spacing w:val="-3"/>
        </w:rPr>
        <w:t>la </w:t>
      </w:r>
      <w:r>
        <w:rPr/>
        <w:t>íntima en </w:t>
      </w:r>
      <w:r>
        <w:rPr>
          <w:spacing w:val="-3"/>
        </w:rPr>
        <w:t>la </w:t>
      </w:r>
      <w:r>
        <w:rPr/>
        <w:t>aorta ascendente y describir criterios específicos. Se ha observado engrosamiento de </w:t>
      </w:r>
      <w:r>
        <w:rPr>
          <w:spacing w:val="-3"/>
        </w:rPr>
        <w:t>la </w:t>
      </w:r>
      <w:r>
        <w:rPr/>
        <w:t>pared aórtica, dilatación de </w:t>
      </w:r>
      <w:r>
        <w:rPr>
          <w:spacing w:val="-3"/>
        </w:rPr>
        <w:t>la </w:t>
      </w:r>
      <w:r>
        <w:rPr/>
        <w:t>raíz aórtica y engrosamiento de </w:t>
      </w:r>
      <w:r>
        <w:rPr>
          <w:spacing w:val="-3"/>
        </w:rPr>
        <w:t>la </w:t>
      </w:r>
      <w:r>
        <w:rPr/>
        <w:t>pared posterior. El modo multiplicar también ha sido descrito como una herramienta útil para diferenciar auténticos colgajos de posibles</w:t>
      </w:r>
      <w:r>
        <w:rPr>
          <w:spacing w:val="-14"/>
        </w:rPr>
        <w:t> </w:t>
      </w:r>
      <w:r>
        <w:rPr/>
        <w:t>artefactos.</w:t>
      </w:r>
    </w:p>
    <w:p>
      <w:pPr>
        <w:pStyle w:val="BodyText"/>
        <w:spacing w:before="3"/>
        <w:rPr>
          <w:sz w:val="25"/>
        </w:rPr>
      </w:pPr>
    </w:p>
    <w:p>
      <w:pPr>
        <w:pStyle w:val="Heading4"/>
        <w:spacing w:line="276" w:lineRule="auto" w:before="1"/>
        <w:ind w:right="72" w:firstLine="68"/>
        <w:jc w:val="both"/>
      </w:pPr>
      <w:r>
        <w:rPr/>
        <w:t>Diferenciación entre la luz</w:t>
      </w:r>
      <w:r>
        <w:rPr>
          <w:spacing w:val="-22"/>
        </w:rPr>
        <w:t> </w:t>
      </w:r>
      <w:r>
        <w:rPr/>
        <w:t>verdadera y la luz</w:t>
      </w:r>
      <w:r>
        <w:rPr>
          <w:spacing w:val="-6"/>
        </w:rPr>
        <w:t> </w:t>
      </w:r>
      <w:r>
        <w:rPr/>
        <w:t>falsa.</w:t>
      </w:r>
    </w:p>
    <w:p>
      <w:pPr>
        <w:pStyle w:val="BodyText"/>
        <w:spacing w:before="10"/>
        <w:rPr>
          <w:b/>
          <w:sz w:val="24"/>
        </w:rPr>
      </w:pPr>
    </w:p>
    <w:p>
      <w:pPr>
        <w:pStyle w:val="BodyText"/>
        <w:spacing w:line="276" w:lineRule="auto"/>
        <w:ind w:left="1440" w:right="1"/>
        <w:jc w:val="both"/>
      </w:pPr>
      <w:r>
        <w:rPr/>
        <w:t>La distinción entre </w:t>
      </w:r>
      <w:r>
        <w:rPr>
          <w:spacing w:val="-3"/>
        </w:rPr>
        <w:t>la </w:t>
      </w:r>
      <w:r>
        <w:rPr/>
        <w:t>luz verdadera y </w:t>
      </w:r>
      <w:r>
        <w:rPr>
          <w:spacing w:val="-3"/>
        </w:rPr>
        <w:t>la </w:t>
      </w:r>
      <w:r>
        <w:rPr/>
        <w:t>luz falsa ha sido considerada un aspecto importante en </w:t>
      </w:r>
      <w:r>
        <w:rPr>
          <w:spacing w:val="-3"/>
        </w:rPr>
        <w:t>la </w:t>
      </w:r>
      <w:r>
        <w:rPr/>
        <w:t>evaluación de los pacientes con disección y se puede realizar atendiendo a diversos criterios (Tabla </w:t>
      </w:r>
      <w:r>
        <w:rPr>
          <w:spacing w:val="1"/>
        </w:rPr>
        <w:t>1). </w:t>
      </w:r>
      <w:r>
        <w:rPr/>
        <w:t>El colgajo intimomedial se mueve hacia </w:t>
      </w:r>
      <w:r>
        <w:rPr>
          <w:spacing w:val="-3"/>
        </w:rPr>
        <w:t>la </w:t>
      </w:r>
      <w:r>
        <w:rPr/>
        <w:t>luz falsa</w:t>
      </w:r>
      <w:r>
        <w:rPr>
          <w:spacing w:val="11"/>
        </w:rPr>
        <w:t> </w:t>
      </w:r>
      <w:r>
        <w:rPr/>
        <w:t>en</w:t>
      </w:r>
      <w:r>
        <w:rPr>
          <w:spacing w:val="11"/>
        </w:rPr>
        <w:t> </w:t>
      </w:r>
      <w:r>
        <w:rPr/>
        <w:t>sístole</w:t>
      </w:r>
      <w:r>
        <w:rPr>
          <w:spacing w:val="11"/>
        </w:rPr>
        <w:t> </w:t>
      </w:r>
      <w:r>
        <w:rPr/>
        <w:t>(expansión</w:t>
      </w:r>
      <w:r>
        <w:rPr>
          <w:spacing w:val="11"/>
        </w:rPr>
        <w:t> </w:t>
      </w:r>
      <w:r>
        <w:rPr/>
        <w:t>sistólica</w:t>
      </w:r>
      <w:r>
        <w:rPr>
          <w:spacing w:val="11"/>
        </w:rPr>
        <w:t> </w:t>
      </w:r>
      <w:r>
        <w:rPr/>
        <w:t>y</w:t>
      </w:r>
    </w:p>
    <w:p>
      <w:pPr>
        <w:pStyle w:val="BodyText"/>
        <w:spacing w:before="8"/>
      </w:pPr>
      <w:r>
        <w:rPr/>
        <w:br w:type="column"/>
      </w:r>
      <w:r>
        <w:rPr/>
      </w:r>
    </w:p>
    <w:p>
      <w:pPr>
        <w:pStyle w:val="BodyText"/>
        <w:spacing w:line="276" w:lineRule="auto"/>
        <w:ind w:left="677" w:right="1436"/>
        <w:jc w:val="both"/>
      </w:pPr>
      <w:r>
        <w:rPr/>
        <w:t>comprensión diastólica de </w:t>
      </w:r>
      <w:r>
        <w:rPr>
          <w:spacing w:val="-3"/>
        </w:rPr>
        <w:t>la </w:t>
      </w:r>
      <w:r>
        <w:rPr/>
        <w:t>luz verdadera). Se puede observar autocontraste y un grado variable de trombosis en </w:t>
      </w:r>
      <w:r>
        <w:rPr>
          <w:spacing w:val="-3"/>
        </w:rPr>
        <w:t>la </w:t>
      </w:r>
      <w:r>
        <w:rPr/>
        <w:t>luz falsa. La luz verdadera suele ser más pequeña y </w:t>
      </w:r>
      <w:r>
        <w:rPr>
          <w:spacing w:val="-3"/>
        </w:rPr>
        <w:t>la</w:t>
      </w:r>
      <w:r>
        <w:rPr>
          <w:spacing w:val="12"/>
        </w:rPr>
        <w:t> </w:t>
      </w:r>
      <w:r>
        <w:rPr/>
        <w:t>falsa</w:t>
      </w:r>
      <w:r>
        <w:rPr>
          <w:spacing w:val="10"/>
        </w:rPr>
        <w:t> </w:t>
      </w:r>
      <w:r>
        <w:rPr/>
        <w:t>afecta</w:t>
      </w:r>
      <w:r>
        <w:rPr>
          <w:spacing w:val="5"/>
        </w:rPr>
        <w:t> </w:t>
      </w:r>
      <w:r>
        <w:rPr/>
        <w:t>a</w:t>
      </w:r>
      <w:r>
        <w:rPr>
          <w:spacing w:val="5"/>
        </w:rPr>
        <w:t> </w:t>
      </w:r>
      <w:r>
        <w:rPr/>
        <w:t>más</w:t>
      </w:r>
      <w:r>
        <w:rPr>
          <w:spacing w:val="5"/>
        </w:rPr>
        <w:t> </w:t>
      </w:r>
      <w:r>
        <w:rPr/>
        <w:t>de</w:t>
      </w:r>
      <w:r>
        <w:rPr>
          <w:spacing w:val="10"/>
        </w:rPr>
        <w:t> </w:t>
      </w:r>
      <w:r>
        <w:rPr>
          <w:spacing w:val="-3"/>
        </w:rPr>
        <w:t>la</w:t>
      </w:r>
      <w:r>
        <w:rPr>
          <w:spacing w:val="8"/>
        </w:rPr>
        <w:t> </w:t>
      </w:r>
      <w:r>
        <w:rPr/>
        <w:t>mitad</w:t>
      </w:r>
      <w:r>
        <w:rPr>
          <w:spacing w:val="10"/>
        </w:rPr>
        <w:t> </w:t>
      </w:r>
      <w:r>
        <w:rPr/>
        <w:t>de</w:t>
      </w:r>
      <w:r>
        <w:rPr>
          <w:spacing w:val="5"/>
        </w:rPr>
        <w:t> </w:t>
      </w:r>
      <w:r>
        <w:rPr>
          <w:spacing w:val="-3"/>
        </w:rPr>
        <w:t>la</w:t>
      </w:r>
    </w:p>
    <w:p>
      <w:pPr>
        <w:pStyle w:val="BodyText"/>
        <w:spacing w:before="5"/>
        <w:rPr>
          <w:sz w:val="3"/>
        </w:rPr>
      </w:pPr>
    </w:p>
    <w:tbl>
      <w:tblPr>
        <w:tblW w:w="0" w:type="auto"/>
        <w:jc w:val="left"/>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3"/>
        <w:gridCol w:w="1277"/>
        <w:gridCol w:w="1701"/>
      </w:tblGrid>
      <w:tr>
        <w:trPr>
          <w:trHeight w:val="490" w:hRule="atLeast"/>
        </w:trPr>
        <w:tc>
          <w:tcPr>
            <w:tcW w:w="4471" w:type="dxa"/>
            <w:gridSpan w:val="3"/>
          </w:tcPr>
          <w:p>
            <w:pPr>
              <w:pStyle w:val="TableParagraph"/>
              <w:spacing w:before="1"/>
              <w:ind w:left="270"/>
              <w:rPr>
                <w:sz w:val="22"/>
              </w:rPr>
            </w:pPr>
            <w:r>
              <w:rPr>
                <w:sz w:val="22"/>
              </w:rPr>
              <w:t>Tabla1 Criterios de diferenciación de luz</w:t>
            </w:r>
          </w:p>
        </w:tc>
      </w:tr>
      <w:tr>
        <w:trPr>
          <w:trHeight w:val="230" w:hRule="atLeast"/>
        </w:trPr>
        <w:tc>
          <w:tcPr>
            <w:tcW w:w="1493" w:type="dxa"/>
          </w:tcPr>
          <w:p>
            <w:pPr>
              <w:pStyle w:val="TableParagraph"/>
              <w:ind w:left="0"/>
              <w:rPr>
                <w:rFonts w:ascii="Times New Roman"/>
                <w:sz w:val="16"/>
              </w:rPr>
            </w:pPr>
          </w:p>
        </w:tc>
        <w:tc>
          <w:tcPr>
            <w:tcW w:w="1277" w:type="dxa"/>
          </w:tcPr>
          <w:p>
            <w:pPr>
              <w:pStyle w:val="TableParagraph"/>
              <w:spacing w:line="210" w:lineRule="exact"/>
              <w:ind w:left="198"/>
              <w:rPr>
                <w:sz w:val="20"/>
              </w:rPr>
            </w:pPr>
            <w:r>
              <w:rPr>
                <w:sz w:val="20"/>
              </w:rPr>
              <w:t>Luz Falsa</w:t>
            </w:r>
          </w:p>
        </w:tc>
        <w:tc>
          <w:tcPr>
            <w:tcW w:w="1701" w:type="dxa"/>
          </w:tcPr>
          <w:p>
            <w:pPr>
              <w:pStyle w:val="TableParagraph"/>
              <w:spacing w:line="210" w:lineRule="exact"/>
              <w:ind w:left="201"/>
              <w:rPr>
                <w:sz w:val="20"/>
              </w:rPr>
            </w:pPr>
            <w:r>
              <w:rPr>
                <w:sz w:val="20"/>
              </w:rPr>
              <w:t>Luz verdadera</w:t>
            </w:r>
          </w:p>
        </w:tc>
      </w:tr>
      <w:tr>
        <w:trPr>
          <w:trHeight w:val="430" w:hRule="atLeast"/>
        </w:trPr>
        <w:tc>
          <w:tcPr>
            <w:tcW w:w="1493" w:type="dxa"/>
          </w:tcPr>
          <w:p>
            <w:pPr>
              <w:pStyle w:val="TableParagraph"/>
              <w:spacing w:line="229" w:lineRule="exact"/>
              <w:ind w:left="106"/>
              <w:rPr>
                <w:sz w:val="20"/>
              </w:rPr>
            </w:pPr>
            <w:r>
              <w:rPr>
                <w:sz w:val="20"/>
              </w:rPr>
              <w:t>Sístole</w:t>
            </w:r>
          </w:p>
        </w:tc>
        <w:tc>
          <w:tcPr>
            <w:tcW w:w="1277" w:type="dxa"/>
          </w:tcPr>
          <w:p>
            <w:pPr>
              <w:pStyle w:val="TableParagraph"/>
              <w:spacing w:line="229" w:lineRule="exact"/>
              <w:ind w:left="102"/>
              <w:rPr>
                <w:sz w:val="20"/>
              </w:rPr>
            </w:pPr>
            <w:r>
              <w:rPr>
                <w:sz w:val="20"/>
              </w:rPr>
              <w:t>Disminuye</w:t>
            </w:r>
          </w:p>
        </w:tc>
        <w:tc>
          <w:tcPr>
            <w:tcW w:w="1701" w:type="dxa"/>
          </w:tcPr>
          <w:p>
            <w:pPr>
              <w:pStyle w:val="TableParagraph"/>
              <w:spacing w:line="229" w:lineRule="exact"/>
              <w:ind w:left="101"/>
              <w:rPr>
                <w:sz w:val="20"/>
              </w:rPr>
            </w:pPr>
            <w:r>
              <w:rPr>
                <w:sz w:val="20"/>
              </w:rPr>
              <w:t>Aumenta</w:t>
            </w:r>
          </w:p>
        </w:tc>
      </w:tr>
      <w:tr>
        <w:trPr>
          <w:trHeight w:val="230" w:hRule="atLeast"/>
        </w:trPr>
        <w:tc>
          <w:tcPr>
            <w:tcW w:w="1493" w:type="dxa"/>
          </w:tcPr>
          <w:p>
            <w:pPr>
              <w:pStyle w:val="TableParagraph"/>
              <w:spacing w:line="210" w:lineRule="exact"/>
              <w:ind w:left="106"/>
              <w:rPr>
                <w:sz w:val="20"/>
              </w:rPr>
            </w:pPr>
            <w:r>
              <w:rPr>
                <w:sz w:val="20"/>
              </w:rPr>
              <w:t>Autocontraste</w:t>
            </w:r>
          </w:p>
        </w:tc>
        <w:tc>
          <w:tcPr>
            <w:tcW w:w="1277" w:type="dxa"/>
          </w:tcPr>
          <w:p>
            <w:pPr>
              <w:pStyle w:val="TableParagraph"/>
              <w:spacing w:line="210" w:lineRule="exact"/>
              <w:ind w:left="102"/>
              <w:rPr>
                <w:sz w:val="20"/>
              </w:rPr>
            </w:pPr>
            <w:r>
              <w:rPr>
                <w:sz w:val="20"/>
              </w:rPr>
              <w:t>Sí</w:t>
            </w:r>
          </w:p>
        </w:tc>
        <w:tc>
          <w:tcPr>
            <w:tcW w:w="1701" w:type="dxa"/>
          </w:tcPr>
          <w:p>
            <w:pPr>
              <w:pStyle w:val="TableParagraph"/>
              <w:spacing w:line="210" w:lineRule="exact"/>
              <w:ind w:left="101"/>
              <w:rPr>
                <w:sz w:val="20"/>
              </w:rPr>
            </w:pPr>
            <w:r>
              <w:rPr>
                <w:sz w:val="20"/>
              </w:rPr>
              <w:t>No</w:t>
            </w:r>
          </w:p>
        </w:tc>
      </w:tr>
      <w:tr>
        <w:trPr>
          <w:trHeight w:val="230" w:hRule="atLeast"/>
        </w:trPr>
        <w:tc>
          <w:tcPr>
            <w:tcW w:w="1493" w:type="dxa"/>
          </w:tcPr>
          <w:p>
            <w:pPr>
              <w:pStyle w:val="TableParagraph"/>
              <w:spacing w:line="210" w:lineRule="exact"/>
              <w:ind w:left="106"/>
              <w:rPr>
                <w:sz w:val="20"/>
              </w:rPr>
            </w:pPr>
            <w:r>
              <w:rPr>
                <w:sz w:val="20"/>
              </w:rPr>
              <w:t>Trombosis</w:t>
            </w:r>
          </w:p>
        </w:tc>
        <w:tc>
          <w:tcPr>
            <w:tcW w:w="1277" w:type="dxa"/>
          </w:tcPr>
          <w:p>
            <w:pPr>
              <w:pStyle w:val="TableParagraph"/>
              <w:spacing w:line="210" w:lineRule="exact"/>
              <w:ind w:left="102"/>
              <w:rPr>
                <w:sz w:val="20"/>
              </w:rPr>
            </w:pPr>
            <w:r>
              <w:rPr>
                <w:sz w:val="20"/>
              </w:rPr>
              <w:t>Sí</w:t>
            </w:r>
          </w:p>
        </w:tc>
        <w:tc>
          <w:tcPr>
            <w:tcW w:w="1701" w:type="dxa"/>
          </w:tcPr>
          <w:p>
            <w:pPr>
              <w:pStyle w:val="TableParagraph"/>
              <w:spacing w:line="210" w:lineRule="exact"/>
              <w:ind w:left="101"/>
              <w:rPr>
                <w:sz w:val="20"/>
              </w:rPr>
            </w:pPr>
            <w:r>
              <w:rPr>
                <w:sz w:val="20"/>
              </w:rPr>
              <w:t>No</w:t>
            </w:r>
          </w:p>
        </w:tc>
      </w:tr>
      <w:tr>
        <w:trPr>
          <w:trHeight w:val="230" w:hRule="atLeast"/>
        </w:trPr>
        <w:tc>
          <w:tcPr>
            <w:tcW w:w="1493" w:type="dxa"/>
          </w:tcPr>
          <w:p>
            <w:pPr>
              <w:pStyle w:val="TableParagraph"/>
              <w:spacing w:line="210" w:lineRule="exact"/>
              <w:ind w:left="106"/>
              <w:rPr>
                <w:sz w:val="20"/>
              </w:rPr>
            </w:pPr>
            <w:r>
              <w:rPr>
                <w:sz w:val="20"/>
              </w:rPr>
              <w:t>Tamaño</w:t>
            </w:r>
          </w:p>
        </w:tc>
        <w:tc>
          <w:tcPr>
            <w:tcW w:w="1277" w:type="dxa"/>
          </w:tcPr>
          <w:p>
            <w:pPr>
              <w:pStyle w:val="TableParagraph"/>
              <w:spacing w:line="210" w:lineRule="exact"/>
              <w:ind w:left="102"/>
              <w:rPr>
                <w:sz w:val="20"/>
              </w:rPr>
            </w:pPr>
            <w:r>
              <w:rPr>
                <w:sz w:val="20"/>
              </w:rPr>
              <w:t>Grande</w:t>
            </w:r>
          </w:p>
        </w:tc>
        <w:tc>
          <w:tcPr>
            <w:tcW w:w="1701" w:type="dxa"/>
          </w:tcPr>
          <w:p>
            <w:pPr>
              <w:pStyle w:val="TableParagraph"/>
              <w:spacing w:line="210" w:lineRule="exact"/>
              <w:ind w:left="101"/>
              <w:rPr>
                <w:sz w:val="20"/>
              </w:rPr>
            </w:pPr>
            <w:r>
              <w:rPr>
                <w:sz w:val="20"/>
              </w:rPr>
              <w:t>Pequeño</w:t>
            </w:r>
          </w:p>
        </w:tc>
      </w:tr>
      <w:tr>
        <w:trPr>
          <w:trHeight w:val="230" w:hRule="atLeast"/>
        </w:trPr>
        <w:tc>
          <w:tcPr>
            <w:tcW w:w="1493" w:type="dxa"/>
          </w:tcPr>
          <w:p>
            <w:pPr>
              <w:pStyle w:val="TableParagraph"/>
              <w:spacing w:line="210" w:lineRule="exact"/>
              <w:ind w:left="106"/>
              <w:rPr>
                <w:sz w:val="20"/>
              </w:rPr>
            </w:pPr>
            <w:r>
              <w:rPr>
                <w:sz w:val="20"/>
              </w:rPr>
              <w:t>Pared externa</w:t>
            </w:r>
          </w:p>
        </w:tc>
        <w:tc>
          <w:tcPr>
            <w:tcW w:w="1277" w:type="dxa"/>
          </w:tcPr>
          <w:p>
            <w:pPr>
              <w:pStyle w:val="TableParagraph"/>
              <w:spacing w:line="210" w:lineRule="exact"/>
              <w:ind w:left="102"/>
              <w:rPr>
                <w:sz w:val="20"/>
              </w:rPr>
            </w:pPr>
            <w:r>
              <w:rPr>
                <w:sz w:val="20"/>
              </w:rPr>
              <w:t>Delgada</w:t>
            </w:r>
          </w:p>
        </w:tc>
        <w:tc>
          <w:tcPr>
            <w:tcW w:w="1701" w:type="dxa"/>
          </w:tcPr>
          <w:p>
            <w:pPr>
              <w:pStyle w:val="TableParagraph"/>
              <w:spacing w:line="210" w:lineRule="exact"/>
              <w:ind w:left="101"/>
              <w:rPr>
                <w:sz w:val="20"/>
              </w:rPr>
            </w:pPr>
            <w:r>
              <w:rPr>
                <w:sz w:val="20"/>
              </w:rPr>
              <w:t>Grasa</w:t>
            </w:r>
          </w:p>
        </w:tc>
      </w:tr>
      <w:tr>
        <w:trPr>
          <w:trHeight w:val="462" w:hRule="atLeast"/>
        </w:trPr>
        <w:tc>
          <w:tcPr>
            <w:tcW w:w="1493" w:type="dxa"/>
          </w:tcPr>
          <w:p>
            <w:pPr>
              <w:pStyle w:val="TableParagraph"/>
              <w:spacing w:line="229" w:lineRule="exact"/>
              <w:ind w:left="106"/>
              <w:rPr>
                <w:sz w:val="20"/>
              </w:rPr>
            </w:pPr>
            <w:r>
              <w:rPr>
                <w:sz w:val="20"/>
              </w:rPr>
              <w:t>Flujo</w:t>
            </w:r>
          </w:p>
        </w:tc>
        <w:tc>
          <w:tcPr>
            <w:tcW w:w="1277" w:type="dxa"/>
          </w:tcPr>
          <w:p>
            <w:pPr>
              <w:pStyle w:val="TableParagraph"/>
              <w:spacing w:line="228" w:lineRule="exact" w:before="4"/>
              <w:ind w:left="102" w:right="199"/>
              <w:rPr>
                <w:sz w:val="20"/>
              </w:rPr>
            </w:pPr>
            <w:r>
              <w:rPr>
                <w:sz w:val="20"/>
              </w:rPr>
              <w:t>Lento o de remolino</w:t>
            </w:r>
          </w:p>
        </w:tc>
        <w:tc>
          <w:tcPr>
            <w:tcW w:w="1701" w:type="dxa"/>
          </w:tcPr>
          <w:p>
            <w:pPr>
              <w:pStyle w:val="TableParagraph"/>
              <w:spacing w:line="229" w:lineRule="exact"/>
              <w:ind w:left="101"/>
              <w:rPr>
                <w:sz w:val="20"/>
              </w:rPr>
            </w:pPr>
            <w:r>
              <w:rPr>
                <w:sz w:val="20"/>
              </w:rPr>
              <w:t>Sistólico Precoz</w:t>
            </w:r>
          </w:p>
        </w:tc>
      </w:tr>
      <w:tr>
        <w:trPr>
          <w:trHeight w:val="458" w:hRule="atLeast"/>
        </w:trPr>
        <w:tc>
          <w:tcPr>
            <w:tcW w:w="1493" w:type="dxa"/>
          </w:tcPr>
          <w:p>
            <w:pPr>
              <w:pStyle w:val="TableParagraph"/>
              <w:spacing w:line="225" w:lineRule="exact"/>
              <w:ind w:left="70"/>
              <w:rPr>
                <w:sz w:val="20"/>
              </w:rPr>
            </w:pPr>
            <w:r>
              <w:rPr>
                <w:sz w:val="20"/>
              </w:rPr>
              <w:t>Signo de la</w:t>
            </w:r>
          </w:p>
          <w:p>
            <w:pPr>
              <w:pStyle w:val="TableParagraph"/>
              <w:spacing w:line="211" w:lineRule="exact" w:before="2"/>
              <w:ind w:left="70"/>
              <w:rPr>
                <w:sz w:val="20"/>
              </w:rPr>
            </w:pPr>
            <w:r>
              <w:rPr>
                <w:sz w:val="20"/>
              </w:rPr>
              <w:t>telaraña</w:t>
            </w:r>
          </w:p>
        </w:tc>
        <w:tc>
          <w:tcPr>
            <w:tcW w:w="1277" w:type="dxa"/>
          </w:tcPr>
          <w:p>
            <w:pPr>
              <w:pStyle w:val="TableParagraph"/>
              <w:spacing w:line="225" w:lineRule="exact"/>
              <w:ind w:left="66"/>
              <w:rPr>
                <w:sz w:val="20"/>
              </w:rPr>
            </w:pPr>
            <w:r>
              <w:rPr>
                <w:sz w:val="20"/>
              </w:rPr>
              <w:t>Sí</w:t>
            </w:r>
          </w:p>
        </w:tc>
        <w:tc>
          <w:tcPr>
            <w:tcW w:w="1701" w:type="dxa"/>
          </w:tcPr>
          <w:p>
            <w:pPr>
              <w:pStyle w:val="TableParagraph"/>
              <w:spacing w:line="225" w:lineRule="exact"/>
              <w:ind w:left="65"/>
              <w:rPr>
                <w:sz w:val="20"/>
              </w:rPr>
            </w:pPr>
            <w:r>
              <w:rPr>
                <w:sz w:val="20"/>
              </w:rPr>
              <w:t>No</w:t>
            </w:r>
          </w:p>
        </w:tc>
      </w:tr>
    </w:tbl>
    <w:p>
      <w:pPr>
        <w:pStyle w:val="BodyText"/>
        <w:spacing w:line="276" w:lineRule="auto" w:before="2"/>
        <w:ind w:left="677" w:right="1432"/>
        <w:jc w:val="both"/>
      </w:pPr>
      <w:r>
        <w:rPr/>
        <w:t>circunferencia aórtica. La pared externa de </w:t>
      </w:r>
      <w:r>
        <w:rPr>
          <w:spacing w:val="-3"/>
        </w:rPr>
        <w:t>la </w:t>
      </w:r>
      <w:r>
        <w:rPr/>
        <w:t>luz falsa es más delgada que </w:t>
      </w:r>
      <w:r>
        <w:rPr>
          <w:spacing w:val="-3"/>
        </w:rPr>
        <w:t>la </w:t>
      </w:r>
      <w:r>
        <w:rPr/>
        <w:t>pared externa de </w:t>
      </w:r>
      <w:r>
        <w:rPr>
          <w:spacing w:val="-3"/>
        </w:rPr>
        <w:t>la </w:t>
      </w:r>
      <w:r>
        <w:rPr/>
        <w:t>luz verdadera. En </w:t>
      </w:r>
      <w:r>
        <w:rPr>
          <w:spacing w:val="-3"/>
        </w:rPr>
        <w:t>la </w:t>
      </w:r>
      <w:r>
        <w:rPr/>
        <w:t>luz verdadera se observa un flujo laminar sistólico precoz, mientras que en </w:t>
      </w:r>
      <w:r>
        <w:rPr>
          <w:spacing w:val="-3"/>
        </w:rPr>
        <w:t>la </w:t>
      </w:r>
      <w:r>
        <w:rPr/>
        <w:t>falsa se puede detectar un patrón de flujo circulante lento o de remolino, flujo sistólico tardío o flujo diastólico. Un hallazgo eco cardiográfico inherente a </w:t>
      </w:r>
      <w:r>
        <w:rPr>
          <w:spacing w:val="-3"/>
        </w:rPr>
        <w:t>la </w:t>
      </w:r>
      <w:r>
        <w:rPr/>
        <w:t>luz falsa es el "signo de </w:t>
      </w:r>
      <w:r>
        <w:rPr>
          <w:spacing w:val="-3"/>
        </w:rPr>
        <w:t>la </w:t>
      </w:r>
      <w:r>
        <w:rPr/>
        <w:t>telaraña". Se trata de líneas eco densas que van desde </w:t>
      </w:r>
      <w:r>
        <w:rPr>
          <w:spacing w:val="-3"/>
        </w:rPr>
        <w:t>la </w:t>
      </w:r>
      <w:r>
        <w:rPr/>
        <w:t>pared externa de </w:t>
      </w:r>
      <w:r>
        <w:rPr>
          <w:spacing w:val="-3"/>
        </w:rPr>
        <w:t>la </w:t>
      </w:r>
      <w:r>
        <w:rPr/>
        <w:t>luz falsa hasta el colgajo intimo medial a modo de puente de unión entre ambas estructuras (fig. 3). Se detectan casi exclusivamente en </w:t>
      </w:r>
      <w:r>
        <w:rPr>
          <w:spacing w:val="-3"/>
        </w:rPr>
        <w:t>la </w:t>
      </w:r>
      <w:r>
        <w:rPr/>
        <w:t>aorta torácica descendente (disección tipo I y III), tanto en las disecciones agudas como en las crónicas y anatómicamente corresponden a restos de </w:t>
      </w:r>
      <w:r>
        <w:rPr>
          <w:spacing w:val="-3"/>
        </w:rPr>
        <w:t>la </w:t>
      </w:r>
      <w:r>
        <w:rPr/>
        <w:t>capa</w:t>
      </w:r>
      <w:r>
        <w:rPr>
          <w:spacing w:val="-2"/>
        </w:rPr>
        <w:t> </w:t>
      </w:r>
      <w:r>
        <w:rPr/>
        <w:t>media.</w:t>
      </w:r>
    </w:p>
    <w:p>
      <w:pPr>
        <w:pStyle w:val="BodyText"/>
        <w:spacing w:before="7"/>
        <w:rPr>
          <w:sz w:val="24"/>
        </w:rPr>
      </w:pPr>
    </w:p>
    <w:p>
      <w:pPr>
        <w:pStyle w:val="BodyText"/>
        <w:spacing w:line="276" w:lineRule="auto"/>
        <w:ind w:left="677" w:right="1433"/>
        <w:jc w:val="both"/>
      </w:pPr>
      <w:r>
        <w:rPr>
          <w:b/>
          <w:i/>
          <w:sz w:val="24"/>
        </w:rPr>
        <w:t>Tratamiento quirúrgico: </w:t>
      </w:r>
      <w:r>
        <w:rPr/>
        <w:t>La cirugía es el tratamiento de elección. Las disecciones aorticas tipo A tienen una mortalidad del 50% si no se opera en 48 h. Todos los pacientes con disección aortica de tipo A deberían ser intervenidos quirúrgicamente. La que inicia en la aorta ascendente, compromete seriamente la vida</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3"/>
        <w:rPr>
          <w:sz w:val="14"/>
        </w:rPr>
      </w:pPr>
    </w:p>
    <w:p>
      <w:pPr>
        <w:pStyle w:val="BodyText"/>
        <w:ind w:left="1444"/>
        <w:rPr>
          <w:sz w:val="20"/>
        </w:rPr>
      </w:pPr>
      <w:r>
        <w:rPr>
          <w:sz w:val="20"/>
        </w:rPr>
        <w:pict>
          <v:group style="width:504.3pt;height:25.5pt;mso-position-horizontal-relative:char;mso-position-vertical-relative:line" coordorigin="0,0" coordsize="10086,510">
            <v:shape style="position:absolute;left:9376;top:101;width:660;height:300" type="#_x0000_t75" stroked="false">
              <v:imagedata r:id="rId36" o:title=""/>
            </v:shape>
            <v:rect style="position:absolute;left:25;top:10;width:9286;height:30" filled="true" fillcolor="#3366cc" stroked="false">
              <v:fill type="solid"/>
            </v:rect>
            <v:rect style="position:absolute;left:15;top:0;width:9306;height:50" filled="true" fillcolor="#006fc0" stroked="false">
              <v:fill type="solid"/>
            </v:rect>
            <v:shape style="position:absolute;left:0;top:189;width:9276;height:320" type="#_x0000_t75" stroked="false">
              <v:imagedata r:id="rId50" o:title=""/>
            </v:shape>
            <v:shape style="position:absolute;left:2377;top:196;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9346;top:159;width:740;height:280" type="#_x0000_t202" filled="false" stroked="false">
              <v:textbox inset="0,0,0,0">
                <w:txbxContent>
                  <w:p>
                    <w:pPr>
                      <w:tabs>
                        <w:tab w:pos="409" w:val="left" w:leader="none"/>
                      </w:tabs>
                      <w:spacing w:line="280" w:lineRule="exact" w:before="0"/>
                      <w:ind w:left="0" w:right="0" w:firstLine="0"/>
                      <w:jc w:val="left"/>
                      <w:rPr>
                        <w:rFonts w:ascii="Calibri"/>
                        <w:sz w:val="28"/>
                      </w:rPr>
                    </w:pPr>
                    <w:r>
                      <w:rPr>
                        <w:rFonts w:ascii="Calibri"/>
                        <w:color w:val="FFFFFF"/>
                        <w:sz w:val="28"/>
                        <w:shd w:fill="3366CC" w:color="auto" w:val="clear"/>
                      </w:rPr>
                      <w:t> </w:t>
                      <w:tab/>
                      <w:t>7</w:t>
                    </w:r>
                    <w:r>
                      <w:rPr>
                        <w:rFonts w:ascii="Calibri"/>
                        <w:color w:val="FFFFFF"/>
                        <w:spacing w:val="-22"/>
                        <w:sz w:val="28"/>
                        <w:shd w:fill="3366CC" w:color="auto" w:val="clear"/>
                      </w:rPr>
                      <w:t> </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pStyle w:val="BodyText"/>
        <w:spacing w:before="11"/>
      </w:pPr>
    </w:p>
    <w:p>
      <w:pPr>
        <w:spacing w:before="0"/>
        <w:ind w:left="1440" w:right="0" w:firstLine="0"/>
        <w:jc w:val="left"/>
        <w:rPr>
          <w:b/>
          <w:sz w:val="20"/>
        </w:rPr>
      </w:pPr>
      <w:r>
        <w:rPr>
          <w:b/>
          <w:sz w:val="20"/>
        </w:rPr>
        <w:t>Fig 2. Ecocardiografía transesofágica. Signo de la telaraña (Flecha).</w:t>
      </w:r>
    </w:p>
    <w:p>
      <w:pPr>
        <w:spacing w:before="1"/>
        <w:ind w:left="1440" w:right="1476" w:firstLine="0"/>
        <w:jc w:val="left"/>
        <w:rPr>
          <w:sz w:val="20"/>
        </w:rPr>
      </w:pPr>
      <w:r>
        <w:rPr>
          <w:b/>
          <w:sz w:val="20"/>
        </w:rPr>
        <w:t>LF= Luz falsa, LV= Luz verdadera. </w:t>
      </w:r>
      <w:r>
        <w:rPr>
          <w:sz w:val="20"/>
        </w:rPr>
        <w:t>Almeria, C., González, Rosa., Zamorano, J. Diagnóstico por imagen en el síndrome aórtico agudo. Revista española de cardiología.</w:t>
      </w:r>
    </w:p>
    <w:p>
      <w:pPr>
        <w:pStyle w:val="BodyText"/>
        <w:spacing w:before="10"/>
        <w:rPr>
          <w:sz w:val="13"/>
        </w:rPr>
      </w:pPr>
    </w:p>
    <w:p>
      <w:pPr>
        <w:pStyle w:val="BodyText"/>
        <w:ind w:left="4095"/>
        <w:rPr>
          <w:sz w:val="20"/>
        </w:rPr>
      </w:pPr>
      <w:r>
        <w:rPr>
          <w:sz w:val="20"/>
        </w:rPr>
        <w:drawing>
          <wp:inline distT="0" distB="0" distL="0" distR="0">
            <wp:extent cx="1915447" cy="1295019"/>
            <wp:effectExtent l="0" t="0" r="0" b="0"/>
            <wp:docPr id="23" name="image35.jpeg" descr=""/>
            <wp:cNvGraphicFramePr>
              <a:graphicFrameLocks noChangeAspect="1"/>
            </wp:cNvGraphicFramePr>
            <a:graphic>
              <a:graphicData uri="http://schemas.openxmlformats.org/drawingml/2006/picture">
                <pic:pic>
                  <pic:nvPicPr>
                    <pic:cNvPr id="24" name="image35.jpeg"/>
                    <pic:cNvPicPr/>
                  </pic:nvPicPr>
                  <pic:blipFill>
                    <a:blip r:embed="rId53" cstate="print"/>
                    <a:stretch>
                      <a:fillRect/>
                    </a:stretch>
                  </pic:blipFill>
                  <pic:spPr>
                    <a:xfrm>
                      <a:off x="0" y="0"/>
                      <a:ext cx="1915447" cy="1295019"/>
                    </a:xfrm>
                    <a:prstGeom prst="rect">
                      <a:avLst/>
                    </a:prstGeom>
                  </pic:spPr>
                </pic:pic>
              </a:graphicData>
            </a:graphic>
          </wp:inline>
        </w:drawing>
      </w:r>
      <w:r>
        <w:rPr>
          <w:sz w:val="20"/>
        </w:rPr>
      </w:r>
    </w:p>
    <w:p>
      <w:pPr>
        <w:spacing w:after="0"/>
        <w:rPr>
          <w:sz w:val="20"/>
        </w:rPr>
        <w:sectPr>
          <w:headerReference w:type="default" r:id="rId51"/>
          <w:footerReference w:type="default" r:id="rId52"/>
          <w:pgSz w:w="12240" w:h="15840"/>
          <w:pgMar w:header="723" w:footer="0" w:top="940" w:bottom="280" w:left="0" w:right="0"/>
        </w:sectPr>
      </w:pPr>
    </w:p>
    <w:p>
      <w:pPr>
        <w:pStyle w:val="BodyText"/>
        <w:spacing w:line="276" w:lineRule="auto" w:before="79"/>
        <w:ind w:left="1440" w:right="3"/>
      </w:pPr>
      <w:r>
        <w:rPr/>
        <w:t>del paciente debido al riesgo de ruptura al pericardio y el correspondiente taponamiento cardiaco.</w:t>
      </w:r>
    </w:p>
    <w:p>
      <w:pPr>
        <w:pStyle w:val="BodyText"/>
        <w:spacing w:line="276" w:lineRule="auto" w:before="1"/>
        <w:ind w:left="1440"/>
        <w:jc w:val="both"/>
      </w:pPr>
      <w:r>
        <w:rPr/>
        <w:t>La disección de </w:t>
      </w:r>
      <w:r>
        <w:rPr>
          <w:spacing w:val="-3"/>
        </w:rPr>
        <w:t>la </w:t>
      </w:r>
      <w:r>
        <w:rPr/>
        <w:t>aorta descendente permite estabilizar primero al paciente, ya que </w:t>
      </w:r>
      <w:r>
        <w:rPr>
          <w:spacing w:val="-3"/>
        </w:rPr>
        <w:t>la </w:t>
      </w:r>
      <w:r>
        <w:rPr/>
        <w:t>ruptura es menos probable; sin embargo, existen centros médicos con experiencia en el manejo quirúrgico </w:t>
      </w:r>
      <w:r>
        <w:rPr>
          <w:spacing w:val="2"/>
        </w:rPr>
        <w:t>de </w:t>
      </w:r>
      <w:r>
        <w:rPr/>
        <w:t>estos casos, por </w:t>
      </w:r>
      <w:r>
        <w:rPr>
          <w:spacing w:val="-3"/>
        </w:rPr>
        <w:t>lo </w:t>
      </w:r>
      <w:r>
        <w:rPr/>
        <w:t>que </w:t>
      </w:r>
      <w:r>
        <w:rPr>
          <w:spacing w:val="-3"/>
        </w:rPr>
        <w:t>lo </w:t>
      </w:r>
      <w:r>
        <w:rPr/>
        <w:t>indican durante </w:t>
      </w:r>
      <w:r>
        <w:rPr>
          <w:spacing w:val="-3"/>
        </w:rPr>
        <w:t>la </w:t>
      </w:r>
      <w:r>
        <w:rPr/>
        <w:t>hospitalización inicial. </w:t>
      </w:r>
      <w:r>
        <w:rPr>
          <w:spacing w:val="1"/>
        </w:rPr>
        <w:t>El </w:t>
      </w:r>
      <w:r>
        <w:rPr/>
        <w:t>paciente</w:t>
      </w:r>
      <w:r>
        <w:rPr>
          <w:spacing w:val="0"/>
        </w:rPr>
        <w:t> </w:t>
      </w:r>
      <w:r>
        <w:rPr/>
        <w:t>con</w:t>
      </w:r>
    </w:p>
    <w:p>
      <w:pPr>
        <w:pStyle w:val="BodyText"/>
        <w:spacing w:line="276" w:lineRule="auto" w:before="79"/>
        <w:ind w:left="677" w:right="1435"/>
        <w:jc w:val="both"/>
      </w:pPr>
      <w:r>
        <w:rPr/>
        <w:br w:type="column"/>
      </w:r>
      <w:r>
        <w:rPr/>
        <w:t>disección aortica tipo B, necesariamente debe someterse a cirugía si presenta una de las siguientes complicaciones: progresión de </w:t>
      </w:r>
      <w:r>
        <w:rPr>
          <w:spacing w:val="-3"/>
        </w:rPr>
        <w:t>la </w:t>
      </w:r>
      <w:r>
        <w:rPr/>
        <w:t>disección y a pesar de </w:t>
      </w:r>
      <w:r>
        <w:rPr>
          <w:spacing w:val="-3"/>
        </w:rPr>
        <w:t>la </w:t>
      </w:r>
      <w:r>
        <w:rPr/>
        <w:t>terapia médica, signos de oclusión de las ramas mayores de </w:t>
      </w:r>
      <w:r>
        <w:rPr>
          <w:spacing w:val="-3"/>
        </w:rPr>
        <w:t>la </w:t>
      </w:r>
      <w:r>
        <w:rPr/>
        <w:t>aorta, oliguria o anuria por compromiso de arterias renales y signos inminentes de ruptura como sangre en cavidad pleural o</w:t>
      </w:r>
      <w:r>
        <w:rPr>
          <w:spacing w:val="60"/>
        </w:rPr>
        <w:t> </w:t>
      </w:r>
      <w:r>
        <w:rPr/>
        <w:t>hemoptisis.</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8"/>
        <w:rPr>
          <w:sz w:val="16"/>
        </w:rPr>
      </w:pPr>
    </w:p>
    <w:p>
      <w:pPr>
        <w:pStyle w:val="Heading4"/>
        <w:spacing w:before="92"/>
      </w:pPr>
      <w:r>
        <w:rPr/>
        <w:t>BIBLIOGRAFIA</w:t>
      </w:r>
    </w:p>
    <w:p>
      <w:pPr>
        <w:pStyle w:val="BodyText"/>
        <w:spacing w:before="1"/>
        <w:rPr>
          <w:b/>
          <w:sz w:val="21"/>
        </w:rPr>
      </w:pPr>
    </w:p>
    <w:p>
      <w:pPr>
        <w:pStyle w:val="ListParagraph"/>
        <w:numPr>
          <w:ilvl w:val="1"/>
          <w:numId w:val="4"/>
        </w:numPr>
        <w:tabs>
          <w:tab w:pos="1801" w:val="left" w:leader="none"/>
        </w:tabs>
        <w:spacing w:line="240" w:lineRule="auto" w:before="1" w:after="0"/>
        <w:ind w:left="1800" w:right="1440" w:hanging="360"/>
        <w:jc w:val="both"/>
        <w:rPr>
          <w:rFonts w:ascii="Symbol" w:hAnsi="Symbol"/>
          <w:sz w:val="20"/>
        </w:rPr>
      </w:pPr>
      <w:r>
        <w:rPr>
          <w:sz w:val="20"/>
        </w:rPr>
        <w:t>Almeria, C., González, Rosa., Zamorano, J.(2003) Diagnóstico por imagen en el síndrome aórtico agudo. Revista española de cardiología. 56 (5)</w:t>
      </w:r>
      <w:r>
        <w:rPr>
          <w:spacing w:val="-6"/>
          <w:sz w:val="20"/>
        </w:rPr>
        <w:t> </w:t>
      </w:r>
      <w:r>
        <w:rPr>
          <w:sz w:val="20"/>
        </w:rPr>
        <w:t>498-508.</w:t>
      </w:r>
    </w:p>
    <w:p>
      <w:pPr>
        <w:pStyle w:val="ListParagraph"/>
        <w:numPr>
          <w:ilvl w:val="1"/>
          <w:numId w:val="4"/>
        </w:numPr>
        <w:tabs>
          <w:tab w:pos="1801" w:val="left" w:leader="none"/>
        </w:tabs>
        <w:spacing w:line="240" w:lineRule="auto" w:before="0" w:after="0"/>
        <w:ind w:left="1800" w:right="1436" w:hanging="360"/>
        <w:jc w:val="both"/>
        <w:rPr>
          <w:rFonts w:ascii="Symbol" w:hAnsi="Symbol"/>
          <w:sz w:val="20"/>
        </w:rPr>
      </w:pPr>
      <w:r>
        <w:rPr>
          <w:sz w:val="20"/>
        </w:rPr>
        <w:t>Bañuelos, C., Evangelista, A., Zamora, J., et al. (2000). Guías de práctica clínica de la Sociedad Española de Cardiología en enfermedades de la aorta. Revista Española de Cardiología.</w:t>
      </w:r>
      <w:r>
        <w:rPr>
          <w:spacing w:val="-29"/>
          <w:sz w:val="20"/>
        </w:rPr>
        <w:t> </w:t>
      </w:r>
      <w:r>
        <w:rPr>
          <w:sz w:val="20"/>
        </w:rPr>
        <w:t>53:531-541</w:t>
      </w:r>
    </w:p>
    <w:p>
      <w:pPr>
        <w:pStyle w:val="ListParagraph"/>
        <w:numPr>
          <w:ilvl w:val="1"/>
          <w:numId w:val="4"/>
        </w:numPr>
        <w:tabs>
          <w:tab w:pos="1801" w:val="left" w:leader="none"/>
        </w:tabs>
        <w:spacing w:line="235" w:lineRule="auto" w:before="8" w:after="0"/>
        <w:ind w:left="1800" w:right="1442" w:hanging="360"/>
        <w:jc w:val="both"/>
        <w:rPr>
          <w:rFonts w:ascii="Symbol" w:hAnsi="Symbol"/>
          <w:sz w:val="20"/>
        </w:rPr>
      </w:pPr>
      <w:r>
        <w:rPr>
          <w:sz w:val="20"/>
        </w:rPr>
        <w:t>Bárcena A., Caballero, F., Gómez, J., (2014). Acute aortic dissection, the fundamentals of the history and physical examination. Semergen 40</w:t>
      </w:r>
      <w:r>
        <w:rPr>
          <w:spacing w:val="0"/>
          <w:sz w:val="20"/>
        </w:rPr>
        <w:t> </w:t>
      </w:r>
      <w:r>
        <w:rPr>
          <w:sz w:val="20"/>
        </w:rPr>
        <w:t>:228-231</w:t>
      </w:r>
    </w:p>
    <w:p>
      <w:pPr>
        <w:pStyle w:val="ListParagraph"/>
        <w:numPr>
          <w:ilvl w:val="1"/>
          <w:numId w:val="4"/>
        </w:numPr>
        <w:tabs>
          <w:tab w:pos="1801" w:val="left" w:leader="none"/>
        </w:tabs>
        <w:spacing w:line="240" w:lineRule="auto" w:before="0" w:after="0"/>
        <w:ind w:left="1800" w:right="1436" w:hanging="360"/>
        <w:jc w:val="both"/>
        <w:rPr>
          <w:rFonts w:ascii="Symbol" w:hAnsi="Symbol"/>
          <w:sz w:val="20"/>
        </w:rPr>
      </w:pPr>
      <w:r>
        <w:rPr>
          <w:sz w:val="20"/>
        </w:rPr>
        <w:t>Boileau, C., Raimund, E., Victor, A., (2015) Guía ESC 2014 sobre diagnóstico y tratamiento de la patología de la aorta. Revista Española de cardiología.</w:t>
      </w:r>
      <w:r>
        <w:rPr>
          <w:spacing w:val="-6"/>
          <w:sz w:val="20"/>
        </w:rPr>
        <w:t> </w:t>
      </w:r>
      <w:r>
        <w:rPr>
          <w:sz w:val="20"/>
        </w:rPr>
        <w:t>68(3):242.e1-e69</w:t>
      </w:r>
    </w:p>
    <w:p>
      <w:pPr>
        <w:pStyle w:val="ListParagraph"/>
        <w:numPr>
          <w:ilvl w:val="1"/>
          <w:numId w:val="4"/>
        </w:numPr>
        <w:tabs>
          <w:tab w:pos="1801" w:val="left" w:leader="none"/>
        </w:tabs>
        <w:spacing w:line="240" w:lineRule="auto" w:before="0" w:after="0"/>
        <w:ind w:left="1800" w:right="1443" w:hanging="360"/>
        <w:jc w:val="both"/>
        <w:rPr>
          <w:rFonts w:ascii="Symbol" w:hAnsi="Symbol"/>
          <w:sz w:val="20"/>
        </w:rPr>
      </w:pPr>
      <w:r>
        <w:rPr>
          <w:sz w:val="20"/>
        </w:rPr>
        <w:t>Casal, E., Alvarado, A., Ramos, A., Fletcher, M. (2014). Disección aórtica: “conceptos actuales, presentación, diagnóstico y manejo”. Revista Medico Científica. 27(1): 12-28.</w:t>
      </w:r>
    </w:p>
    <w:p>
      <w:pPr>
        <w:pStyle w:val="ListParagraph"/>
        <w:numPr>
          <w:ilvl w:val="1"/>
          <w:numId w:val="4"/>
        </w:numPr>
        <w:tabs>
          <w:tab w:pos="1801" w:val="left" w:leader="none"/>
        </w:tabs>
        <w:spacing w:line="237" w:lineRule="auto" w:before="6" w:after="0"/>
        <w:ind w:left="1800" w:right="1448" w:hanging="360"/>
        <w:jc w:val="both"/>
        <w:rPr>
          <w:rFonts w:ascii="Symbol" w:hAnsi="Symbol"/>
          <w:sz w:val="20"/>
        </w:rPr>
      </w:pPr>
      <w:r>
        <w:rPr>
          <w:sz w:val="20"/>
        </w:rPr>
        <w:t>Contreras, E., Gómez, J., Ocampo, V., Urrea, C., Zuluaga, S. (2009). Disección aórtica: Estado actual. Revista costarricense de cardiología. 11(1): 19-26</w:t>
      </w:r>
    </w:p>
    <w:p>
      <w:pPr>
        <w:pStyle w:val="ListParagraph"/>
        <w:numPr>
          <w:ilvl w:val="1"/>
          <w:numId w:val="4"/>
        </w:numPr>
        <w:tabs>
          <w:tab w:pos="1801" w:val="left" w:leader="none"/>
        </w:tabs>
        <w:spacing w:line="240" w:lineRule="auto" w:before="0" w:after="0"/>
        <w:ind w:left="1800" w:right="1431" w:hanging="360"/>
        <w:jc w:val="both"/>
        <w:rPr>
          <w:rFonts w:ascii="Symbol" w:hAnsi="Symbol"/>
          <w:sz w:val="20"/>
        </w:rPr>
      </w:pPr>
      <w:r>
        <w:rPr>
          <w:sz w:val="20"/>
        </w:rPr>
        <w:t>Donati, T., et al. (2015). Modern diagnostics for type B aortic dissection. Gefasschirurgie. 20(6): 420– 427.</w:t>
      </w:r>
    </w:p>
    <w:p>
      <w:pPr>
        <w:pStyle w:val="ListParagraph"/>
        <w:numPr>
          <w:ilvl w:val="1"/>
          <w:numId w:val="4"/>
        </w:numPr>
        <w:tabs>
          <w:tab w:pos="1801" w:val="left" w:leader="none"/>
        </w:tabs>
        <w:spacing w:line="240" w:lineRule="auto" w:before="0" w:after="0"/>
        <w:ind w:left="1800" w:right="1436" w:hanging="360"/>
        <w:jc w:val="both"/>
        <w:rPr>
          <w:rFonts w:ascii="Symbol" w:hAnsi="Symbol"/>
          <w:sz w:val="20"/>
        </w:rPr>
      </w:pPr>
      <w:r>
        <w:rPr>
          <w:sz w:val="20"/>
        </w:rPr>
        <w:t>Galleguillos, A., Pereira, N., Vega, J., Zamora, J. (2014). Síndrome aórtico agudo. Revisión de la literatura y actualización del tema. Revista médica de Chile. 142:</w:t>
      </w:r>
      <w:r>
        <w:rPr>
          <w:spacing w:val="-3"/>
          <w:sz w:val="20"/>
        </w:rPr>
        <w:t> </w:t>
      </w:r>
      <w:r>
        <w:rPr>
          <w:sz w:val="20"/>
        </w:rPr>
        <w:t>344-352.</w:t>
      </w:r>
    </w:p>
    <w:p>
      <w:pPr>
        <w:pStyle w:val="ListParagraph"/>
        <w:numPr>
          <w:ilvl w:val="1"/>
          <w:numId w:val="4"/>
        </w:numPr>
        <w:tabs>
          <w:tab w:pos="1801" w:val="left" w:leader="none"/>
        </w:tabs>
        <w:spacing w:line="240" w:lineRule="auto" w:before="4" w:after="0"/>
        <w:ind w:left="1800" w:right="1441" w:hanging="360"/>
        <w:jc w:val="both"/>
        <w:rPr>
          <w:rFonts w:ascii="Symbol"/>
          <w:sz w:val="20"/>
        </w:rPr>
      </w:pPr>
      <w:r>
        <w:rPr>
          <w:sz w:val="20"/>
        </w:rPr>
        <w:t>Schiff, K., Upadhye, S., (2012) Acute Aortic Dissection in the Emergency Department: Diagnostic Challenges and Evidence-Based Management. Emergency medicine clinics of north America; 30 (2) 307-327.Wittels, K. (2011), Aortic emergencies. Emergency medicine clinics of north America. 29(4) 789-800</w:t>
      </w:r>
    </w:p>
    <w:p>
      <w:pPr>
        <w:pStyle w:val="BodyText"/>
      </w:pPr>
    </w:p>
    <w:p>
      <w:pPr>
        <w:pStyle w:val="BodyText"/>
        <w:spacing w:before="9"/>
        <w:rPr>
          <w:sz w:val="17"/>
        </w:rPr>
      </w:pPr>
    </w:p>
    <w:p>
      <w:pPr>
        <w:tabs>
          <w:tab w:pos="7548" w:val="left" w:leader="none"/>
        </w:tabs>
        <w:spacing w:before="0"/>
        <w:ind w:left="1440" w:right="0" w:firstLine="0"/>
        <w:jc w:val="left"/>
        <w:rPr>
          <w:sz w:val="20"/>
        </w:rPr>
      </w:pPr>
      <w:r>
        <w:rPr>
          <w:sz w:val="20"/>
        </w:rPr>
        <w:t>Recepción: 10 Marzo</w:t>
      </w:r>
      <w:r>
        <w:rPr>
          <w:spacing w:val="-4"/>
          <w:sz w:val="20"/>
        </w:rPr>
        <w:t> </w:t>
      </w:r>
      <w:r>
        <w:rPr>
          <w:sz w:val="20"/>
        </w:rPr>
        <w:t>de</w:t>
      </w:r>
      <w:r>
        <w:rPr>
          <w:spacing w:val="-2"/>
          <w:sz w:val="20"/>
        </w:rPr>
        <w:t> </w:t>
      </w:r>
      <w:r>
        <w:rPr>
          <w:sz w:val="20"/>
        </w:rPr>
        <w:t>2016</w:t>
        <w:tab/>
        <w:t>Aprobación:15 Marzo de</w:t>
      </w:r>
      <w:r>
        <w:rPr>
          <w:spacing w:val="-4"/>
          <w:sz w:val="20"/>
        </w:rPr>
        <w:t> </w:t>
      </w:r>
      <w:r>
        <w:rPr>
          <w:sz w:val="20"/>
        </w:rPr>
        <w:t>2016</w:t>
      </w:r>
    </w:p>
    <w:p>
      <w:pPr>
        <w:pStyle w:val="BodyText"/>
        <w:rPr>
          <w:sz w:val="20"/>
        </w:rPr>
      </w:pPr>
    </w:p>
    <w:p>
      <w:pPr>
        <w:pStyle w:val="BodyText"/>
        <w:rPr>
          <w:sz w:val="20"/>
        </w:rPr>
      </w:pPr>
    </w:p>
    <w:p>
      <w:pPr>
        <w:pStyle w:val="BodyText"/>
        <w:rPr>
          <w:sz w:val="20"/>
        </w:rPr>
      </w:pPr>
    </w:p>
    <w:p>
      <w:pPr>
        <w:pStyle w:val="BodyText"/>
        <w:spacing w:before="4"/>
        <w:rPr>
          <w:sz w:val="16"/>
        </w:rPr>
      </w:pPr>
      <w:r>
        <w:rPr/>
        <w:pict>
          <v:line style="position:absolute;mso-position-horizontal-relative:page;mso-position-vertical-relative:paragraph;z-index:1720;mso-wrap-distance-left:0;mso-wrap-distance-right:0" from="73.492996pt,12.114388pt" to="539.252996pt,12.114388pt" stroked="true" strokeweight="1.4649pt" strokecolor="#3366cc">
            <v:stroke dashstyle="solid"/>
            <w10:wrap type="topAndBottom"/>
          </v:line>
        </w:pict>
      </w:r>
    </w:p>
    <w:p>
      <w:pPr>
        <w:pStyle w:val="BodyText"/>
        <w:spacing w:before="6"/>
        <w:rPr>
          <w:sz w:val="3"/>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407" w:val="left" w:leader="none"/>
                      </w:tabs>
                      <w:spacing w:line="280" w:lineRule="exact" w:before="0"/>
                      <w:ind w:left="0" w:right="0" w:firstLine="0"/>
                      <w:jc w:val="left"/>
                      <w:rPr>
                        <w:rFonts w:ascii="Calibri"/>
                        <w:sz w:val="28"/>
                      </w:rPr>
                    </w:pPr>
                    <w:r>
                      <w:rPr>
                        <w:rFonts w:ascii="Calibri"/>
                        <w:color w:val="FFFFFF"/>
                        <w:sz w:val="28"/>
                        <w:shd w:fill="3366CC" w:color="auto" w:val="clear"/>
                      </w:rPr>
                      <w:t> </w:t>
                      <w:tab/>
                      <w:t>8</w:t>
                    </w:r>
                    <w:r>
                      <w:rPr>
                        <w:rFonts w:ascii="Calibri"/>
                        <w:color w:val="FFFFFF"/>
                        <w:spacing w:val="-20"/>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spacing w:before="78"/>
        <w:ind w:left="1604" w:right="0" w:firstLine="0"/>
        <w:jc w:val="left"/>
        <w:rPr>
          <w:sz w:val="16"/>
        </w:rPr>
      </w:pPr>
      <w:r>
        <w:rPr/>
        <w:pict>
          <v:group style="position:absolute;margin-left:72.199997pt;margin-top:4.183923pt;width:464.8pt;height:536.8pt;mso-position-horizontal-relative:page;mso-position-vertical-relative:paragraph;z-index:-49264" coordorigin="1444,84" coordsize="9296,10736">
            <v:shape style="position:absolute;left:3480;top:1684;width:7260;height:9135" type="#_x0000_t75" stroked="false">
              <v:imagedata r:id="rId56" o:title=""/>
            </v:shape>
            <v:shape style="position:absolute;left:1444;top:83;width:2048;height:10612" type="#_x0000_t75" stroked="false">
              <v:imagedata r:id="rId57"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72" w:right="0" w:firstLine="0"/>
        <w:jc w:val="left"/>
        <w:rPr>
          <w:sz w:val="16"/>
        </w:rPr>
      </w:pPr>
      <w:r>
        <w:rPr>
          <w:sz w:val="16"/>
        </w:rPr>
        <w:t>ISSN 2215-4523</w:t>
      </w:r>
    </w:p>
    <w:p>
      <w:pPr>
        <w:spacing w:line="261" w:lineRule="auto" w:before="11"/>
        <w:ind w:left="1768" w:right="121" w:firstLine="255"/>
        <w:jc w:val="left"/>
        <w:rPr>
          <w:sz w:val="16"/>
        </w:rPr>
      </w:pPr>
      <w:r>
        <w:rPr>
          <w:sz w:val="16"/>
        </w:rPr>
        <w:t>Vol.1 Num:4 Abril 2016 pp:9-12</w:t>
      </w:r>
    </w:p>
    <w:p>
      <w:pPr>
        <w:pStyle w:val="Heading3"/>
        <w:spacing w:line="276" w:lineRule="auto"/>
        <w:ind w:left="464" w:right="1567"/>
      </w:pPr>
      <w:r>
        <w:rPr>
          <w:b w:val="0"/>
        </w:rPr>
        <w:br w:type="column"/>
      </w:r>
      <w:r>
        <w:rPr/>
        <w:t>ARTRITIS SEPTICA POSTERIOR A PLASTIA DE LIGAMENTO CRUZADO ANTERIOR</w:t>
      </w:r>
    </w:p>
    <w:p>
      <w:pPr>
        <w:spacing w:before="2"/>
        <w:ind w:left="521" w:right="1567" w:firstLine="0"/>
        <w:jc w:val="center"/>
        <w:rPr>
          <w:sz w:val="20"/>
        </w:rPr>
      </w:pPr>
      <w:r>
        <w:rPr>
          <w:sz w:val="20"/>
        </w:rPr>
        <w:t>(SEPTIC ARTHRITIS AFTER ANTERIOR CRUCIATE LIGAMENT PLASTY)</w:t>
      </w:r>
    </w:p>
    <w:p>
      <w:pPr>
        <w:pStyle w:val="BodyText"/>
        <w:spacing w:before="2"/>
        <w:rPr>
          <w:sz w:val="20"/>
        </w:rPr>
      </w:pPr>
    </w:p>
    <w:p>
      <w:pPr>
        <w:pStyle w:val="BodyText"/>
        <w:ind w:left="5326"/>
      </w:pPr>
      <w:r>
        <w:rPr>
          <w:i/>
          <w:sz w:val="24"/>
        </w:rPr>
        <w:t>* </w:t>
      </w:r>
      <w:r>
        <w:rPr/>
        <w:t>Andy Vactory Myers</w:t>
      </w:r>
    </w:p>
    <w:p>
      <w:pPr>
        <w:spacing w:after="0"/>
        <w:sectPr>
          <w:headerReference w:type="default" r:id="rId54"/>
          <w:footerReference w:type="default" r:id="rId55"/>
          <w:pgSz w:w="12240" w:h="15840"/>
          <w:pgMar w:header="0" w:footer="0" w:top="1360" w:bottom="280" w:left="0" w:right="0"/>
          <w:cols w:num="2" w:equalWidth="0">
            <w:col w:w="3325" w:space="40"/>
            <w:col w:w="8875"/>
          </w:cols>
        </w:sectPr>
      </w:pPr>
    </w:p>
    <w:p>
      <w:pPr>
        <w:pStyle w:val="BodyText"/>
        <w:spacing w:before="10"/>
        <w:rPr>
          <w:sz w:val="9"/>
        </w:rPr>
      </w:pPr>
    </w:p>
    <w:p>
      <w:pPr>
        <w:pStyle w:val="BodyText"/>
        <w:spacing w:before="93"/>
        <w:ind w:left="3633"/>
      </w:pPr>
      <w:r>
        <w:rPr/>
        <w:t>RESUMEN</w:t>
      </w:r>
    </w:p>
    <w:p>
      <w:pPr>
        <w:pStyle w:val="BodyText"/>
        <w:spacing w:line="276" w:lineRule="auto" w:before="38"/>
        <w:ind w:left="3633" w:right="1645"/>
        <w:jc w:val="both"/>
      </w:pPr>
      <w:r>
        <w:rPr/>
        <w:t>La artritis séptica es una complicación rara pero potencialmente devastadora de </w:t>
      </w:r>
      <w:r>
        <w:rPr>
          <w:spacing w:val="-3"/>
        </w:rPr>
        <w:t>la </w:t>
      </w:r>
      <w:r>
        <w:rPr/>
        <w:t>cirugía de reconstrucción del ligamento cruzado anterior. Los factores de riesgo están </w:t>
      </w:r>
      <w:r>
        <w:rPr>
          <w:spacing w:val="-3"/>
        </w:rPr>
        <w:t>la </w:t>
      </w:r>
      <w:r>
        <w:rPr/>
        <w:t>diabetes, edad, obesidad, malnutrición, y focos sépticos. En los casos de sospecha clínica de artritis séptica se deben realizar análisis de sangre con los niveles de PCR. La aspiración de </w:t>
      </w:r>
      <w:r>
        <w:rPr>
          <w:spacing w:val="-3"/>
        </w:rPr>
        <w:t>la </w:t>
      </w:r>
      <w:r>
        <w:rPr/>
        <w:t>articulación no se realiza de rutina, ya que en </w:t>
      </w:r>
      <w:r>
        <w:rPr>
          <w:spacing w:val="-3"/>
        </w:rPr>
        <w:t>la </w:t>
      </w:r>
      <w:r>
        <w:rPr/>
        <w:t>mayoría de los casos, </w:t>
      </w:r>
      <w:r>
        <w:rPr>
          <w:spacing w:val="-3"/>
        </w:rPr>
        <w:t>la </w:t>
      </w:r>
      <w:r>
        <w:rPr/>
        <w:t>indicación de artroscópica es obvia cuando </w:t>
      </w:r>
      <w:r>
        <w:rPr>
          <w:spacing w:val="-3"/>
        </w:rPr>
        <w:t>la </w:t>
      </w:r>
      <w:r>
        <w:rPr/>
        <w:t>presentación clínica es típica (especialmente derrame e hinchazón) y los niveles de PCR son elevados. El tratamiento propuesto es desbridamiento artroscópico </w:t>
      </w:r>
      <w:r>
        <w:rPr>
          <w:spacing w:val="-3"/>
        </w:rPr>
        <w:t>lo </w:t>
      </w:r>
      <w:r>
        <w:rPr/>
        <w:t>más pronto posible con </w:t>
      </w:r>
      <w:r>
        <w:rPr>
          <w:spacing w:val="-3"/>
        </w:rPr>
        <w:t>la </w:t>
      </w:r>
      <w:r>
        <w:rPr/>
        <w:t>retención del injerto de LCA cuando todavía es</w:t>
      </w:r>
      <w:r>
        <w:rPr>
          <w:spacing w:val="-7"/>
        </w:rPr>
        <w:t> </w:t>
      </w:r>
      <w:r>
        <w:rPr/>
        <w:t>funcional.</w:t>
      </w:r>
    </w:p>
    <w:p>
      <w:pPr>
        <w:pStyle w:val="BodyText"/>
        <w:spacing w:before="6"/>
        <w:rPr>
          <w:sz w:val="25"/>
        </w:rPr>
      </w:pPr>
    </w:p>
    <w:p>
      <w:pPr>
        <w:pStyle w:val="BodyText"/>
        <w:ind w:left="3633"/>
      </w:pPr>
      <w:r>
        <w:rPr/>
        <w:t>DESCRIPTORES</w:t>
      </w:r>
    </w:p>
    <w:p>
      <w:pPr>
        <w:pStyle w:val="BodyText"/>
        <w:spacing w:line="276" w:lineRule="auto" w:before="34"/>
        <w:ind w:left="3633" w:right="1547"/>
      </w:pPr>
      <w:r>
        <w:rPr/>
        <w:t>Artritis séptica, ligamento cruzado anterior, PCR, artroscópica, derrame e hinchazón, desbridamiento artroscópico</w:t>
      </w:r>
    </w:p>
    <w:p>
      <w:pPr>
        <w:pStyle w:val="BodyText"/>
        <w:spacing w:before="1"/>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8"/>
        </w:rPr>
      </w:pPr>
    </w:p>
    <w:p>
      <w:pPr>
        <w:spacing w:line="259" w:lineRule="auto" w:before="1"/>
        <w:ind w:left="1444" w:right="193" w:firstLine="0"/>
        <w:jc w:val="left"/>
        <w:rPr>
          <w:sz w:val="16"/>
        </w:rPr>
      </w:pPr>
      <w:r>
        <w:rPr>
          <w:sz w:val="16"/>
        </w:rPr>
        <w:t>*Médico Residente de Ortopedia. Universidad de Costa Rica.</w:t>
      </w:r>
    </w:p>
    <w:p>
      <w:pPr>
        <w:pStyle w:val="BodyText"/>
        <w:rPr>
          <w:sz w:val="18"/>
        </w:rPr>
      </w:pPr>
    </w:p>
    <w:p>
      <w:pPr>
        <w:pStyle w:val="BodyText"/>
        <w:rPr>
          <w:sz w:val="18"/>
        </w:rPr>
      </w:pPr>
    </w:p>
    <w:p>
      <w:pPr>
        <w:pStyle w:val="BodyText"/>
        <w:rPr>
          <w:sz w:val="18"/>
        </w:rPr>
      </w:pPr>
    </w:p>
    <w:p>
      <w:pPr>
        <w:pStyle w:val="BodyText"/>
        <w:spacing w:before="9"/>
        <w:rPr>
          <w:sz w:val="23"/>
        </w:rPr>
      </w:pPr>
    </w:p>
    <w:p>
      <w:pPr>
        <w:pStyle w:val="Heading4"/>
      </w:pPr>
      <w:r>
        <w:rPr>
          <w:spacing w:val="-1"/>
        </w:rPr>
        <w:t>GENERALIDADES</w:t>
      </w:r>
    </w:p>
    <w:p>
      <w:pPr>
        <w:pStyle w:val="BodyText"/>
        <w:spacing w:before="93"/>
        <w:ind w:left="77"/>
      </w:pPr>
      <w:r>
        <w:rPr/>
        <w:br w:type="column"/>
      </w:r>
      <w:r>
        <w:rPr/>
        <w:t>SUMMARY</w:t>
      </w:r>
    </w:p>
    <w:p>
      <w:pPr>
        <w:pStyle w:val="BodyText"/>
        <w:spacing w:line="276" w:lineRule="auto" w:before="38"/>
        <w:ind w:left="77" w:right="1643"/>
        <w:jc w:val="both"/>
      </w:pPr>
      <w:r>
        <w:rPr/>
        <w:t>Septic arthritis </w:t>
      </w:r>
      <w:r>
        <w:rPr>
          <w:spacing w:val="-3"/>
        </w:rPr>
        <w:t>is </w:t>
      </w:r>
      <w:r>
        <w:rPr/>
        <w:t>a rare but potentially devastating complication of reconstructive surgery of the anterior cruciate ligament. Risk factors include diabetes, age, obesity, malnutrition and septic foci. In cases of clinical suspicion of septic arthritis should perform blood tests </w:t>
      </w:r>
      <w:r>
        <w:rPr>
          <w:spacing w:val="-3"/>
        </w:rPr>
        <w:t>with </w:t>
      </w:r>
      <w:r>
        <w:rPr/>
        <w:t>CRP levels. The joint aspiration </w:t>
      </w:r>
      <w:r>
        <w:rPr>
          <w:spacing w:val="-3"/>
        </w:rPr>
        <w:t>is </w:t>
      </w:r>
      <w:r>
        <w:rPr/>
        <w:t>not performed routinely, since arthroscopic indication </w:t>
      </w:r>
      <w:r>
        <w:rPr>
          <w:spacing w:val="-3"/>
        </w:rPr>
        <w:t>is </w:t>
      </w:r>
      <w:r>
        <w:rPr/>
        <w:t>obvious when the clinical presentation </w:t>
      </w:r>
      <w:r>
        <w:rPr>
          <w:spacing w:val="-3"/>
        </w:rPr>
        <w:t>is </w:t>
      </w:r>
      <w:r>
        <w:rPr/>
        <w:t>typical (especially joint effusion and swelling) and elevated CRP levels. The proposed treatment arthroscopic debridement as soon as possible with retention ACL graft when still</w:t>
      </w:r>
      <w:r>
        <w:rPr>
          <w:spacing w:val="-12"/>
        </w:rPr>
        <w:t> </w:t>
      </w:r>
      <w:r>
        <w:rPr/>
        <w:t>functional.</w:t>
      </w:r>
    </w:p>
    <w:p>
      <w:pPr>
        <w:pStyle w:val="BodyText"/>
        <w:spacing w:before="2"/>
        <w:rPr>
          <w:sz w:val="25"/>
        </w:rPr>
      </w:pPr>
    </w:p>
    <w:p>
      <w:pPr>
        <w:pStyle w:val="BodyText"/>
        <w:ind w:left="77"/>
      </w:pPr>
      <w:r>
        <w:rPr/>
        <w:t>KEYWORDS</w:t>
      </w:r>
    </w:p>
    <w:p>
      <w:pPr>
        <w:pStyle w:val="BodyText"/>
        <w:spacing w:line="276" w:lineRule="auto" w:before="38"/>
        <w:ind w:left="77" w:right="1486"/>
      </w:pPr>
      <w:r>
        <w:rPr/>
        <w:t>Septic arthritis, anterior cruciate ligament, CRP, arthroscopy, joint effusion and swelling, arthroscopic debridement.</w:t>
      </w:r>
    </w:p>
    <w:p>
      <w:pPr>
        <w:pStyle w:val="BodyText"/>
        <w:spacing w:line="276" w:lineRule="auto" w:before="125"/>
        <w:ind w:left="2926" w:right="1432"/>
        <w:jc w:val="both"/>
      </w:pPr>
      <w:r>
        <w:rPr/>
        <w:t>informado de los resultados a corto y mediano plazo, pero no existen estudios de seguimiento a largo plazo.</w:t>
      </w:r>
    </w:p>
    <w:p>
      <w:pPr>
        <w:spacing w:after="0" w:line="276" w:lineRule="auto"/>
        <w:jc w:val="both"/>
        <w:sectPr>
          <w:type w:val="continuous"/>
          <w:pgSz w:w="12240" w:h="15840"/>
          <w:pgMar w:top="1500" w:bottom="0" w:left="0" w:right="0"/>
          <w:cols w:num="2" w:equalWidth="0">
            <w:col w:w="3516" w:space="40"/>
            <w:col w:w="8684"/>
          </w:cols>
        </w:sectPr>
      </w:pPr>
    </w:p>
    <w:p>
      <w:pPr>
        <w:pStyle w:val="BodyText"/>
        <w:spacing w:line="210" w:lineRule="exact"/>
        <w:ind w:left="1440"/>
      </w:pPr>
      <w:r>
        <w:rPr/>
        <w:t>La artritis  séptica es una complicación  rara</w:t>
      </w:r>
    </w:p>
    <w:p>
      <w:pPr>
        <w:pStyle w:val="BodyText"/>
        <w:spacing w:line="276" w:lineRule="auto" w:before="35"/>
        <w:ind w:left="1440"/>
        <w:jc w:val="both"/>
      </w:pPr>
      <w:r>
        <w:rPr/>
        <w:t>pero potencialmente devastadora de la cirugía de reconstrucción del ligamento cruzado anterior (LCA). Varios estudios,han</w:t>
      </w:r>
    </w:p>
    <w:p>
      <w:pPr>
        <w:pStyle w:val="Heading4"/>
        <w:spacing w:before="198"/>
        <w:ind w:left="683"/>
      </w:pPr>
      <w:r>
        <w:rPr>
          <w:b w:val="0"/>
        </w:rPr>
        <w:br w:type="column"/>
      </w:r>
      <w:r>
        <w:rPr/>
        <w:t>FACTORES DE RIESGO</w:t>
      </w:r>
    </w:p>
    <w:p>
      <w:pPr>
        <w:pStyle w:val="BodyText"/>
        <w:rPr>
          <w:b/>
          <w:sz w:val="21"/>
        </w:rPr>
      </w:pPr>
    </w:p>
    <w:p>
      <w:pPr>
        <w:pStyle w:val="BodyText"/>
        <w:spacing w:before="1"/>
        <w:ind w:left="683"/>
      </w:pPr>
      <w:r>
        <w:rPr/>
        <w:t>Diabetes: es sabido que una glicemia de</w:t>
      </w:r>
    </w:p>
    <w:p>
      <w:pPr>
        <w:spacing w:after="0"/>
        <w:sectPr>
          <w:type w:val="continuous"/>
          <w:pgSz w:w="12240" w:h="15840"/>
          <w:pgMar w:top="1500" w:bottom="0" w:left="0" w:right="0"/>
          <w:cols w:num="2" w:equalWidth="0">
            <w:col w:w="5759" w:space="40"/>
            <w:col w:w="6441"/>
          </w:cols>
        </w:sectPr>
      </w:pPr>
    </w:p>
    <w:p>
      <w:pPr>
        <w:pStyle w:val="BodyText"/>
        <w:rPr>
          <w:sz w:val="20"/>
        </w:rPr>
      </w:pPr>
    </w:p>
    <w:p>
      <w:pPr>
        <w:pStyle w:val="BodyText"/>
        <w:spacing w:before="4" w:after="1"/>
        <w:rPr>
          <w:sz w:val="16"/>
        </w:rPr>
      </w:pPr>
    </w:p>
    <w:p>
      <w:pPr>
        <w:pStyle w:val="BodyText"/>
        <w:ind w:left="1444"/>
        <w:rPr>
          <w:sz w:val="20"/>
        </w:rPr>
      </w:pPr>
      <w:r>
        <w:rPr>
          <w:sz w:val="20"/>
        </w:rPr>
        <w:pict>
          <v:group style="width:504.3pt;height:25.5pt;mso-position-horizontal-relative:char;mso-position-vertical-relative:line" coordorigin="0,0" coordsize="10086,510">
            <v:shape style="position:absolute;left:9376;top:101;width:660;height:300" type="#_x0000_t75" stroked="false">
              <v:imagedata r:id="rId36" o:title=""/>
            </v:shape>
            <v:rect style="position:absolute;left:25;top:10;width:9286;height:30" filled="true" fillcolor="#3366cc" stroked="false">
              <v:fill type="solid"/>
            </v:rect>
            <v:rect style="position:absolute;left:15;top:0;width:9306;height:50" filled="true" fillcolor="#006fc0" stroked="false">
              <v:fill type="solid"/>
            </v:rect>
            <v:shape style="position:absolute;left:0;top:189;width:9276;height:320" type="#_x0000_t75" stroked="false">
              <v:imagedata r:id="rId50" o:title=""/>
            </v:shape>
            <v:shape style="position:absolute;left:2377;top:196;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9346;top:159;width:740;height:280" type="#_x0000_t202" filled="false" stroked="false">
              <v:textbox inset="0,0,0,0">
                <w:txbxContent>
                  <w:p>
                    <w:pPr>
                      <w:tabs>
                        <w:tab w:pos="409" w:val="left" w:leader="none"/>
                      </w:tabs>
                      <w:spacing w:line="280" w:lineRule="exact" w:before="0"/>
                      <w:ind w:left="0" w:right="0" w:firstLine="0"/>
                      <w:jc w:val="left"/>
                      <w:rPr>
                        <w:rFonts w:ascii="Calibri"/>
                        <w:sz w:val="28"/>
                      </w:rPr>
                    </w:pPr>
                    <w:r>
                      <w:rPr>
                        <w:rFonts w:ascii="Calibri"/>
                        <w:color w:val="FFFFFF"/>
                        <w:sz w:val="28"/>
                        <w:shd w:fill="3366CC" w:color="auto" w:val="clear"/>
                      </w:rPr>
                      <w:t> </w:t>
                      <w:tab/>
                      <w:t>9</w:t>
                    </w:r>
                    <w:r>
                      <w:rPr>
                        <w:rFonts w:ascii="Calibri"/>
                        <w:color w:val="FFFFFF"/>
                        <w:spacing w:val="-22"/>
                        <w:sz w:val="28"/>
                        <w:shd w:fill="3366CC" w:color="auto" w:val="clear"/>
                      </w:rPr>
                      <w:t> </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pStyle w:val="BodyText"/>
        <w:spacing w:before="1"/>
        <w:rPr>
          <w:sz w:val="17"/>
        </w:rPr>
      </w:pPr>
    </w:p>
    <w:p>
      <w:pPr>
        <w:spacing w:after="0"/>
        <w:rPr>
          <w:sz w:val="17"/>
        </w:rPr>
        <w:sectPr>
          <w:headerReference w:type="default" r:id="rId58"/>
          <w:footerReference w:type="default" r:id="rId59"/>
          <w:pgSz w:w="12240" w:h="15840"/>
          <w:pgMar w:header="717" w:footer="0" w:top="900" w:bottom="280" w:left="0" w:right="0"/>
        </w:sectPr>
      </w:pPr>
    </w:p>
    <w:p>
      <w:pPr>
        <w:pStyle w:val="BodyText"/>
        <w:spacing w:line="276" w:lineRule="auto" w:before="93"/>
        <w:ind w:left="1440" w:right="2"/>
        <w:jc w:val="both"/>
      </w:pPr>
      <w:r>
        <w:rPr/>
        <w:t>180 gr/dl inhibe la quimiotaxis de neutrófilos por lo tanto debe corregirse preoperatoriamente, por lo menos 48 horas. Edad: pacientes mayores de 50 años tienen mayor número de complicaciones en general no sólo infecciosas.</w:t>
      </w:r>
    </w:p>
    <w:p>
      <w:pPr>
        <w:pStyle w:val="BodyText"/>
        <w:spacing w:line="276" w:lineRule="auto"/>
        <w:ind w:left="1440" w:right="4"/>
        <w:jc w:val="both"/>
      </w:pPr>
      <w:r>
        <w:rPr/>
        <w:t>Obesidad: Generalmente por llevar cirugías más prolongadas, con incisiones mayores y con tejido graso poco irrigado que se defiende mal de las infecciones.</w:t>
      </w:r>
    </w:p>
    <w:p>
      <w:pPr>
        <w:pStyle w:val="BodyText"/>
        <w:spacing w:line="276" w:lineRule="auto"/>
        <w:ind w:left="1440"/>
        <w:jc w:val="both"/>
      </w:pPr>
      <w:r>
        <w:rPr/>
        <w:t>Malnutrición: No sólo la malnutrición obvia, sino la subclínica que se define como: albúmina menor de 3,4 grs, linfocitos menores a 1.500 por mm3.</w:t>
      </w:r>
    </w:p>
    <w:p>
      <w:pPr>
        <w:pStyle w:val="BodyText"/>
        <w:spacing w:line="278" w:lineRule="auto"/>
        <w:ind w:left="1440"/>
        <w:jc w:val="both"/>
      </w:pPr>
      <w:r>
        <w:rPr/>
        <w:t>Focos sépticos a distancia o locales: urinarios, respiratorios, dentales, piel, etc.</w:t>
      </w:r>
    </w:p>
    <w:p>
      <w:pPr>
        <w:pStyle w:val="Heading4"/>
        <w:spacing w:before="199"/>
        <w:jc w:val="both"/>
      </w:pPr>
      <w:r>
        <w:rPr/>
        <w:t>DIAGNOSTICO Y TRATAMIENTO</w:t>
      </w:r>
    </w:p>
    <w:p>
      <w:pPr>
        <w:pStyle w:val="BodyText"/>
        <w:spacing w:before="1"/>
        <w:rPr>
          <w:b/>
          <w:sz w:val="21"/>
        </w:rPr>
      </w:pPr>
    </w:p>
    <w:p>
      <w:pPr>
        <w:pStyle w:val="BodyText"/>
        <w:spacing w:line="276" w:lineRule="auto" w:before="1"/>
        <w:ind w:left="1440"/>
        <w:jc w:val="both"/>
      </w:pPr>
      <w:r>
        <w:rPr/>
        <w:t>En los casos de sospecha clínica de artritis séptica, el análisis de sangre se lleva a cabo con especial atención a los niveles de PCR, ya que este es el más sensible y específico de los parámetros. La aspiración de </w:t>
      </w:r>
      <w:r>
        <w:rPr>
          <w:spacing w:val="-3"/>
        </w:rPr>
        <w:t>la </w:t>
      </w:r>
      <w:r>
        <w:rPr/>
        <w:t>articulación no se realiza de manera rutinaria, ya que, en </w:t>
      </w:r>
      <w:r>
        <w:rPr>
          <w:spacing w:val="-3"/>
        </w:rPr>
        <w:t>la </w:t>
      </w:r>
      <w:r>
        <w:rPr/>
        <w:t>mayoría de los casos, </w:t>
      </w:r>
      <w:r>
        <w:rPr>
          <w:spacing w:val="-3"/>
        </w:rPr>
        <w:t>la </w:t>
      </w:r>
      <w:r>
        <w:rPr/>
        <w:t>indicación de artroscópica es obvia debido a </w:t>
      </w:r>
      <w:r>
        <w:rPr>
          <w:spacing w:val="-3"/>
        </w:rPr>
        <w:t>la </w:t>
      </w:r>
      <w:r>
        <w:rPr/>
        <w:t>sinopsis característica de una típica presentación clínica (especialmente derrame e hinchazón) y los niveles elevados de PCR. En casos poco claros o para excluir </w:t>
      </w:r>
      <w:r>
        <w:rPr>
          <w:spacing w:val="-3"/>
        </w:rPr>
        <w:t>la </w:t>
      </w:r>
      <w:r>
        <w:rPr/>
        <w:t>artritis séptica en los casos de infecciones de </w:t>
      </w:r>
      <w:r>
        <w:rPr>
          <w:spacing w:val="-3"/>
        </w:rPr>
        <w:t>la </w:t>
      </w:r>
      <w:r>
        <w:rPr/>
        <w:t>herida aislados, </w:t>
      </w:r>
      <w:r>
        <w:rPr>
          <w:spacing w:val="-3"/>
        </w:rPr>
        <w:t>la </w:t>
      </w:r>
      <w:r>
        <w:rPr/>
        <w:t>aspiración de </w:t>
      </w:r>
      <w:r>
        <w:rPr>
          <w:spacing w:val="-3"/>
        </w:rPr>
        <w:t>la </w:t>
      </w:r>
      <w:r>
        <w:rPr/>
        <w:t>articulación se lleva a cabo, con un recuento de células sinoviales elevada siendo el parámetro decisivo por </w:t>
      </w:r>
      <w:r>
        <w:rPr>
          <w:spacing w:val="-3"/>
        </w:rPr>
        <w:t>lo </w:t>
      </w:r>
      <w:r>
        <w:rPr/>
        <w:t>general, un umbral de 50.000 células / l y un recuento de células polimorfonucleares de al menos 90 % indicar una infección intra-articular, pero esto tiene que ser visto en conjunto con otros hallazgos, como </w:t>
      </w:r>
      <w:r>
        <w:rPr>
          <w:spacing w:val="-3"/>
        </w:rPr>
        <w:t>la </w:t>
      </w:r>
      <w:r>
        <w:rPr/>
        <w:t>artritis séptica también puede estar presente en los casos de conteos celulares inferiores. En </w:t>
      </w:r>
      <w:r>
        <w:rPr>
          <w:spacing w:val="-3"/>
        </w:rPr>
        <w:t>la </w:t>
      </w:r>
      <w:r>
        <w:rPr/>
        <w:t>literatura, </w:t>
      </w:r>
      <w:r>
        <w:rPr>
          <w:spacing w:val="1"/>
        </w:rPr>
        <w:t>el </w:t>
      </w:r>
      <w:r>
        <w:rPr/>
        <w:t>tratamiento más mencionado es </w:t>
      </w:r>
      <w:r>
        <w:rPr>
          <w:spacing w:val="-3"/>
        </w:rPr>
        <w:t>la </w:t>
      </w:r>
      <w:r>
        <w:rPr/>
        <w:t>irrigación y</w:t>
      </w:r>
      <w:r>
        <w:rPr>
          <w:spacing w:val="30"/>
        </w:rPr>
        <w:t> </w:t>
      </w:r>
      <w:r>
        <w:rPr/>
        <w:t>el</w:t>
      </w:r>
    </w:p>
    <w:p>
      <w:pPr>
        <w:pStyle w:val="BodyText"/>
        <w:spacing w:line="276" w:lineRule="auto" w:before="93"/>
        <w:ind w:left="678" w:right="1434"/>
        <w:jc w:val="both"/>
      </w:pPr>
      <w:r>
        <w:rPr/>
        <w:br w:type="column"/>
      </w:r>
      <w:r>
        <w:rPr/>
        <w:t>desbridamiento manteniendo el injerto. Algunos autores prefieren eliminar el injerto inmediatamente. Otros eliminan los injertos con infección persistente. La mayoría de los cirujanos propuso desbridamiento inicial con </w:t>
      </w:r>
      <w:r>
        <w:rPr>
          <w:spacing w:val="-3"/>
        </w:rPr>
        <w:t>la </w:t>
      </w:r>
      <w:r>
        <w:rPr/>
        <w:t>retención del injerto. Para </w:t>
      </w:r>
      <w:r>
        <w:rPr>
          <w:spacing w:val="-3"/>
        </w:rPr>
        <w:t>la </w:t>
      </w:r>
      <w:r>
        <w:rPr/>
        <w:t>infección resistente, 50% recomienda </w:t>
      </w:r>
      <w:r>
        <w:rPr>
          <w:spacing w:val="-3"/>
        </w:rPr>
        <w:t>la </w:t>
      </w:r>
      <w:r>
        <w:rPr/>
        <w:t>extirpación hardware, y 36% de eliminación de injerto seleccionado como parte del régimen de tratamiento.</w:t>
      </w:r>
    </w:p>
    <w:p>
      <w:pPr>
        <w:pStyle w:val="BodyText"/>
        <w:spacing w:line="276" w:lineRule="auto" w:before="197"/>
        <w:ind w:left="678" w:right="1433"/>
        <w:jc w:val="both"/>
      </w:pPr>
      <w:r>
        <w:rPr/>
        <w:t>Una vez establecido el diagnóstico, o </w:t>
      </w:r>
      <w:r>
        <w:rPr>
          <w:spacing w:val="-3"/>
        </w:rPr>
        <w:t>la </w:t>
      </w:r>
      <w:r>
        <w:rPr/>
        <w:t>operación se lleva a cabo en el día de su ingreso. En todos los casos de artritis séptica, nuestro enfoque es totalmente artroscópico, con 2 portales anteriores estandarizados. portales adicionales (es decir, superomedial / súperoexterna, posteromedial / posterolateral) no se utilizan de forma rutinaria. En los primeros años del estudio, se usó un hisopo o una muestra de líquido sinovial para </w:t>
      </w:r>
      <w:r>
        <w:rPr>
          <w:spacing w:val="-3"/>
        </w:rPr>
        <w:t>la </w:t>
      </w:r>
      <w:r>
        <w:rPr/>
        <w:t>evaluación microbiológica; en los últimos años, el uso de 5 muestras de biopsia de </w:t>
      </w:r>
      <w:r>
        <w:rPr>
          <w:spacing w:val="-3"/>
        </w:rPr>
        <w:t>la </w:t>
      </w:r>
      <w:r>
        <w:rPr/>
        <w:t>membrana sinovial, de haber sido cultivados durante 14 días, se ha convertido en nuestra técnica estándar debido a su mayor sensitivity.10 desbridamiento del tejido y </w:t>
      </w:r>
      <w:r>
        <w:rPr>
          <w:spacing w:val="-3"/>
        </w:rPr>
        <w:t>la </w:t>
      </w:r>
      <w:r>
        <w:rPr/>
        <w:t>eliminación de capas de fibrina y sangre coagulada desvitalizado o necrótico coágulos se realizan, seguido de irrigación extensa con 10 a 15 L de líquido de irrigación. Todos los compartimentos son irrigados. La sinovectomía no se realiza de forma rutinaria, ya que </w:t>
      </w:r>
      <w:r>
        <w:rPr>
          <w:spacing w:val="-3"/>
        </w:rPr>
        <w:t>la </w:t>
      </w:r>
      <w:r>
        <w:rPr/>
        <w:t>membrana sinovial actúa como una "barrera natural", y </w:t>
      </w:r>
      <w:r>
        <w:rPr>
          <w:spacing w:val="-3"/>
        </w:rPr>
        <w:t>la </w:t>
      </w:r>
      <w:r>
        <w:rPr/>
        <w:t>eliminación aumenta el riesgo de artrofibrosis causada por el trauma quirúrgico. </w:t>
      </w:r>
      <w:r>
        <w:rPr>
          <w:spacing w:val="1"/>
        </w:rPr>
        <w:t>El </w:t>
      </w:r>
      <w:r>
        <w:rPr/>
        <w:t>injerto se mantiene, pero </w:t>
      </w:r>
      <w:r>
        <w:rPr>
          <w:spacing w:val="-3"/>
        </w:rPr>
        <w:t>la </w:t>
      </w:r>
      <w:r>
        <w:rPr/>
        <w:t>eliminación de injerto se considera en </w:t>
      </w:r>
      <w:r>
        <w:rPr>
          <w:spacing w:val="-3"/>
        </w:rPr>
        <w:t>la </w:t>
      </w:r>
      <w:r>
        <w:rPr/>
        <w:t>infección persistente después de múltiples revisiones, en </w:t>
      </w:r>
      <w:r>
        <w:rPr>
          <w:spacing w:val="-3"/>
        </w:rPr>
        <w:t>la </w:t>
      </w:r>
      <w:r>
        <w:rPr/>
        <w:t>fijación, o con insuficiencia de injerto. Al final del procedimiento, un desagüe cerrado de aspiración (8 French) se coloca</w:t>
      </w:r>
      <w:r>
        <w:rPr>
          <w:spacing w:val="3"/>
        </w:rPr>
        <w:t> </w:t>
      </w:r>
      <w:r>
        <w:rPr/>
        <w:t>intra-</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2"/>
        <w:rPr>
          <w:sz w:val="27"/>
        </w:rPr>
      </w:pPr>
    </w:p>
    <w:p>
      <w:pPr>
        <w:spacing w:line="30" w:lineRule="exact"/>
        <w:ind w:left="1454" w:right="0" w:firstLine="0"/>
        <w:rPr>
          <w:sz w:val="2"/>
        </w:rPr>
      </w:pPr>
      <w:r>
        <w:rPr>
          <w:rFonts w:ascii="Times New Roman"/>
          <w:spacing w:val="10"/>
          <w:sz w:val="2"/>
        </w:rPr>
        <w:t> </w:t>
      </w:r>
      <w:r>
        <w:rPr>
          <w:spacing w:val="10"/>
          <w:position w:val="0"/>
          <w:sz w:val="2"/>
        </w:rPr>
        <w:pict>
          <v:group style="width:465.8pt;height:1.5pt;mso-position-horizontal-relative:char;mso-position-vertical-relative:line" coordorigin="0,0" coordsize="9316,30">
            <v:line style="position:absolute" from="0,15" to="9315,15" stroked="true" strokeweight="1.4649pt" strokecolor="#3366cc">
              <v:stroke dashstyle="solid"/>
            </v:line>
          </v:group>
        </w:pict>
      </w:r>
      <w:r>
        <w:rPr>
          <w:spacing w:val="10"/>
          <w:position w:val="0"/>
          <w:sz w:val="2"/>
        </w:rPr>
      </w:r>
    </w:p>
    <w:p>
      <w:pPr>
        <w:pStyle w:val="BodyText"/>
        <w:spacing w:before="1"/>
        <w:rPr>
          <w:sz w:val="6"/>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10</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pStyle w:val="BodyText"/>
        <w:spacing w:before="1"/>
        <w:rPr>
          <w:sz w:val="17"/>
        </w:rPr>
      </w:pPr>
    </w:p>
    <w:p>
      <w:pPr>
        <w:spacing w:after="0"/>
        <w:rPr>
          <w:sz w:val="17"/>
        </w:rPr>
        <w:sectPr>
          <w:headerReference w:type="default" r:id="rId60"/>
          <w:footerReference w:type="default" r:id="rId61"/>
          <w:pgSz w:w="12240" w:h="15840"/>
          <w:pgMar w:header="717" w:footer="0" w:top="900" w:bottom="280" w:left="0" w:right="0"/>
        </w:sectPr>
      </w:pPr>
    </w:p>
    <w:p>
      <w:pPr>
        <w:pStyle w:val="BodyText"/>
        <w:spacing w:line="276" w:lineRule="auto" w:before="93"/>
        <w:ind w:left="1440"/>
        <w:jc w:val="both"/>
      </w:pPr>
      <w:r>
        <w:rPr/>
        <w:t>articular, que se retira en </w:t>
      </w:r>
      <w:r>
        <w:rPr>
          <w:spacing w:val="-3"/>
        </w:rPr>
        <w:t>la </w:t>
      </w:r>
      <w:r>
        <w:rPr/>
        <w:t>primera o segunda día postoperatorio. En los casos de infecciones de heridas profundas concomitantes, </w:t>
      </w:r>
      <w:r>
        <w:rPr>
          <w:spacing w:val="-3"/>
        </w:rPr>
        <w:t>la </w:t>
      </w:r>
      <w:r>
        <w:rPr/>
        <w:t>escisión local con desbridamiento, </w:t>
      </w:r>
      <w:r>
        <w:rPr>
          <w:spacing w:val="-3"/>
        </w:rPr>
        <w:t>la </w:t>
      </w:r>
      <w:r>
        <w:rPr/>
        <w:t>toma de muestras, y </w:t>
      </w:r>
      <w:r>
        <w:rPr>
          <w:spacing w:val="-3"/>
        </w:rPr>
        <w:t>la </w:t>
      </w:r>
      <w:r>
        <w:rPr/>
        <w:t>irrigación son realizados. Antes del cierre de </w:t>
      </w:r>
      <w:r>
        <w:rPr>
          <w:spacing w:val="-3"/>
        </w:rPr>
        <w:t>la </w:t>
      </w:r>
      <w:r>
        <w:rPr/>
        <w:t>herida, se inserta una cadena de perlas de antibióticos cargado (gentamicina), sobresale a través de </w:t>
      </w:r>
      <w:r>
        <w:rPr>
          <w:spacing w:val="-3"/>
        </w:rPr>
        <w:t>la </w:t>
      </w:r>
      <w:r>
        <w:rPr/>
        <w:t>herida para permitir </w:t>
      </w:r>
      <w:r>
        <w:rPr>
          <w:spacing w:val="-3"/>
        </w:rPr>
        <w:t>la </w:t>
      </w:r>
      <w:r>
        <w:rPr/>
        <w:t>retirada por etapas dentro de aproximadamente 1 semana. El tratamiento antibiótico empírico se inicia después de que se obtiene material para pruebas microbiológicas como una combinación de 2 agentes sinérgicos administrados por vía intravenosa. Los regímenes han cambiado con el tiempo, pero por </w:t>
      </w:r>
      <w:r>
        <w:rPr>
          <w:spacing w:val="-3"/>
        </w:rPr>
        <w:t>lo </w:t>
      </w:r>
      <w:r>
        <w:rPr/>
        <w:t>general consisten en una cefalosporina (I o II) en combinación con un aminoglucósido, clindamicina o rifampicina (en los casos de estafilococos demostrado con anterioridad). se vuelve a evaluar el tratamiento con antibióticos después de recibir los resultados microbiológicos y antibiogramas y cambiar si es</w:t>
      </w:r>
      <w:r>
        <w:rPr>
          <w:spacing w:val="-18"/>
        </w:rPr>
        <w:t> </w:t>
      </w:r>
      <w:r>
        <w:rPr/>
        <w:t>necesario.</w:t>
      </w:r>
    </w:p>
    <w:p>
      <w:pPr>
        <w:pStyle w:val="BodyText"/>
        <w:spacing w:line="276" w:lineRule="auto"/>
        <w:ind w:left="1440"/>
        <w:jc w:val="both"/>
      </w:pPr>
      <w:r>
        <w:rPr/>
        <w:t>Después de </w:t>
      </w:r>
      <w:r>
        <w:rPr>
          <w:spacing w:val="-3"/>
        </w:rPr>
        <w:t>la </w:t>
      </w:r>
      <w:r>
        <w:rPr/>
        <w:t>operación, se permite deambular con carga parcial, y no hay ninguna limitación en el rango de movimiento. El cuidado postoperatorio se basa en el examen físico diario y análisis de sangre (PCR) cada dos días, y </w:t>
      </w:r>
      <w:r>
        <w:rPr>
          <w:spacing w:val="-3"/>
        </w:rPr>
        <w:t>la </w:t>
      </w:r>
      <w:r>
        <w:rPr/>
        <w:t>sinopsis de esos parámetros y el curso postoperatorio individuales son los parámetros esenciales para su posterior tratamiento. El nivel de PCR por lo general se puede esperar a disminuir después de artroscópica, y los pacientes suelen informar de mejora, especialmente en </w:t>
      </w:r>
      <w:r>
        <w:rPr>
          <w:spacing w:val="-3"/>
        </w:rPr>
        <w:t>lo </w:t>
      </w:r>
      <w:r>
        <w:rPr/>
        <w:t>que respecta al dolor y derrame. En los casos de un nuevo aumento en los niveles de PCR o estancamiento con el deterioro concurrente clínica de los síntomas (especialmente un aumento del dolor, derrame</w:t>
      </w:r>
      <w:r>
        <w:rPr>
          <w:spacing w:val="42"/>
        </w:rPr>
        <w:t> </w:t>
      </w:r>
      <w:r>
        <w:rPr/>
        <w:t>recurrente),</w:t>
      </w:r>
      <w:r>
        <w:rPr>
          <w:spacing w:val="40"/>
        </w:rPr>
        <w:t> </w:t>
      </w:r>
      <w:r>
        <w:rPr/>
        <w:t>se</w:t>
      </w:r>
      <w:r>
        <w:rPr>
          <w:spacing w:val="42"/>
        </w:rPr>
        <w:t> </w:t>
      </w:r>
      <w:r>
        <w:rPr/>
        <w:t>debe</w:t>
      </w:r>
      <w:r>
        <w:rPr>
          <w:spacing w:val="42"/>
        </w:rPr>
        <w:t> </w:t>
      </w:r>
      <w:r>
        <w:rPr/>
        <w:t>realizar</w:t>
      </w:r>
      <w:r>
        <w:rPr>
          <w:spacing w:val="40"/>
        </w:rPr>
        <w:t> </w:t>
      </w:r>
      <w:r>
        <w:rPr/>
        <w:t>otro</w:t>
      </w:r>
    </w:p>
    <w:p>
      <w:pPr>
        <w:pStyle w:val="BodyText"/>
        <w:spacing w:line="276" w:lineRule="auto" w:before="93"/>
        <w:ind w:left="680" w:right="1437"/>
        <w:jc w:val="both"/>
      </w:pPr>
      <w:r>
        <w:rPr/>
        <w:br w:type="column"/>
      </w:r>
      <w:r>
        <w:rPr/>
        <w:t>procedimiento artroscópico. Aunque no existe un umbral, un aumento de </w:t>
      </w:r>
      <w:r>
        <w:rPr>
          <w:spacing w:val="-3"/>
        </w:rPr>
        <w:t>la </w:t>
      </w:r>
      <w:r>
        <w:rPr/>
        <w:t>temperatura o el estado febril, especialmente cuando persistente durante más de un día, indica el deterioro y </w:t>
      </w:r>
      <w:r>
        <w:rPr>
          <w:spacing w:val="-3"/>
        </w:rPr>
        <w:t>la </w:t>
      </w:r>
      <w:r>
        <w:rPr/>
        <w:t>persistencia de una infección y en conjunto con otros parámetros por </w:t>
      </w:r>
      <w:r>
        <w:rPr>
          <w:spacing w:val="-3"/>
        </w:rPr>
        <w:t>lo </w:t>
      </w:r>
      <w:r>
        <w:rPr/>
        <w:t>general conduce a otro re</w:t>
      </w:r>
      <w:r>
        <w:rPr>
          <w:spacing w:val="-1"/>
        </w:rPr>
        <w:t> </w:t>
      </w:r>
      <w:r>
        <w:rPr/>
        <w:t>intervención.</w:t>
      </w:r>
    </w:p>
    <w:p>
      <w:pPr>
        <w:pStyle w:val="BodyText"/>
        <w:spacing w:line="276" w:lineRule="auto" w:before="201"/>
        <w:ind w:left="680" w:right="1431"/>
        <w:jc w:val="both"/>
      </w:pPr>
      <w:r>
        <w:rPr/>
        <w:t>En los casos de mejoría de los parámetros clínicos y de laboratorio, el movimiento pasivo continuo se aplica cuidadosamente para apoyar </w:t>
      </w:r>
      <w:r>
        <w:rPr>
          <w:spacing w:val="-3"/>
        </w:rPr>
        <w:t>la </w:t>
      </w:r>
      <w:r>
        <w:rPr/>
        <w:t>recuperación de </w:t>
      </w:r>
      <w:r>
        <w:rPr>
          <w:spacing w:val="-3"/>
        </w:rPr>
        <w:t>la </w:t>
      </w:r>
      <w:r>
        <w:rPr/>
        <w:t>amplitud de movimiento. El tratamiento con antibióticos se vuelve a evaluar todos los días y cambia de acuerdo a los ensayos microbiológicos, si es necesario. En los casos de mejoras clínicas más de 5 a 6 días con disminuciones consistentes y sustanciales en los niveles de CRP, </w:t>
      </w:r>
      <w:r>
        <w:rPr>
          <w:spacing w:val="-3"/>
        </w:rPr>
        <w:t>la </w:t>
      </w:r>
      <w:r>
        <w:rPr/>
        <w:t>administración oral de antibióticos es considerado. Los agentes con una alta biodisponibilidad oral (rifampicina, clindamicina, quinolonas) son entonces conmutados temprano para </w:t>
      </w:r>
      <w:r>
        <w:rPr>
          <w:spacing w:val="-3"/>
        </w:rPr>
        <w:t>la </w:t>
      </w:r>
      <w:r>
        <w:rPr/>
        <w:t>administración oral, mientras que los agentes con baja biodisponibilidad oral o una dosificación oral significativamente menor (por ejemplo, cefalosporinas, penicilinas) se continuó a ser administrado por vía intravenosa durante un período más largo. Este último también se aplica para los agentes que sólo están disponibles para </w:t>
      </w:r>
      <w:r>
        <w:rPr>
          <w:spacing w:val="-3"/>
        </w:rPr>
        <w:t>la </w:t>
      </w:r>
      <w:r>
        <w:rPr/>
        <w:t>administración parenteral (por ejemplo, vancomicina) antes de que estos se cambian a los medicamentos disponibles por vía oral.Los pacientes son dados de alta con antibióticos orales y exámenes de seguimiento se llevan a cabo sobre una base semanal. La duración de </w:t>
      </w:r>
      <w:r>
        <w:rPr>
          <w:spacing w:val="-3"/>
        </w:rPr>
        <w:t>la  </w:t>
      </w:r>
      <w:r>
        <w:rPr/>
        <w:t>terapia con antibióticos se basa en el curso individual de cada paciente, y cuando los niveles de PCR están dentro del rango normal (&lt;5 mg / L) se termina </w:t>
      </w:r>
      <w:r>
        <w:rPr>
          <w:spacing w:val="-3"/>
        </w:rPr>
        <w:t>la </w:t>
      </w:r>
      <w:r>
        <w:rPr/>
        <w:t>terapia</w:t>
      </w:r>
      <w:r>
        <w:rPr>
          <w:spacing w:val="38"/>
        </w:rPr>
        <w:t> </w:t>
      </w:r>
      <w:r>
        <w:rPr/>
        <w:t>con</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pStyle w:val="BodyText"/>
        <w:spacing w:before="4"/>
        <w:rPr>
          <w:sz w:val="18"/>
        </w:rPr>
      </w:pPr>
    </w:p>
    <w:p>
      <w:pPr>
        <w:pStyle w:val="BodyText"/>
        <w:ind w:left="1444"/>
        <w:rPr>
          <w:sz w:val="20"/>
        </w:rPr>
      </w:pPr>
      <w:r>
        <w:rPr>
          <w:sz w:val="20"/>
        </w:rPr>
        <w:pict>
          <v:group style="width:504.3pt;height:25.5pt;mso-position-horizontal-relative:char;mso-position-vertical-relative:line" coordorigin="0,0" coordsize="10086,510">
            <v:shape style="position:absolute;left:9376;top:101;width:660;height:300" type="#_x0000_t75" stroked="false">
              <v:imagedata r:id="rId36" o:title=""/>
            </v:shape>
            <v:rect style="position:absolute;left:25;top:10;width:9286;height:30" filled="true" fillcolor="#3366cc" stroked="false">
              <v:fill type="solid"/>
            </v:rect>
            <v:rect style="position:absolute;left:15;top:0;width:9306;height:50" filled="true" fillcolor="#006fc0" stroked="false">
              <v:fill type="solid"/>
            </v:rect>
            <v:shape style="position:absolute;left:0;top:189;width:9276;height:320" type="#_x0000_t75" stroked="false">
              <v:imagedata r:id="rId50" o:title=""/>
            </v:shape>
            <v:shape style="position:absolute;left:2377;top:196;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9346;top:159;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11</w:t>
                    </w:r>
                    <w:r>
                      <w:rPr>
                        <w:rFonts w:ascii="Calibri"/>
                        <w:color w:val="FFFFFF"/>
                        <w:spacing w:val="-18"/>
                        <w:sz w:val="28"/>
                        <w:shd w:fill="3366CC" w:color="auto" w:val="clear"/>
                      </w:rPr>
                      <w:t> </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pStyle w:val="BodyText"/>
        <w:spacing w:before="11"/>
        <w:rPr>
          <w:sz w:val="16"/>
        </w:rPr>
      </w:pPr>
    </w:p>
    <w:p>
      <w:pPr>
        <w:spacing w:after="0"/>
        <w:rPr>
          <w:sz w:val="16"/>
        </w:rPr>
        <w:sectPr>
          <w:headerReference w:type="default" r:id="rId62"/>
          <w:footerReference w:type="default" r:id="rId63"/>
          <w:pgSz w:w="12240" w:h="15840"/>
          <w:pgMar w:header="717" w:footer="0" w:top="900" w:bottom="280" w:left="0" w:right="0"/>
        </w:sectPr>
      </w:pPr>
    </w:p>
    <w:p>
      <w:pPr>
        <w:pStyle w:val="BodyText"/>
        <w:spacing w:line="278" w:lineRule="auto" w:before="95"/>
        <w:ind w:left="1440" w:right="3"/>
        <w:jc w:val="both"/>
      </w:pPr>
      <w:r>
        <w:rPr/>
        <w:t>antibióticos. Los exámenes de seguimiento (incluyendo PCR) están programadas de la</w:t>
      </w:r>
    </w:p>
    <w:p>
      <w:pPr>
        <w:pStyle w:val="BodyText"/>
        <w:spacing w:line="276" w:lineRule="auto"/>
        <w:ind w:left="1440"/>
        <w:jc w:val="both"/>
      </w:pPr>
      <w:r>
        <w:rPr/>
        <w:t>1 y 4 a 6 semanas después de que </w:t>
      </w:r>
      <w:r>
        <w:rPr>
          <w:spacing w:val="-3"/>
        </w:rPr>
        <w:t>la </w:t>
      </w:r>
      <w:r>
        <w:rPr/>
        <w:t>terapia con antibióticos se ha detenido para revelar un deterioro o </w:t>
      </w:r>
      <w:r>
        <w:rPr>
          <w:spacing w:val="-3"/>
        </w:rPr>
        <w:t>la </w:t>
      </w:r>
      <w:r>
        <w:rPr/>
        <w:t>recurrencia de una infección y para ver si surgen problemas asociados (por ejemplo, los déficits considerables en el rango de movimiento). Los pacientes tratados con éxito se consideran cuando no hay recurrencia de los síntomas dentro de este</w:t>
      </w:r>
      <w:r>
        <w:rPr>
          <w:spacing w:val="-6"/>
        </w:rPr>
        <w:t> </w:t>
      </w:r>
      <w:r>
        <w:rPr/>
        <w:t>período.</w:t>
      </w:r>
    </w:p>
    <w:p>
      <w:pPr>
        <w:pStyle w:val="BodyText"/>
        <w:rPr>
          <w:sz w:val="24"/>
        </w:rPr>
      </w:pPr>
    </w:p>
    <w:p>
      <w:pPr>
        <w:pStyle w:val="BodyText"/>
        <w:rPr>
          <w:sz w:val="24"/>
        </w:rPr>
      </w:pPr>
    </w:p>
    <w:p>
      <w:pPr>
        <w:pStyle w:val="Heading4"/>
        <w:spacing w:before="168"/>
        <w:jc w:val="both"/>
      </w:pPr>
      <w:r>
        <w:rPr/>
        <w:t>BIBLIOGRAFIA</w:t>
      </w:r>
    </w:p>
    <w:p>
      <w:pPr>
        <w:spacing w:before="92"/>
        <w:ind w:left="678" w:right="0" w:firstLine="0"/>
        <w:jc w:val="left"/>
        <w:rPr>
          <w:b/>
          <w:sz w:val="24"/>
        </w:rPr>
      </w:pPr>
      <w:r>
        <w:rPr/>
        <w:br w:type="column"/>
      </w:r>
      <w:r>
        <w:rPr>
          <w:b/>
          <w:sz w:val="24"/>
        </w:rPr>
        <w:t>CONCLUSION</w:t>
      </w:r>
    </w:p>
    <w:p>
      <w:pPr>
        <w:pStyle w:val="BodyText"/>
        <w:rPr>
          <w:b/>
          <w:sz w:val="21"/>
        </w:rPr>
      </w:pPr>
    </w:p>
    <w:p>
      <w:pPr>
        <w:pStyle w:val="BodyText"/>
        <w:spacing w:line="276" w:lineRule="auto" w:before="1"/>
        <w:ind w:left="678" w:right="1433"/>
        <w:jc w:val="both"/>
      </w:pPr>
      <w:r>
        <w:rPr/>
        <w:t>La artritis séptica después de </w:t>
      </w:r>
      <w:r>
        <w:rPr>
          <w:spacing w:val="-3"/>
        </w:rPr>
        <w:t>la </w:t>
      </w:r>
      <w:r>
        <w:rPr/>
        <w:t>reconstrucción del LCA es una complicación rara pero potencialmente devastadora. El protocolo de tratamiento propuesto es desbridamiento  artroscópico </w:t>
      </w:r>
      <w:r>
        <w:rPr>
          <w:spacing w:val="-3"/>
        </w:rPr>
        <w:t>lo </w:t>
      </w:r>
      <w:r>
        <w:rPr/>
        <w:t>más pronto posible con </w:t>
      </w:r>
      <w:r>
        <w:rPr>
          <w:spacing w:val="-3"/>
        </w:rPr>
        <w:t>la </w:t>
      </w:r>
      <w:r>
        <w:rPr/>
        <w:t>retención del injerto de LCA cuando todavía es funcional. El desbridamiento artroscópico debe repetirse si no hay respuesta inicial adecuada sin necesidad de retirar el injerto LCA.</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10"/>
        <w:rPr>
          <w:sz w:val="20"/>
        </w:rPr>
      </w:pPr>
    </w:p>
    <w:p>
      <w:pPr>
        <w:pStyle w:val="ListParagraph"/>
        <w:numPr>
          <w:ilvl w:val="1"/>
          <w:numId w:val="4"/>
        </w:numPr>
        <w:tabs>
          <w:tab w:pos="1801" w:val="left" w:leader="none"/>
        </w:tabs>
        <w:spacing w:line="273" w:lineRule="auto" w:before="100" w:after="0"/>
        <w:ind w:left="1800" w:right="1436" w:hanging="360"/>
        <w:jc w:val="both"/>
        <w:rPr>
          <w:rFonts w:ascii="Symbol"/>
          <w:sz w:val="20"/>
        </w:rPr>
      </w:pPr>
      <w:r>
        <w:rPr>
          <w:sz w:val="20"/>
        </w:rPr>
        <w:t>Sonnery B.,Archbold P.,Zayni R., et al.. (Noviembre 2011). Prevalence of Septic Arthritis After Anterior Cruciate Ligament Reconstruction </w:t>
      </w:r>
      <w:r>
        <w:rPr>
          <w:spacing w:val="-3"/>
          <w:sz w:val="20"/>
        </w:rPr>
        <w:t>Among </w:t>
      </w:r>
      <w:r>
        <w:rPr>
          <w:sz w:val="20"/>
        </w:rPr>
        <w:t>Professional Athletes. The American Journal of Sports Medicine, 39,</w:t>
      </w:r>
      <w:r>
        <w:rPr>
          <w:spacing w:val="-5"/>
          <w:sz w:val="20"/>
        </w:rPr>
        <w:t> </w:t>
      </w:r>
      <w:r>
        <w:rPr>
          <w:sz w:val="20"/>
        </w:rPr>
        <w:t>2371-2376.</w:t>
      </w:r>
    </w:p>
    <w:p>
      <w:pPr>
        <w:pStyle w:val="ListParagraph"/>
        <w:numPr>
          <w:ilvl w:val="1"/>
          <w:numId w:val="4"/>
        </w:numPr>
        <w:tabs>
          <w:tab w:pos="1801" w:val="left" w:leader="none"/>
        </w:tabs>
        <w:spacing w:line="273" w:lineRule="auto" w:before="5" w:after="0"/>
        <w:ind w:left="1800" w:right="1435" w:hanging="360"/>
        <w:jc w:val="both"/>
        <w:rPr>
          <w:rFonts w:ascii="Symbol"/>
          <w:sz w:val="20"/>
        </w:rPr>
      </w:pPr>
      <w:r>
        <w:rPr>
          <w:sz w:val="20"/>
        </w:rPr>
        <w:t>Schub D., Schmitz L., Sakamoto F., et al.. (Deciembre 2012). Long-term Outcomes of Posoperative Septic Arthritis After Anterior Cruciate Ligament Reconstruction . The American Journal of Sports Medicine, 40,</w:t>
      </w:r>
      <w:r>
        <w:rPr>
          <w:spacing w:val="-1"/>
          <w:sz w:val="20"/>
        </w:rPr>
        <w:t> </w:t>
      </w:r>
      <w:r>
        <w:rPr>
          <w:sz w:val="20"/>
        </w:rPr>
        <w:t>2764-2770.</w:t>
      </w:r>
    </w:p>
    <w:p>
      <w:pPr>
        <w:pStyle w:val="ListParagraph"/>
        <w:numPr>
          <w:ilvl w:val="1"/>
          <w:numId w:val="4"/>
        </w:numPr>
        <w:tabs>
          <w:tab w:pos="1801" w:val="left" w:leader="none"/>
        </w:tabs>
        <w:spacing w:line="271" w:lineRule="auto" w:before="1" w:after="0"/>
        <w:ind w:left="1800" w:right="1437" w:hanging="360"/>
        <w:jc w:val="both"/>
        <w:rPr>
          <w:rFonts w:ascii="Symbol"/>
          <w:sz w:val="22"/>
        </w:rPr>
      </w:pPr>
      <w:r>
        <w:rPr>
          <w:sz w:val="20"/>
        </w:rPr>
        <w:t>Schuster P., Schulz M., Immendoerfer M., et al.. (Diciembre 2015). Septic Arthritis After Arthroscopic Anterior Cruciate Ligament Reconstruction: Evaluation of an Arthroscopic Graft-Retaining Treatment Protocol. The American Journal of Sports Medicine, 43,</w:t>
      </w:r>
      <w:r>
        <w:rPr>
          <w:spacing w:val="-2"/>
          <w:sz w:val="20"/>
        </w:rPr>
        <w:t> </w:t>
      </w:r>
      <w:r>
        <w:rPr>
          <w:sz w:val="20"/>
        </w:rPr>
        <w:t>3005-3012</w:t>
      </w:r>
      <w:r>
        <w:rPr>
          <w:sz w:val="22"/>
        </w:rPr>
        <w:t>.</w:t>
      </w:r>
    </w:p>
    <w:p>
      <w:pPr>
        <w:pStyle w:val="BodyText"/>
        <w:spacing w:before="6"/>
        <w:rPr>
          <w:sz w:val="25"/>
        </w:rPr>
      </w:pPr>
    </w:p>
    <w:p>
      <w:pPr>
        <w:tabs>
          <w:tab w:pos="7548" w:val="left" w:leader="none"/>
        </w:tabs>
        <w:spacing w:before="0"/>
        <w:ind w:left="1440" w:right="0" w:firstLine="0"/>
        <w:jc w:val="left"/>
        <w:rPr>
          <w:sz w:val="20"/>
        </w:rPr>
      </w:pPr>
      <w:r>
        <w:rPr>
          <w:sz w:val="20"/>
        </w:rPr>
        <w:t>Recepción: 08 Marzo</w:t>
      </w:r>
      <w:r>
        <w:rPr>
          <w:spacing w:val="-4"/>
          <w:sz w:val="20"/>
        </w:rPr>
        <w:t> </w:t>
      </w:r>
      <w:r>
        <w:rPr>
          <w:sz w:val="20"/>
        </w:rPr>
        <w:t>de</w:t>
      </w:r>
      <w:r>
        <w:rPr>
          <w:spacing w:val="-2"/>
          <w:sz w:val="20"/>
        </w:rPr>
        <w:t> </w:t>
      </w:r>
      <w:r>
        <w:rPr>
          <w:sz w:val="20"/>
        </w:rPr>
        <w:t>2016</w:t>
        <w:tab/>
        <w:t>Aprobación:14 Marzo de 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line style="position:absolute;mso-position-horizontal-relative:page;mso-position-vertical-relative:paragraph;z-index:2080;mso-wrap-distance-left:0;mso-wrap-distance-right:0" from="73.492996pt,11.314196pt" to="539.252996pt,11.314196pt" stroked="true" strokeweight="1.4649pt" strokecolor="#3366cc">
            <v:stroke dashstyle="solid"/>
            <w10:wrap type="topAndBottom"/>
          </v:line>
        </w:pict>
      </w:r>
    </w:p>
    <w:p>
      <w:pPr>
        <w:pStyle w:val="BodyText"/>
        <w:spacing w:before="6"/>
        <w:rPr>
          <w:sz w:val="3"/>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12</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pStyle w:val="Heading3"/>
        <w:ind w:left="2776"/>
      </w:pPr>
      <w:r>
        <w:rPr/>
        <w:pict>
          <v:group style="position:absolute;margin-left:72.199997pt;margin-top:4.179631pt;width:103pt;height:475.05pt;mso-position-horizontal-relative:page;mso-position-vertical-relative:paragraph;z-index:2320" coordorigin="1444,84" coordsize="2060,9501">
            <v:shape style="position:absolute;left:1444;top:84;width:2060;height:9500" type="#_x0000_t75" stroked="false">
              <v:imagedata r:id="rId66" o:title=""/>
            </v:shape>
            <v:shape style="position:absolute;left:1612;top:83;width:1740;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120" w:right="137" w:firstLine="299"/>
                      <w:jc w:val="left"/>
                      <w:rPr>
                        <w:sz w:val="16"/>
                      </w:rPr>
                    </w:pPr>
                    <w:r>
                      <w:rPr>
                        <w:sz w:val="16"/>
                      </w:rPr>
                      <w:t>Vol.1 Num:4 Abril 2016 pp:13-16</w:t>
                    </w:r>
                  </w:p>
                </w:txbxContent>
              </v:textbox>
              <w10:wrap type="none"/>
            </v:shape>
            <v:shape style="position:absolute;left:1444;top:8317;width:1864;height:975" type="#_x0000_t202" filled="false" stroked="false">
              <v:textbox inset="0,0,0,0">
                <w:txbxContent>
                  <w:p>
                    <w:pPr>
                      <w:spacing w:line="261" w:lineRule="auto" w:before="0"/>
                      <w:ind w:left="0" w:right="-15" w:firstLine="0"/>
                      <w:jc w:val="left"/>
                      <w:rPr>
                        <w:sz w:val="16"/>
                      </w:rPr>
                    </w:pPr>
                    <w:r>
                      <w:rPr>
                        <w:sz w:val="16"/>
                      </w:rPr>
                      <w:t>*Médico General. Hospital San Carlos, CCSS</w:t>
                    </w:r>
                  </w:p>
                  <w:p>
                    <w:pPr>
                      <w:spacing w:line="180" w:lineRule="exact" w:before="5"/>
                      <w:ind w:left="0" w:right="0" w:firstLine="0"/>
                      <w:jc w:val="left"/>
                      <w:rPr>
                        <w:sz w:val="16"/>
                      </w:rPr>
                    </w:pPr>
                    <w:r>
                      <w:rPr>
                        <w:sz w:val="16"/>
                      </w:rPr>
                      <w:t>Costa Rica</w:t>
                    </w:r>
                  </w:p>
                  <w:p>
                    <w:pPr>
                      <w:spacing w:line="261" w:lineRule="auto" w:before="15"/>
                      <w:ind w:left="0" w:right="36" w:firstLine="0"/>
                      <w:jc w:val="left"/>
                      <w:rPr>
                        <w:sz w:val="16"/>
                      </w:rPr>
                    </w:pPr>
                    <w:r>
                      <w:rPr>
                        <w:sz w:val="16"/>
                      </w:rPr>
                      <w:t>Correo electrónico: </w:t>
                    </w:r>
                    <w:hyperlink r:id="rId67">
                      <w:r>
                        <w:rPr>
                          <w:sz w:val="16"/>
                        </w:rPr>
                        <w:t>jeinnymaro@hotmail.com</w:t>
                      </w:r>
                    </w:hyperlink>
                  </w:p>
                </w:txbxContent>
              </v:textbox>
              <w10:wrap type="none"/>
            </v:shape>
            <w10:wrap type="none"/>
          </v:group>
        </w:pict>
      </w:r>
      <w:r>
        <w:rPr/>
        <w:t>ATURDIMIENTO MIOCARDICO NEUROGENICO</w:t>
      </w:r>
    </w:p>
    <w:p>
      <w:pPr>
        <w:spacing w:before="53"/>
        <w:ind w:left="2776" w:right="525" w:firstLine="0"/>
        <w:jc w:val="center"/>
        <w:rPr>
          <w:sz w:val="20"/>
        </w:rPr>
      </w:pPr>
      <w:r>
        <w:rPr>
          <w:sz w:val="20"/>
        </w:rPr>
        <w:t>(NEUROGENIC STUNNED MYOCARDIUM)</w:t>
      </w:r>
    </w:p>
    <w:p>
      <w:pPr>
        <w:pStyle w:val="BodyText"/>
        <w:spacing w:before="10"/>
        <w:rPr>
          <w:sz w:val="23"/>
        </w:rPr>
      </w:pPr>
    </w:p>
    <w:p>
      <w:pPr>
        <w:pStyle w:val="BodyText"/>
        <w:ind w:right="1427"/>
        <w:jc w:val="right"/>
      </w:pPr>
      <w:r>
        <w:rPr/>
        <w:t>*Jeinny Maroto Fernández</w:t>
      </w:r>
    </w:p>
    <w:p>
      <w:pPr>
        <w:pStyle w:val="BodyText"/>
        <w:spacing w:before="4"/>
        <w:rPr>
          <w:sz w:val="21"/>
        </w:rPr>
      </w:pPr>
    </w:p>
    <w:p>
      <w:pPr>
        <w:pStyle w:val="BodyText"/>
        <w:spacing w:before="93"/>
        <w:ind w:left="3829"/>
      </w:pPr>
      <w:r>
        <w:rPr/>
        <w:drawing>
          <wp:anchor distT="0" distB="0" distL="0" distR="0" allowOverlap="1" layoutInCell="1" locked="0" behindDoc="1" simplePos="0" relativeHeight="268386551">
            <wp:simplePos x="0" y="0"/>
            <wp:positionH relativeFrom="page">
              <wp:posOffset>2333625</wp:posOffset>
            </wp:positionH>
            <wp:positionV relativeFrom="paragraph">
              <wp:posOffset>9116</wp:posOffset>
            </wp:positionV>
            <wp:extent cx="4638675" cy="5276850"/>
            <wp:effectExtent l="0" t="0" r="0" b="0"/>
            <wp:wrapNone/>
            <wp:docPr id="25" name="image39.png" descr=""/>
            <wp:cNvGraphicFramePr>
              <a:graphicFrameLocks noChangeAspect="1"/>
            </wp:cNvGraphicFramePr>
            <a:graphic>
              <a:graphicData uri="http://schemas.openxmlformats.org/drawingml/2006/picture">
                <pic:pic>
                  <pic:nvPicPr>
                    <pic:cNvPr id="26" name="image39.png"/>
                    <pic:cNvPicPr/>
                  </pic:nvPicPr>
                  <pic:blipFill>
                    <a:blip r:embed="rId68" cstate="print"/>
                    <a:stretch>
                      <a:fillRect/>
                    </a:stretch>
                  </pic:blipFill>
                  <pic:spPr>
                    <a:xfrm>
                      <a:off x="0" y="0"/>
                      <a:ext cx="4638675" cy="5276850"/>
                    </a:xfrm>
                    <a:prstGeom prst="rect">
                      <a:avLst/>
                    </a:prstGeom>
                  </pic:spPr>
                </pic:pic>
              </a:graphicData>
            </a:graphic>
          </wp:anchor>
        </w:drawing>
      </w:r>
      <w:r>
        <w:rPr/>
        <w:t>RESUMEN</w:t>
      </w:r>
    </w:p>
    <w:p>
      <w:pPr>
        <w:pStyle w:val="BodyText"/>
        <w:spacing w:line="276" w:lineRule="auto" w:before="34"/>
        <w:ind w:left="3829" w:right="1409"/>
        <w:jc w:val="both"/>
      </w:pPr>
      <w:r>
        <w:rPr/>
        <w:t>El aturdimiento miocárdico neurogénico puede ser definido como el daño y disfunción miocárdica que ocurre después de diversos tipos de eventos cerebrales agudos como un resultado del desbalance del sistema nervioso autónomo.</w:t>
      </w:r>
    </w:p>
    <w:p>
      <w:pPr>
        <w:pStyle w:val="BodyText"/>
        <w:spacing w:line="276" w:lineRule="auto"/>
        <w:ind w:left="3829" w:right="1409"/>
        <w:jc w:val="both"/>
      </w:pPr>
      <w:r>
        <w:rPr/>
        <w:t>La principal morfología electrocardiográfica se relaciona con anormalidades de la repolarización ventricular, entre estas, elevación del ST e inversión de las ondas T en el electrocardiograma; además presentan una leve elevación de las enzimas cardiacas. El tratamiento con fármacos beta-bloqueadores, se consideran una buena opción.</w:t>
      </w:r>
    </w:p>
    <w:p>
      <w:pPr>
        <w:pStyle w:val="BodyText"/>
        <w:spacing w:before="9"/>
        <w:rPr>
          <w:sz w:val="25"/>
        </w:rPr>
      </w:pPr>
    </w:p>
    <w:p>
      <w:pPr>
        <w:pStyle w:val="BodyText"/>
        <w:ind w:left="3829"/>
        <w:jc w:val="both"/>
      </w:pPr>
      <w:r>
        <w:rPr/>
        <w:t>DESCRIPTORES</w:t>
      </w:r>
    </w:p>
    <w:p>
      <w:pPr>
        <w:pStyle w:val="BodyText"/>
        <w:spacing w:before="39"/>
        <w:ind w:left="3829"/>
        <w:jc w:val="both"/>
      </w:pPr>
      <w:r>
        <w:rPr/>
        <w:t>Neurogénico, aturdimiento miocárdico, elevación del ST, troponina I</w:t>
      </w:r>
    </w:p>
    <w:p>
      <w:pPr>
        <w:pStyle w:val="BodyText"/>
        <w:spacing w:before="35"/>
        <w:ind w:left="3829"/>
        <w:jc w:val="both"/>
      </w:pPr>
      <w:r>
        <w:rPr/>
        <w:t>Catecolaminergica.</w:t>
      </w:r>
    </w:p>
    <w:p>
      <w:pPr>
        <w:pStyle w:val="BodyText"/>
        <w:spacing w:before="9"/>
        <w:rPr>
          <w:sz w:val="28"/>
        </w:rPr>
      </w:pPr>
    </w:p>
    <w:p>
      <w:pPr>
        <w:pStyle w:val="BodyText"/>
        <w:ind w:left="3829"/>
        <w:jc w:val="both"/>
      </w:pPr>
      <w:r>
        <w:rPr/>
        <w:t>SUMMARY</w:t>
      </w:r>
    </w:p>
    <w:p>
      <w:pPr>
        <w:pStyle w:val="BodyText"/>
        <w:spacing w:line="276" w:lineRule="auto" w:before="34"/>
        <w:ind w:left="3829" w:right="1403"/>
        <w:jc w:val="both"/>
      </w:pPr>
      <w:r>
        <w:rPr/>
        <w:t>Neurogenic myocardial stunning may be defined as the damage and myocardial dysfunction that occurs after various types of acute cerebral events as a result of the imbalance of the autonomic nervous system. The main electrocardiographic morphology </w:t>
      </w:r>
      <w:r>
        <w:rPr>
          <w:spacing w:val="-3"/>
        </w:rPr>
        <w:t>is </w:t>
      </w:r>
      <w:r>
        <w:rPr/>
        <w:t>related to ventricular repolarization abnormalities, among these, ST elevation and inversion of the T wave on the electrocardiogram; also they have a mild elevation of cardiac enzymes. Treatment </w:t>
      </w:r>
      <w:r>
        <w:rPr>
          <w:spacing w:val="-3"/>
        </w:rPr>
        <w:t>with </w:t>
      </w:r>
      <w:r>
        <w:rPr/>
        <w:t>beta-blocking drugs </w:t>
      </w:r>
      <w:r>
        <w:rPr>
          <w:spacing w:val="-3"/>
        </w:rPr>
        <w:t>is </w:t>
      </w:r>
      <w:r>
        <w:rPr/>
        <w:t>considered a good</w:t>
      </w:r>
      <w:r>
        <w:rPr>
          <w:spacing w:val="-1"/>
        </w:rPr>
        <w:t> </w:t>
      </w:r>
      <w:r>
        <w:rPr/>
        <w:t>choice</w:t>
      </w:r>
    </w:p>
    <w:p>
      <w:pPr>
        <w:pStyle w:val="BodyText"/>
        <w:spacing w:before="2"/>
        <w:rPr>
          <w:sz w:val="25"/>
        </w:rPr>
      </w:pPr>
    </w:p>
    <w:p>
      <w:pPr>
        <w:pStyle w:val="BodyText"/>
        <w:ind w:left="3829"/>
      </w:pPr>
      <w:r>
        <w:rPr/>
        <w:t>KEYWORDS</w:t>
      </w:r>
    </w:p>
    <w:p>
      <w:pPr>
        <w:pStyle w:val="BodyText"/>
        <w:spacing w:line="280" w:lineRule="auto" w:before="38"/>
        <w:ind w:left="3829" w:right="1725"/>
      </w:pPr>
      <w:r>
        <w:rPr/>
        <w:t>Neurogenic, myocardial stunning, ST elevation, Troponin I Catecholaminergic.</w:t>
      </w:r>
    </w:p>
    <w:p>
      <w:pPr>
        <w:pStyle w:val="BodyText"/>
        <w:spacing w:before="1"/>
        <w:rPr>
          <w:sz w:val="23"/>
        </w:rPr>
      </w:pPr>
    </w:p>
    <w:p>
      <w:pPr>
        <w:spacing w:after="0"/>
        <w:rPr>
          <w:sz w:val="23"/>
        </w:rPr>
        <w:sectPr>
          <w:headerReference w:type="default" r:id="rId64"/>
          <w:footerReference w:type="default" r:id="rId65"/>
          <w:pgSz w:w="12240" w:h="15840"/>
          <w:pgMar w:header="0" w:footer="0" w:top="1360" w:bottom="280" w:left="0" w:right="0"/>
        </w:sectPr>
      </w:pPr>
    </w:p>
    <w:p>
      <w:pPr>
        <w:pStyle w:val="Heading4"/>
        <w:spacing w:before="92"/>
      </w:pPr>
      <w:r>
        <w:rPr/>
        <w:t>INTRODUCCION</w:t>
      </w:r>
    </w:p>
    <w:p>
      <w:pPr>
        <w:pStyle w:val="BodyText"/>
        <w:spacing w:before="4"/>
        <w:rPr>
          <w:b/>
          <w:sz w:val="21"/>
        </w:rPr>
      </w:pPr>
    </w:p>
    <w:p>
      <w:pPr>
        <w:pStyle w:val="BodyText"/>
        <w:spacing w:line="276" w:lineRule="auto" w:before="1"/>
        <w:ind w:left="1440"/>
        <w:jc w:val="both"/>
      </w:pPr>
      <w:r>
        <w:rPr/>
        <w:t>Los eventos cerebrales agudos pueden ocasionar desordenes neurohumorales, que producen daño cardiaco agudo, entre esta isquemia miocárdica, arritmias e insuficiencia cardiaca, aumentando la mortalidad de estos pacientes. El NSM se ha descrito en pacientes con hemorragia subaracnoidea (HSA) principalmente, pero</w:t>
      </w:r>
    </w:p>
    <w:p>
      <w:pPr>
        <w:pStyle w:val="BodyText"/>
        <w:tabs>
          <w:tab w:pos="2677" w:val="left" w:leader="none"/>
          <w:tab w:pos="4228" w:val="left" w:leader="none"/>
        </w:tabs>
        <w:spacing w:line="276" w:lineRule="auto" w:before="95"/>
        <w:ind w:left="677" w:right="1435"/>
        <w:jc w:val="both"/>
      </w:pPr>
      <w:r>
        <w:rPr/>
        <w:br w:type="column"/>
      </w:r>
      <w:r>
        <w:rPr/>
        <w:t>se observa también en casos de hidrocefalia</w:t>
        <w:tab/>
        <w:t>aguda,</w:t>
        <w:tab/>
      </w:r>
      <w:r>
        <w:rPr>
          <w:spacing w:val="-1"/>
        </w:rPr>
        <w:t>eventos </w:t>
      </w:r>
      <w:r>
        <w:rPr/>
        <w:t>cerebrovasculares, traumas de cráneo, tumores cerebrales, entre</w:t>
      </w:r>
      <w:r>
        <w:rPr>
          <w:spacing w:val="-9"/>
        </w:rPr>
        <w:t> </w:t>
      </w:r>
      <w:r>
        <w:rPr/>
        <w:t>otros.</w:t>
      </w:r>
    </w:p>
    <w:p>
      <w:pPr>
        <w:pStyle w:val="BodyText"/>
        <w:rPr>
          <w:sz w:val="25"/>
        </w:rPr>
      </w:pPr>
    </w:p>
    <w:p>
      <w:pPr>
        <w:pStyle w:val="Heading4"/>
        <w:ind w:left="677"/>
      </w:pPr>
      <w:r>
        <w:rPr/>
        <w:t>DEFINICION</w:t>
      </w:r>
    </w:p>
    <w:p>
      <w:pPr>
        <w:pStyle w:val="BodyText"/>
        <w:spacing w:before="1"/>
        <w:rPr>
          <w:b/>
          <w:sz w:val="21"/>
        </w:rPr>
      </w:pPr>
    </w:p>
    <w:p>
      <w:pPr>
        <w:pStyle w:val="BodyText"/>
        <w:spacing w:line="276" w:lineRule="auto"/>
        <w:ind w:left="677" w:right="1433"/>
        <w:jc w:val="both"/>
      </w:pPr>
      <w:r>
        <w:rPr/>
        <w:t>El aturdimiento miocárdico neurogénico puede ser definido como el daño y disfunción miocárdica que ocurre después</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4"/>
        <w:rPr>
          <w:sz w:val="15"/>
        </w:rPr>
      </w:pPr>
    </w:p>
    <w:p>
      <w:pPr>
        <w:pStyle w:val="BodyText"/>
        <w:ind w:left="1444"/>
        <w:rPr>
          <w:sz w:val="20"/>
        </w:rPr>
      </w:pPr>
      <w:r>
        <w:rPr>
          <w:sz w:val="20"/>
        </w:rPr>
        <w:pict>
          <v:group style="width:504.3pt;height:25.5pt;mso-position-horizontal-relative:char;mso-position-vertical-relative:line" coordorigin="0,0" coordsize="10086,510">
            <v:shape style="position:absolute;left:9376;top:101;width:660;height:300" type="#_x0000_t75" stroked="false">
              <v:imagedata r:id="rId36" o:title=""/>
            </v:shape>
            <v:rect style="position:absolute;left:25;top:10;width:9286;height:30" filled="true" fillcolor="#3366cc" stroked="false">
              <v:fill type="solid"/>
            </v:rect>
            <v:rect style="position:absolute;left:15;top:0;width:9306;height:50" filled="true" fillcolor="#006fc0" stroked="false">
              <v:fill type="solid"/>
            </v:rect>
            <v:shape style="position:absolute;left:0;top:189;width:9276;height:320" type="#_x0000_t75" stroked="false">
              <v:imagedata r:id="rId50" o:title=""/>
            </v:shape>
            <v:shape style="position:absolute;left:2377;top:196;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9346;top:159;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13</w:t>
                    </w:r>
                    <w:r>
                      <w:rPr>
                        <w:rFonts w:ascii="Calibri"/>
                        <w:color w:val="FFFFFF"/>
                        <w:spacing w:val="-18"/>
                        <w:sz w:val="28"/>
                        <w:shd w:fill="3366CC" w:color="auto" w:val="clear"/>
                      </w:rPr>
                      <w:t> </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spacing w:before="3"/>
        <w:rPr>
          <w:sz w:val="20"/>
        </w:rPr>
      </w:pPr>
    </w:p>
    <w:p>
      <w:pPr>
        <w:spacing w:after="0"/>
        <w:rPr>
          <w:sz w:val="20"/>
        </w:rPr>
        <w:sectPr>
          <w:headerReference w:type="default" r:id="rId69"/>
          <w:footerReference w:type="default" r:id="rId70"/>
          <w:pgSz w:w="12240" w:h="15840"/>
          <w:pgMar w:header="843" w:footer="0" w:top="1100" w:bottom="280" w:left="0" w:right="0"/>
        </w:sectPr>
      </w:pPr>
    </w:p>
    <w:p>
      <w:pPr>
        <w:pStyle w:val="BodyText"/>
        <w:spacing w:line="276" w:lineRule="auto" w:before="93"/>
        <w:ind w:left="1440"/>
        <w:jc w:val="both"/>
      </w:pPr>
      <w:r>
        <w:rPr/>
        <w:t>de diversos tipos de eventos cerebrales agudos como un resultado del desbalance del sistema nervioso autónomo. Se caracteriza por presentar alteraciones electrocardiográficas en un 72 a 92% de los pacientes, cambios segmentarios en </w:t>
      </w:r>
      <w:r>
        <w:rPr>
          <w:spacing w:val="-3"/>
        </w:rPr>
        <w:t>la </w:t>
      </w:r>
      <w:r>
        <w:rPr/>
        <w:t>pared del ventrículo izquierdo y elevación de los biomarcadores</w:t>
      </w:r>
      <w:r>
        <w:rPr>
          <w:spacing w:val="-2"/>
        </w:rPr>
        <w:t> </w:t>
      </w:r>
      <w:r>
        <w:rPr/>
        <w:t>cardiacos.</w:t>
      </w:r>
    </w:p>
    <w:p>
      <w:pPr>
        <w:pStyle w:val="BodyText"/>
        <w:spacing w:line="276" w:lineRule="auto" w:before="1"/>
        <w:ind w:left="1440"/>
        <w:jc w:val="both"/>
      </w:pPr>
      <w:r>
        <w:rPr/>
        <w:t>El electrocardiograma ha demostrado ser una herramienta muy útil para valorar la actividad autonómica, por ejemplo, en un estudio realizado por Edwin Byer et al, reportaron cambios electrocardiográficos como intervalos QT largos y ondas T prominentes en pacientes con eventos cerebrales agudos. Hasta un 60 a 70% de los casos de las hemorragias intercerebrales, un 40- 60% de las HSA y el 15-40% de los AVC isquémicos presentan cambios electrocardiográficos.</w:t>
      </w:r>
    </w:p>
    <w:p>
      <w:pPr>
        <w:pStyle w:val="Heading4"/>
        <w:spacing w:before="199"/>
      </w:pPr>
      <w:r>
        <w:rPr/>
        <w:t>PRESENTACION CLINICA</w:t>
      </w:r>
    </w:p>
    <w:p>
      <w:pPr>
        <w:pStyle w:val="BodyText"/>
        <w:spacing w:before="1"/>
        <w:rPr>
          <w:b/>
          <w:sz w:val="21"/>
        </w:rPr>
      </w:pPr>
    </w:p>
    <w:p>
      <w:pPr>
        <w:pStyle w:val="BodyText"/>
        <w:spacing w:line="276" w:lineRule="auto"/>
        <w:ind w:left="1440" w:right="1"/>
        <w:jc w:val="both"/>
      </w:pPr>
      <w:r>
        <w:rPr/>
        <w:t>El NSM se caracteriza por presentar arterias coronarias normales, </w:t>
      </w:r>
      <w:r>
        <w:rPr>
          <w:spacing w:val="-3"/>
        </w:rPr>
        <w:t>la </w:t>
      </w:r>
      <w:r>
        <w:rPr/>
        <w:t>principal morfología electrocardiográfica se relaciona con anormalidades de </w:t>
      </w:r>
      <w:r>
        <w:rPr>
          <w:spacing w:val="-3"/>
        </w:rPr>
        <w:t>la </w:t>
      </w:r>
      <w:r>
        <w:rPr/>
        <w:t>repolarización ventricular, entre estas, elevación del ST e inversión de las ondas T en el electrocardiograma. Un artículo publicado por Tzung- Dau Wang y colegas reportaron el caso de una paciente de 65 años que en </w:t>
      </w:r>
      <w:r>
        <w:rPr>
          <w:spacing w:val="-3"/>
        </w:rPr>
        <w:t>la </w:t>
      </w:r>
      <w:r>
        <w:rPr/>
        <w:t>estadía hospitalaria presentó hemiparesia, asociando elevación del segmento ST en DIII en el electrocardiograma que evolucionó a los 30 minutos a ondas Q profundas. En el caso de HSA, las arritmias detectadas por monitorización con Holter, incluyen taquicardias supra ventriculares, bradicardia sinusal y taquiarritmias ventriculares, que se presentan con mayor frecuencia en las primeras 48</w:t>
      </w:r>
      <w:r>
        <w:rPr>
          <w:spacing w:val="-1"/>
        </w:rPr>
        <w:t> </w:t>
      </w:r>
      <w:r>
        <w:rPr/>
        <w:t>horas.</w:t>
      </w:r>
    </w:p>
    <w:p>
      <w:pPr>
        <w:pStyle w:val="BodyText"/>
        <w:spacing w:line="273" w:lineRule="auto" w:before="1"/>
        <w:ind w:left="1440" w:right="4"/>
        <w:jc w:val="both"/>
      </w:pPr>
      <w:r>
        <w:rPr/>
        <w:t>Los pacientes presentan una leve elevación de las enzimas cardiacas, en un estudio</w:t>
      </w:r>
    </w:p>
    <w:p>
      <w:pPr>
        <w:pStyle w:val="BodyText"/>
        <w:spacing w:line="276" w:lineRule="auto" w:before="93"/>
        <w:ind w:left="677" w:right="1435"/>
        <w:jc w:val="both"/>
      </w:pPr>
      <w:r>
        <w:rPr/>
        <w:br w:type="column"/>
      </w:r>
      <w:r>
        <w:rPr/>
        <w:t>realizado por H Ay y colaboradores se identificó las regiones del cerebro infartadas asociadas con daño miocárdico usando medición de biomarcadores cardiacas y DWIs (imágenes por difusión), señalan un umbral de diferencia entre el mecanismo neural y cardiaco para la elevación de troponina miocárdica, siendo estos no mayores a 1ng/ml en el 96% de los pacientes estudiados. En la HSA se ha observado que los niveles elevados de troponina cardiaca se relacionan con un peor pronóstico, independientemente de la severidad de esta.</w:t>
      </w:r>
    </w:p>
    <w:p>
      <w:pPr>
        <w:pStyle w:val="BodyText"/>
        <w:spacing w:line="276" w:lineRule="auto"/>
        <w:ind w:left="677" w:right="1431"/>
        <w:jc w:val="both"/>
      </w:pPr>
      <w:r>
        <w:rPr/>
        <w:t>El pico medio del evento cerebral agudo, en este caso HSA y </w:t>
      </w:r>
      <w:r>
        <w:rPr>
          <w:spacing w:val="-3"/>
        </w:rPr>
        <w:t>la </w:t>
      </w:r>
      <w:r>
        <w:rPr/>
        <w:t>elevación de las troponina cardiacas es de 1,7 días, este pico se relaciona con un incremento en </w:t>
      </w:r>
      <w:r>
        <w:rPr>
          <w:spacing w:val="-3"/>
        </w:rPr>
        <w:t>la </w:t>
      </w:r>
      <w:r>
        <w:rPr/>
        <w:t>incidencia ecocardiográfica de disfunción ventricular izquierda, complicaciones cardiopulmonares y aparición de isquemia cerebral.En un estudio retrospectivo, realizado en el Massachusetts General Hospital, se incluyeron pacientes que ingresaron por una HSA que en el ecocardiograma tuvieran evidencia de alguna disfunción en el ventrículo izquierdo, excluyendo a los pacientes con historia de enfermedad arterial coronaria o cardiomiopatía; en este estudio, de los 30 pacientes ingresados, 21 presentaron alteraciones regionales de </w:t>
      </w:r>
      <w:r>
        <w:rPr>
          <w:spacing w:val="-3"/>
        </w:rPr>
        <w:t>la </w:t>
      </w:r>
      <w:r>
        <w:rPr/>
        <w:t>contractilidad, mientras que 9 presentaron alteraciones globales. La recuperación de </w:t>
      </w:r>
      <w:r>
        <w:rPr>
          <w:spacing w:val="-3"/>
        </w:rPr>
        <w:t>la </w:t>
      </w:r>
      <w:r>
        <w:rPr/>
        <w:t>función ventricular suele darse en un periodo de 5 a 14 días, y las muertes en otros estudios se debieron al evento agudo neurológico y no a </w:t>
      </w:r>
      <w:r>
        <w:rPr>
          <w:spacing w:val="-3"/>
        </w:rPr>
        <w:t>la </w:t>
      </w:r>
      <w:r>
        <w:rPr/>
        <w:t>disfunción</w:t>
      </w:r>
      <w:r>
        <w:rPr>
          <w:spacing w:val="1"/>
        </w:rPr>
        <w:t> </w:t>
      </w:r>
      <w:r>
        <w:rPr/>
        <w:t>miocárdica.</w:t>
      </w:r>
    </w:p>
    <w:p>
      <w:pPr>
        <w:pStyle w:val="BodyText"/>
        <w:rPr>
          <w:sz w:val="21"/>
        </w:rPr>
      </w:pPr>
    </w:p>
    <w:p>
      <w:pPr>
        <w:pStyle w:val="Heading4"/>
        <w:ind w:left="677"/>
      </w:pPr>
      <w:r>
        <w:rPr/>
        <w:t>FISIOPATOLOGIA</w:t>
      </w:r>
    </w:p>
    <w:p>
      <w:pPr>
        <w:pStyle w:val="BodyText"/>
        <w:spacing w:before="1"/>
        <w:rPr>
          <w:b/>
          <w:sz w:val="21"/>
        </w:rPr>
      </w:pPr>
    </w:p>
    <w:p>
      <w:pPr>
        <w:pStyle w:val="BodyText"/>
        <w:spacing w:line="276" w:lineRule="auto"/>
        <w:ind w:left="677" w:right="1436"/>
        <w:jc w:val="both"/>
      </w:pPr>
      <w:r>
        <w:rPr/>
        <w:t>Las hipótesis propuestas como causa del aturdimiento miocárdico neurogénico señalan un aumento de la actividad catecolaminergico, ocasionada con una</w:t>
      </w:r>
    </w:p>
    <w:p>
      <w:pPr>
        <w:spacing w:after="0" w:line="276" w:lineRule="auto"/>
        <w:jc w:val="both"/>
        <w:sectPr>
          <w:type w:val="continuous"/>
          <w:pgSz w:w="12240" w:h="15840"/>
          <w:pgMar w:top="1500" w:bottom="0" w:left="0" w:right="0"/>
          <w:cols w:num="2" w:equalWidth="0">
            <w:col w:w="5765" w:space="40"/>
            <w:col w:w="6435"/>
          </w:cols>
        </w:sectPr>
      </w:pPr>
    </w:p>
    <w:p>
      <w:pPr>
        <w:pStyle w:val="BodyText"/>
        <w:spacing w:before="7" w:after="1"/>
        <w:rPr>
          <w:sz w:val="23"/>
        </w:rPr>
      </w:pPr>
    </w:p>
    <w:p>
      <w:pPr>
        <w:spacing w:line="30" w:lineRule="exact"/>
        <w:ind w:left="1454" w:right="0" w:firstLine="0"/>
        <w:rPr>
          <w:sz w:val="2"/>
        </w:rPr>
      </w:pPr>
      <w:r>
        <w:rPr>
          <w:rFonts w:ascii="Times New Roman"/>
          <w:spacing w:val="10"/>
          <w:sz w:val="2"/>
        </w:rPr>
        <w:t> </w:t>
      </w:r>
      <w:r>
        <w:rPr>
          <w:spacing w:val="10"/>
          <w:position w:val="0"/>
          <w:sz w:val="2"/>
        </w:rPr>
        <w:pict>
          <v:group style="width:465.8pt;height:1.5pt;mso-position-horizontal-relative:char;mso-position-vertical-relative:line" coordorigin="0,0" coordsize="9316,30">
            <v:line style="position:absolute" from="0,15" to="9315,15" stroked="true" strokeweight="1.4649pt" strokecolor="#3366cc">
              <v:stroke dashstyle="solid"/>
            </v:line>
          </v:group>
        </w:pict>
      </w:r>
      <w:r>
        <w:rPr>
          <w:spacing w:val="10"/>
          <w:position w:val="0"/>
          <w:sz w:val="2"/>
        </w:rPr>
      </w:r>
    </w:p>
    <w:p>
      <w:pPr>
        <w:pStyle w:val="BodyText"/>
        <w:spacing w:before="1"/>
        <w:rPr>
          <w:sz w:val="6"/>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14</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spacing w:before="1"/>
        <w:rPr>
          <w:sz w:val="20"/>
        </w:rPr>
      </w:pPr>
    </w:p>
    <w:p>
      <w:pPr>
        <w:spacing w:after="0"/>
        <w:rPr>
          <w:sz w:val="20"/>
        </w:rPr>
        <w:sectPr>
          <w:headerReference w:type="default" r:id="rId71"/>
          <w:footerReference w:type="default" r:id="rId72"/>
          <w:pgSz w:w="12240" w:h="15840"/>
          <w:pgMar w:header="843" w:footer="0" w:top="1100" w:bottom="280" w:left="0" w:right="0"/>
        </w:sectPr>
      </w:pPr>
    </w:p>
    <w:p>
      <w:pPr>
        <w:pStyle w:val="BodyText"/>
        <w:spacing w:line="276" w:lineRule="auto" w:before="95"/>
        <w:ind w:left="1440" w:right="2"/>
        <w:jc w:val="both"/>
      </w:pPr>
      <w:r>
        <w:rPr/>
        <w:t>anormalidad en </w:t>
      </w:r>
      <w:r>
        <w:rPr>
          <w:spacing w:val="-3"/>
        </w:rPr>
        <w:t>la </w:t>
      </w:r>
      <w:r>
        <w:rPr/>
        <w:t>regulación autonómica. La activación excesiva del sistema simpático ocasiona miocitólisis, con disfunción contráctil y proteólisis de </w:t>
      </w:r>
      <w:r>
        <w:rPr>
          <w:spacing w:val="-3"/>
        </w:rPr>
        <w:t>la </w:t>
      </w:r>
      <w:r>
        <w:rPr/>
        <w:t>Troponina</w:t>
      </w:r>
      <w:r>
        <w:rPr>
          <w:spacing w:val="-1"/>
        </w:rPr>
        <w:t> </w:t>
      </w:r>
      <w:r>
        <w:rPr/>
        <w:t>I.</w:t>
      </w:r>
    </w:p>
    <w:p>
      <w:pPr>
        <w:pStyle w:val="BodyText"/>
        <w:spacing w:line="276" w:lineRule="auto" w:before="2"/>
        <w:ind w:left="1440"/>
        <w:jc w:val="both"/>
      </w:pPr>
      <w:r>
        <w:rPr/>
        <w:t>La hipoperfusión cardiaca podría ser consecuencia del hipometabolismo producido por las catecolaminas, ocasionando toxicidad cardiaca, que por </w:t>
      </w:r>
      <w:r>
        <w:rPr>
          <w:spacing w:val="-3"/>
        </w:rPr>
        <w:t>la </w:t>
      </w:r>
      <w:r>
        <w:rPr/>
        <w:t>activación de AMPc produce una sobrecarga de Ca</w:t>
      </w:r>
      <w:r>
        <w:rPr>
          <w:vertAlign w:val="superscript"/>
        </w:rPr>
        <w:t>2+</w:t>
      </w:r>
      <w:r>
        <w:rPr>
          <w:vertAlign w:val="baseline"/>
        </w:rPr>
        <w:t> y de estrés</w:t>
      </w:r>
      <w:r>
        <w:rPr>
          <w:spacing w:val="-10"/>
          <w:vertAlign w:val="baseline"/>
        </w:rPr>
        <w:t> </w:t>
      </w:r>
      <w:r>
        <w:rPr>
          <w:vertAlign w:val="baseline"/>
        </w:rPr>
        <w:t>oxidativo.</w:t>
      </w:r>
    </w:p>
    <w:p>
      <w:pPr>
        <w:pStyle w:val="BodyText"/>
        <w:spacing w:line="276" w:lineRule="auto" w:before="2"/>
        <w:ind w:left="1440" w:right="3"/>
        <w:jc w:val="both"/>
      </w:pPr>
      <w:r>
        <w:rPr/>
        <w:t>Se ha propuesto como áreas cerebrales afectadas específicamente en </w:t>
      </w:r>
      <w:r>
        <w:rPr>
          <w:spacing w:val="-3"/>
        </w:rPr>
        <w:t>la </w:t>
      </w:r>
      <w:r>
        <w:rPr/>
        <w:t>HSA, </w:t>
      </w:r>
      <w:r>
        <w:rPr>
          <w:spacing w:val="-3"/>
        </w:rPr>
        <w:t>la </w:t>
      </w:r>
      <w:r>
        <w:rPr/>
        <w:t>corteza insular y el hipotálamo, donde hay un incremento de </w:t>
      </w:r>
      <w:r>
        <w:rPr>
          <w:spacing w:val="-3"/>
        </w:rPr>
        <w:t>la </w:t>
      </w:r>
      <w:r>
        <w:rPr/>
        <w:t>presión intracraneana con </w:t>
      </w:r>
      <w:r>
        <w:rPr>
          <w:spacing w:val="-3"/>
        </w:rPr>
        <w:t>la </w:t>
      </w:r>
      <w:r>
        <w:rPr/>
        <w:t>consecuente liberación de catecolaminas a las terminaciones nerviosas simpáticas en el miocardio. Además, </w:t>
      </w:r>
      <w:r>
        <w:rPr>
          <w:spacing w:val="-3"/>
        </w:rPr>
        <w:t>la </w:t>
      </w:r>
      <w:r>
        <w:rPr/>
        <w:t>activación aguda del sistema parasimpático, puede ser </w:t>
      </w:r>
      <w:r>
        <w:rPr>
          <w:spacing w:val="-3"/>
        </w:rPr>
        <w:t>la </w:t>
      </w:r>
      <w:r>
        <w:rPr/>
        <w:t>responsable de las anormalidades en el ECG y de </w:t>
      </w:r>
      <w:r>
        <w:rPr>
          <w:spacing w:val="-3"/>
        </w:rPr>
        <w:t>la </w:t>
      </w:r>
      <w:r>
        <w:rPr/>
        <w:t>disfunción cardiaca principalmente por </w:t>
      </w:r>
      <w:r>
        <w:rPr>
          <w:spacing w:val="-3"/>
        </w:rPr>
        <w:t>la </w:t>
      </w:r>
      <w:r>
        <w:rPr/>
        <w:t>modulación de </w:t>
      </w:r>
      <w:r>
        <w:rPr>
          <w:spacing w:val="-3"/>
        </w:rPr>
        <w:t>la </w:t>
      </w:r>
      <w:r>
        <w:rPr/>
        <w:t>respuesta inflamatoria, incluyendo citoquinas, moléculas de adhesión, péptidos con actividad biológica, que se producen en el cerebro y se liberan a </w:t>
      </w:r>
      <w:r>
        <w:rPr>
          <w:spacing w:val="-3"/>
        </w:rPr>
        <w:t>la</w:t>
      </w:r>
      <w:r>
        <w:rPr>
          <w:spacing w:val="-1"/>
        </w:rPr>
        <w:t> </w:t>
      </w:r>
      <w:r>
        <w:rPr/>
        <w:t>circulación.</w:t>
      </w:r>
    </w:p>
    <w:p>
      <w:pPr>
        <w:pStyle w:val="BodyText"/>
        <w:spacing w:line="276" w:lineRule="auto" w:before="2"/>
        <w:ind w:left="1440"/>
        <w:jc w:val="both"/>
      </w:pPr>
      <w:r>
        <w:rPr/>
        <w:t>La distribución de los receptores adrenérgicos señala una predilección en un primer evento cerebral agudo por la porción apical, sin embargo, en eventos recurrentes se observa la afectación en la parte media del corazón.</w:t>
      </w:r>
    </w:p>
    <w:p>
      <w:pPr>
        <w:pStyle w:val="BodyText"/>
        <w:spacing w:line="276" w:lineRule="auto" w:before="2"/>
        <w:ind w:left="1440" w:right="2"/>
        <w:jc w:val="both"/>
      </w:pPr>
      <w:r>
        <w:rPr/>
        <w:t>Por otro lado, las bradicardias y efectos vasopresores parecen ser inducidos por la estimulación de la ínsula derecha, mientras que la taquicardia y la hipertensión suelen ser más comunes en la estimulación de la ínsula izquierda. La prolongación del intervalo QT se puede observar después de la oclusión de la arteria cerebral media o en el caso de HSA a la hipopotasemia que se presenta en los pacientes.</w:t>
      </w:r>
    </w:p>
    <w:p>
      <w:pPr>
        <w:pStyle w:val="Heading4"/>
        <w:spacing w:before="93"/>
        <w:ind w:left="676"/>
        <w:jc w:val="both"/>
      </w:pPr>
      <w:r>
        <w:rPr>
          <w:b w:val="0"/>
        </w:rPr>
        <w:br w:type="column"/>
      </w:r>
      <w:r>
        <w:rPr/>
        <w:t>MANEJO Y TRATAMIENTO</w:t>
      </w:r>
    </w:p>
    <w:p>
      <w:pPr>
        <w:pStyle w:val="BodyText"/>
        <w:spacing w:before="1"/>
        <w:rPr>
          <w:b/>
          <w:sz w:val="21"/>
        </w:rPr>
      </w:pPr>
    </w:p>
    <w:p>
      <w:pPr>
        <w:pStyle w:val="BodyText"/>
        <w:spacing w:line="276" w:lineRule="auto"/>
        <w:ind w:left="676" w:right="1433"/>
        <w:jc w:val="both"/>
      </w:pPr>
      <w:r>
        <w:rPr/>
        <w:t>Al ingreso del paciente al servicio de emergencias, se debe realizar un electrocardiograma de 12 derivaciones y pruebas con biomarcadores cardiacos como </w:t>
      </w:r>
      <w:r>
        <w:rPr>
          <w:spacing w:val="-3"/>
        </w:rPr>
        <w:t>la </w:t>
      </w:r>
      <w:r>
        <w:rPr/>
        <w:t>Troponina I y </w:t>
      </w:r>
      <w:r>
        <w:rPr>
          <w:spacing w:val="1"/>
        </w:rPr>
        <w:t>el</w:t>
      </w:r>
      <w:r>
        <w:rPr>
          <w:spacing w:val="-10"/>
        </w:rPr>
        <w:t> </w:t>
      </w:r>
      <w:r>
        <w:rPr/>
        <w:t>BNP.</w:t>
      </w:r>
    </w:p>
    <w:p>
      <w:pPr>
        <w:pStyle w:val="BodyText"/>
        <w:spacing w:line="276" w:lineRule="auto" w:before="2"/>
        <w:ind w:left="676" w:right="1435"/>
        <w:jc w:val="both"/>
      </w:pPr>
      <w:r>
        <w:rPr/>
        <w:t>Se debe mantener una monitorización electrocardiográfica por </w:t>
      </w:r>
      <w:r>
        <w:rPr>
          <w:spacing w:val="-3"/>
        </w:rPr>
        <w:t>lo </w:t>
      </w:r>
      <w:r>
        <w:rPr/>
        <w:t>menos durante las primeras 72 horas, ya que este es el principal periodo de aparición de arritmias, sobre todo en pacientes con oclusión de </w:t>
      </w:r>
      <w:r>
        <w:rPr>
          <w:spacing w:val="-3"/>
        </w:rPr>
        <w:t>la </w:t>
      </w:r>
      <w:r>
        <w:rPr/>
        <w:t>arteria cerebral media derecha, HSA y hemorragias diencefálicas hipertensivas. Además, se recomienda </w:t>
      </w:r>
      <w:r>
        <w:rPr>
          <w:spacing w:val="-3"/>
        </w:rPr>
        <w:t>la </w:t>
      </w:r>
      <w:r>
        <w:rPr/>
        <w:t>realización  de un ecocardiograma para valorar </w:t>
      </w:r>
      <w:r>
        <w:rPr>
          <w:spacing w:val="-3"/>
        </w:rPr>
        <w:t>la </w:t>
      </w:r>
      <w:r>
        <w:rPr/>
        <w:t>motilidad de </w:t>
      </w:r>
      <w:r>
        <w:rPr>
          <w:spacing w:val="-3"/>
        </w:rPr>
        <w:t>la </w:t>
      </w:r>
      <w:r>
        <w:rPr/>
        <w:t>pared</w:t>
      </w:r>
      <w:r>
        <w:rPr>
          <w:spacing w:val="1"/>
        </w:rPr>
        <w:t> </w:t>
      </w:r>
      <w:r>
        <w:rPr/>
        <w:t>cardiaca.</w:t>
      </w:r>
    </w:p>
    <w:p>
      <w:pPr>
        <w:pStyle w:val="BodyText"/>
        <w:spacing w:line="276" w:lineRule="auto"/>
        <w:ind w:left="676" w:right="1429"/>
        <w:jc w:val="both"/>
      </w:pPr>
      <w:r>
        <w:rPr>
          <w:spacing w:val="-4"/>
        </w:rPr>
        <w:t>Ya </w:t>
      </w:r>
      <w:r>
        <w:rPr/>
        <w:t>que </w:t>
      </w:r>
      <w:r>
        <w:rPr>
          <w:spacing w:val="-3"/>
        </w:rPr>
        <w:t>la </w:t>
      </w:r>
      <w:r>
        <w:rPr/>
        <w:t>fisiopatología del NSM se  debe en gran parte a </w:t>
      </w:r>
      <w:r>
        <w:rPr>
          <w:spacing w:val="-3"/>
        </w:rPr>
        <w:t>la </w:t>
      </w:r>
      <w:r>
        <w:rPr/>
        <w:t>activación excesiva del sistema nervioso simpático, el bloqueo beta adrenérgico reduce </w:t>
      </w:r>
      <w:r>
        <w:rPr>
          <w:spacing w:val="-3"/>
        </w:rPr>
        <w:t>la </w:t>
      </w:r>
      <w:r>
        <w:rPr/>
        <w:t>disfunción miocárdica y controla tanto las arritmias supra ventriculares como las auriculares, y se ha propuesto como profilaxis en pacientes con un evento cerebral agudo, aunque estos pueden aumentar </w:t>
      </w:r>
      <w:r>
        <w:rPr>
          <w:spacing w:val="-3"/>
        </w:rPr>
        <w:t>la </w:t>
      </w:r>
      <w:r>
        <w:rPr/>
        <w:t>probabilidad de bradicardia, y </w:t>
      </w:r>
      <w:r>
        <w:rPr>
          <w:spacing w:val="-3"/>
        </w:rPr>
        <w:t>la </w:t>
      </w:r>
      <w:r>
        <w:rPr/>
        <w:t>hipoperfusión</w:t>
      </w:r>
      <w:r>
        <w:rPr>
          <w:spacing w:val="-2"/>
        </w:rPr>
        <w:t> </w:t>
      </w:r>
      <w:r>
        <w:rPr/>
        <w:t>cerebral.</w:t>
      </w:r>
    </w:p>
    <w:p>
      <w:pPr>
        <w:pStyle w:val="BodyText"/>
        <w:spacing w:line="276" w:lineRule="auto" w:before="3"/>
        <w:ind w:left="676" w:right="1437"/>
        <w:jc w:val="both"/>
      </w:pPr>
      <w:r>
        <w:rPr/>
        <w:t>Los inhibidores de la fosfodiesterasa, como la milrinone, pueden utilizarse para mejorar la contractilidad cardiaca, solo, o en última instancia junto a la dobutamina donde se han visto mejores resultados. En casos de disfunción miocárdica severa, el Levosimedan, un inodilatador, estaría indicado.</w:t>
      </w:r>
    </w:p>
    <w:p>
      <w:pPr>
        <w:pStyle w:val="BodyText"/>
        <w:spacing w:before="4"/>
        <w:rPr>
          <w:sz w:val="20"/>
        </w:rPr>
      </w:pPr>
    </w:p>
    <w:p>
      <w:pPr>
        <w:pStyle w:val="Heading4"/>
        <w:ind w:left="676"/>
        <w:jc w:val="both"/>
      </w:pPr>
      <w:r>
        <w:rPr/>
        <w:t>CONCLUSIONES</w:t>
      </w:r>
    </w:p>
    <w:p>
      <w:pPr>
        <w:pStyle w:val="BodyText"/>
        <w:spacing w:before="4"/>
        <w:rPr>
          <w:b/>
          <w:sz w:val="21"/>
        </w:rPr>
      </w:pPr>
    </w:p>
    <w:p>
      <w:pPr>
        <w:pStyle w:val="BodyText"/>
        <w:spacing w:line="276" w:lineRule="auto"/>
        <w:ind w:left="676" w:right="1432"/>
        <w:jc w:val="both"/>
      </w:pPr>
      <w:r>
        <w:rPr/>
        <w:t>El NSM debe considerarse en todo paciente con una lesión aguda del sistema nervioso central. La monitorización cardiaca, junto a análisis de biomarcadores y electrolitos son importantes tanto para el pronóstico como seguimiento de los pacientes.</w:t>
      </w:r>
    </w:p>
    <w:p>
      <w:pPr>
        <w:spacing w:after="0" w:line="276" w:lineRule="auto"/>
        <w:jc w:val="both"/>
        <w:sectPr>
          <w:type w:val="continuous"/>
          <w:pgSz w:w="12240" w:h="15840"/>
          <w:pgMar w:top="1500" w:bottom="0" w:left="0" w:right="0"/>
          <w:cols w:num="2" w:equalWidth="0">
            <w:col w:w="5766" w:space="40"/>
            <w:col w:w="6434"/>
          </w:cols>
        </w:sectPr>
      </w:pPr>
    </w:p>
    <w:p>
      <w:pPr>
        <w:pStyle w:val="BodyText"/>
        <w:rPr>
          <w:sz w:val="20"/>
        </w:rPr>
      </w:pPr>
    </w:p>
    <w:p>
      <w:pPr>
        <w:pStyle w:val="BodyText"/>
        <w:rPr>
          <w:sz w:val="20"/>
        </w:rPr>
      </w:pPr>
    </w:p>
    <w:p>
      <w:pPr>
        <w:pStyle w:val="BodyText"/>
        <w:spacing w:before="4" w:after="1"/>
        <w:rPr>
          <w:sz w:val="13"/>
        </w:rPr>
      </w:pPr>
    </w:p>
    <w:p>
      <w:pPr>
        <w:pStyle w:val="BodyText"/>
        <w:ind w:left="1444"/>
        <w:rPr>
          <w:sz w:val="20"/>
        </w:rPr>
      </w:pPr>
      <w:r>
        <w:rPr>
          <w:sz w:val="20"/>
        </w:rPr>
        <w:pict>
          <v:group style="width:504.3pt;height:25.5pt;mso-position-horizontal-relative:char;mso-position-vertical-relative:line" coordorigin="0,0" coordsize="10086,510">
            <v:shape style="position:absolute;left:9376;top:101;width:660;height:300" type="#_x0000_t75" stroked="false">
              <v:imagedata r:id="rId36" o:title=""/>
            </v:shape>
            <v:rect style="position:absolute;left:25;top:10;width:9286;height:30" filled="true" fillcolor="#3366cc" stroked="false">
              <v:fill type="solid"/>
            </v:rect>
            <v:rect style="position:absolute;left:15;top:0;width:9306;height:50" filled="true" fillcolor="#006fc0" stroked="false">
              <v:fill type="solid"/>
            </v:rect>
            <v:shape style="position:absolute;left:0;top:189;width:9276;height:320" type="#_x0000_t75" stroked="false">
              <v:imagedata r:id="rId50" o:title=""/>
            </v:shape>
            <v:shape style="position:absolute;left:2377;top:196;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9346;top:159;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15</w:t>
                    </w:r>
                    <w:r>
                      <w:rPr>
                        <w:rFonts w:ascii="Calibri"/>
                        <w:color w:val="FFFFFF"/>
                        <w:spacing w:val="-18"/>
                        <w:sz w:val="28"/>
                        <w:shd w:fill="3366CC" w:color="auto" w:val="clear"/>
                      </w:rPr>
                      <w:t> </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spacing w:before="3"/>
        <w:rPr>
          <w:sz w:val="20"/>
        </w:rPr>
      </w:pPr>
    </w:p>
    <w:p>
      <w:pPr>
        <w:spacing w:after="0"/>
        <w:rPr>
          <w:sz w:val="20"/>
        </w:rPr>
        <w:sectPr>
          <w:headerReference w:type="default" r:id="rId73"/>
          <w:footerReference w:type="default" r:id="rId74"/>
          <w:pgSz w:w="12240" w:h="15840"/>
          <w:pgMar w:header="843" w:footer="0" w:top="1100" w:bottom="280" w:left="0" w:right="0"/>
        </w:sectPr>
      </w:pPr>
    </w:p>
    <w:p>
      <w:pPr>
        <w:pStyle w:val="BodyText"/>
        <w:spacing w:line="276" w:lineRule="auto" w:before="93"/>
        <w:ind w:left="1440"/>
        <w:jc w:val="both"/>
      </w:pPr>
      <w:r>
        <w:rPr/>
        <w:t>El tratamiento con fármacos beta- bloqueadores, se considera una buena opción para el manejo de estos pacientes y se deberían realizar más estudios al respecto, además es importante destacar</w:t>
      </w:r>
    </w:p>
    <w:p>
      <w:pPr>
        <w:pStyle w:val="BodyText"/>
        <w:spacing w:line="276" w:lineRule="auto" w:before="93"/>
        <w:ind w:left="678" w:right="1432"/>
        <w:jc w:val="both"/>
        <w:rPr>
          <w:sz w:val="24"/>
        </w:rPr>
      </w:pPr>
      <w:r>
        <w:rPr/>
        <w:br w:type="column"/>
      </w:r>
      <w:r>
        <w:rPr/>
        <w:t>que </w:t>
      </w:r>
      <w:r>
        <w:rPr>
          <w:spacing w:val="-3"/>
        </w:rPr>
        <w:t>la </w:t>
      </w:r>
      <w:r>
        <w:rPr/>
        <w:t>mayor mortalidad de estos pacientes se debe al daño neurológico agudo y no a  </w:t>
      </w:r>
      <w:r>
        <w:rPr>
          <w:spacing w:val="-3"/>
        </w:rPr>
        <w:t>la </w:t>
      </w:r>
      <w:r>
        <w:rPr/>
        <w:t>disfunción miocárdica, aunque esta se refleje en el pronóstico</w:t>
      </w:r>
      <w:r>
        <w:rPr>
          <w:spacing w:val="-8"/>
        </w:rPr>
        <w:t> </w:t>
      </w:r>
      <w:r>
        <w:rPr/>
        <w:t>global</w:t>
      </w:r>
      <w:r>
        <w:rPr>
          <w:sz w:val="24"/>
        </w:rPr>
        <w:t>.</w:t>
      </w:r>
    </w:p>
    <w:p>
      <w:pPr>
        <w:spacing w:after="0" w:line="276" w:lineRule="auto"/>
        <w:jc w:val="both"/>
        <w:rPr>
          <w:sz w:val="24"/>
        </w:rPr>
        <w:sectPr>
          <w:type w:val="continuous"/>
          <w:pgSz w:w="12240" w:h="15840"/>
          <w:pgMar w:top="1500" w:bottom="0" w:left="0" w:right="0"/>
          <w:cols w:num="2" w:equalWidth="0">
            <w:col w:w="5764" w:space="40"/>
            <w:col w:w="6436"/>
          </w:cols>
        </w:sectPr>
      </w:pPr>
    </w:p>
    <w:p>
      <w:pPr>
        <w:pStyle w:val="BodyText"/>
        <w:spacing w:before="5"/>
        <w:rPr>
          <w:sz w:val="20"/>
        </w:rPr>
      </w:pPr>
    </w:p>
    <w:p>
      <w:pPr>
        <w:pStyle w:val="Heading4"/>
        <w:spacing w:before="92"/>
      </w:pPr>
      <w:r>
        <w:rPr/>
        <w:t>BIBLIOGRAFIA</w:t>
      </w:r>
    </w:p>
    <w:p>
      <w:pPr>
        <w:pStyle w:val="BodyText"/>
        <w:spacing w:before="2"/>
        <w:rPr>
          <w:b/>
          <w:sz w:val="21"/>
        </w:rPr>
      </w:pPr>
    </w:p>
    <w:p>
      <w:pPr>
        <w:pStyle w:val="ListParagraph"/>
        <w:numPr>
          <w:ilvl w:val="1"/>
          <w:numId w:val="4"/>
        </w:numPr>
        <w:tabs>
          <w:tab w:pos="1800" w:val="left" w:leader="none"/>
          <w:tab w:pos="1801" w:val="left" w:leader="none"/>
        </w:tabs>
        <w:spacing w:line="271" w:lineRule="auto" w:before="0" w:after="0"/>
        <w:ind w:left="1800" w:right="1432" w:hanging="360"/>
        <w:jc w:val="left"/>
        <w:rPr>
          <w:rFonts w:ascii="Symbol"/>
          <w:sz w:val="20"/>
        </w:rPr>
      </w:pPr>
      <w:r>
        <w:rPr>
          <w:sz w:val="20"/>
        </w:rPr>
        <w:t>Ay H, Koroshetz </w:t>
      </w:r>
      <w:r>
        <w:rPr>
          <w:spacing w:val="2"/>
          <w:sz w:val="20"/>
        </w:rPr>
        <w:t>W, </w:t>
      </w:r>
      <w:r>
        <w:rPr>
          <w:sz w:val="20"/>
        </w:rPr>
        <w:t>et al. Neuroanatomic correlates of stroke-related myocardial injury. Neurology. 2006;</w:t>
      </w:r>
      <w:r>
        <w:rPr>
          <w:spacing w:val="-1"/>
          <w:sz w:val="20"/>
        </w:rPr>
        <w:t> </w:t>
      </w:r>
      <w:r>
        <w:rPr>
          <w:sz w:val="20"/>
        </w:rPr>
        <w:t>9;66(9):1325-9.</w:t>
      </w:r>
    </w:p>
    <w:p>
      <w:pPr>
        <w:pStyle w:val="ListParagraph"/>
        <w:numPr>
          <w:ilvl w:val="1"/>
          <w:numId w:val="4"/>
        </w:numPr>
        <w:tabs>
          <w:tab w:pos="1800" w:val="left" w:leader="none"/>
          <w:tab w:pos="1801" w:val="left" w:leader="none"/>
        </w:tabs>
        <w:spacing w:line="276" w:lineRule="auto" w:before="3" w:after="0"/>
        <w:ind w:left="1800" w:right="1445" w:hanging="360"/>
        <w:jc w:val="left"/>
        <w:rPr>
          <w:rFonts w:ascii="Symbol"/>
          <w:sz w:val="20"/>
        </w:rPr>
      </w:pPr>
      <w:r>
        <w:rPr>
          <w:sz w:val="20"/>
        </w:rPr>
        <w:t>Johnson J, Ragheb J, et al. Neurogenic stunned myocardium after acute hydrocephalus. J Neurosurg Pediatrics.</w:t>
      </w:r>
      <w:r>
        <w:rPr>
          <w:spacing w:val="-1"/>
          <w:sz w:val="20"/>
        </w:rPr>
        <w:t> </w:t>
      </w:r>
      <w:r>
        <w:rPr>
          <w:sz w:val="20"/>
        </w:rPr>
        <w:t>2010;5:428-433.</w:t>
      </w:r>
    </w:p>
    <w:p>
      <w:pPr>
        <w:pStyle w:val="ListParagraph"/>
        <w:numPr>
          <w:ilvl w:val="1"/>
          <w:numId w:val="4"/>
        </w:numPr>
        <w:tabs>
          <w:tab w:pos="1800" w:val="left" w:leader="none"/>
          <w:tab w:pos="1801" w:val="left" w:leader="none"/>
        </w:tabs>
        <w:spacing w:line="271" w:lineRule="auto" w:before="0" w:after="0"/>
        <w:ind w:left="1800" w:right="1432" w:hanging="360"/>
        <w:jc w:val="left"/>
        <w:rPr>
          <w:rFonts w:ascii="Symbol" w:hAnsi="Symbol"/>
          <w:sz w:val="20"/>
        </w:rPr>
      </w:pPr>
      <w:r>
        <w:rPr>
          <w:sz w:val="20"/>
        </w:rPr>
        <w:t>Mann D, Zipes D, et al. Braunwald Tratado de Cardiología, Texto de Medicina Cardiovascular. 10. España : Elseiver, 2015. pág. 1906. Vol. II.</w:t>
      </w:r>
      <w:r>
        <w:rPr>
          <w:spacing w:val="-2"/>
          <w:sz w:val="20"/>
        </w:rPr>
        <w:t> </w:t>
      </w:r>
      <w:r>
        <w:rPr>
          <w:sz w:val="20"/>
        </w:rPr>
        <w:t>978-84-9022-913-2.</w:t>
      </w:r>
    </w:p>
    <w:p>
      <w:pPr>
        <w:pStyle w:val="ListParagraph"/>
        <w:numPr>
          <w:ilvl w:val="1"/>
          <w:numId w:val="4"/>
        </w:numPr>
        <w:tabs>
          <w:tab w:pos="1801" w:val="left" w:leader="none"/>
        </w:tabs>
        <w:spacing w:line="273" w:lineRule="auto" w:before="8" w:after="0"/>
        <w:ind w:left="1800" w:right="1434" w:hanging="360"/>
        <w:jc w:val="both"/>
        <w:rPr>
          <w:rFonts w:ascii="Symbol"/>
          <w:sz w:val="20"/>
        </w:rPr>
      </w:pPr>
      <w:r>
        <w:rPr>
          <w:sz w:val="20"/>
        </w:rPr>
        <w:t>Mierzewska-Schimidt M, Gawecka A. Neurogenic stunned myocardium-Do </w:t>
      </w:r>
      <w:r>
        <w:rPr>
          <w:spacing w:val="-3"/>
          <w:sz w:val="20"/>
        </w:rPr>
        <w:t>we </w:t>
      </w:r>
      <w:r>
        <w:rPr>
          <w:sz w:val="20"/>
        </w:rPr>
        <w:t>consider this  diagnosis in patients with acute central nervous system and acute heart failure?. Anaesthesiology Intensive Therapy.</w:t>
      </w:r>
      <w:r>
        <w:rPr>
          <w:spacing w:val="-1"/>
          <w:sz w:val="20"/>
        </w:rPr>
        <w:t> </w:t>
      </w:r>
      <w:r>
        <w:rPr>
          <w:sz w:val="20"/>
        </w:rPr>
        <w:t>2015;47(2):175-80.</w:t>
      </w:r>
    </w:p>
    <w:p>
      <w:pPr>
        <w:pStyle w:val="ListParagraph"/>
        <w:numPr>
          <w:ilvl w:val="1"/>
          <w:numId w:val="4"/>
        </w:numPr>
        <w:tabs>
          <w:tab w:pos="1800" w:val="left" w:leader="none"/>
          <w:tab w:pos="1801" w:val="left" w:leader="none"/>
        </w:tabs>
        <w:spacing w:line="276" w:lineRule="auto" w:before="1" w:after="0"/>
        <w:ind w:left="1800" w:right="1441" w:hanging="360"/>
        <w:jc w:val="left"/>
        <w:rPr>
          <w:rFonts w:ascii="Symbol"/>
          <w:sz w:val="20"/>
        </w:rPr>
      </w:pPr>
      <w:r>
        <w:rPr>
          <w:sz w:val="20"/>
        </w:rPr>
        <w:t>Morel O, Jesel L, et al. Recurrent form of neurogenic stunned myocardium: Is myocardial adrenergic receptor distribution a dynamic process?. Int J Cardiol.</w:t>
      </w:r>
      <w:r>
        <w:rPr>
          <w:spacing w:val="-6"/>
          <w:sz w:val="20"/>
        </w:rPr>
        <w:t> </w:t>
      </w:r>
      <w:r>
        <w:rPr>
          <w:sz w:val="20"/>
        </w:rPr>
        <w:t>2010;145(2):237-9.</w:t>
      </w:r>
    </w:p>
    <w:p>
      <w:pPr>
        <w:pStyle w:val="ListParagraph"/>
        <w:numPr>
          <w:ilvl w:val="1"/>
          <w:numId w:val="4"/>
        </w:numPr>
        <w:tabs>
          <w:tab w:pos="1800" w:val="left" w:leader="none"/>
          <w:tab w:pos="1801" w:val="left" w:leader="none"/>
        </w:tabs>
        <w:spacing w:line="244" w:lineRule="exact" w:before="0" w:after="0"/>
        <w:ind w:left="1800" w:right="0" w:hanging="360"/>
        <w:jc w:val="left"/>
        <w:rPr>
          <w:rFonts w:ascii="Symbol"/>
          <w:sz w:val="20"/>
        </w:rPr>
      </w:pPr>
      <w:r>
        <w:rPr>
          <w:sz w:val="20"/>
        </w:rPr>
        <w:t>Nguye H, Zaroff J. Neurogenic Stunned Myocardium. Case Rep Crit Care. 2012; 2012:</w:t>
      </w:r>
      <w:r>
        <w:rPr>
          <w:spacing w:val="-21"/>
          <w:sz w:val="20"/>
        </w:rPr>
        <w:t> </w:t>
      </w:r>
      <w:r>
        <w:rPr>
          <w:sz w:val="20"/>
        </w:rPr>
        <w:t>439528.</w:t>
      </w:r>
    </w:p>
    <w:p>
      <w:pPr>
        <w:pStyle w:val="ListParagraph"/>
        <w:numPr>
          <w:ilvl w:val="1"/>
          <w:numId w:val="4"/>
        </w:numPr>
        <w:tabs>
          <w:tab w:pos="1800" w:val="left" w:leader="none"/>
          <w:tab w:pos="1801" w:val="left" w:leader="none"/>
        </w:tabs>
        <w:spacing w:line="276" w:lineRule="auto" w:before="31" w:after="0"/>
        <w:ind w:left="1800" w:right="1444" w:hanging="360"/>
        <w:jc w:val="left"/>
        <w:rPr>
          <w:rFonts w:ascii="Symbol"/>
          <w:sz w:val="20"/>
        </w:rPr>
      </w:pPr>
      <w:r>
        <w:rPr>
          <w:sz w:val="20"/>
        </w:rPr>
        <w:t>Okabe T, Kanzaria M, et al. Cardiovascular Protection to Improve Clinical Outcomes After Subarchnoid Hemorrhage: Is There a Proven role?. Neurocritical Care.</w:t>
      </w:r>
      <w:r>
        <w:rPr>
          <w:spacing w:val="-9"/>
          <w:sz w:val="20"/>
        </w:rPr>
        <w:t> </w:t>
      </w:r>
      <w:r>
        <w:rPr>
          <w:sz w:val="20"/>
        </w:rPr>
        <w:t>2013;18:227-284.</w:t>
      </w:r>
    </w:p>
    <w:p>
      <w:pPr>
        <w:pStyle w:val="ListParagraph"/>
        <w:numPr>
          <w:ilvl w:val="1"/>
          <w:numId w:val="4"/>
        </w:numPr>
        <w:tabs>
          <w:tab w:pos="1800" w:val="left" w:leader="none"/>
          <w:tab w:pos="1801" w:val="left" w:leader="none"/>
        </w:tabs>
        <w:spacing w:line="244" w:lineRule="exact" w:before="0" w:after="0"/>
        <w:ind w:left="1800" w:right="0" w:hanging="360"/>
        <w:jc w:val="left"/>
        <w:rPr>
          <w:rFonts w:ascii="Symbol" w:hAnsi="Symbol"/>
          <w:sz w:val="20"/>
        </w:rPr>
      </w:pPr>
      <w:r>
        <w:rPr>
          <w:sz w:val="20"/>
        </w:rPr>
        <w:t>Ruiz M, Rubucabado L, et al. Aturdimiento Miocárdico Neurogénico. Med Intensiva.</w:t>
      </w:r>
      <w:r>
        <w:rPr>
          <w:spacing w:val="-10"/>
          <w:sz w:val="20"/>
        </w:rPr>
        <w:t> </w:t>
      </w:r>
      <w:r>
        <w:rPr>
          <w:sz w:val="20"/>
        </w:rPr>
        <w:t>2006;30(1):13-8.</w:t>
      </w:r>
    </w:p>
    <w:p>
      <w:pPr>
        <w:pStyle w:val="ListParagraph"/>
        <w:numPr>
          <w:ilvl w:val="1"/>
          <w:numId w:val="4"/>
        </w:numPr>
        <w:tabs>
          <w:tab w:pos="1800" w:val="left" w:leader="none"/>
          <w:tab w:pos="1801" w:val="left" w:leader="none"/>
        </w:tabs>
        <w:spacing w:line="240" w:lineRule="auto" w:before="31" w:after="0"/>
        <w:ind w:left="1800" w:right="0" w:hanging="360"/>
        <w:jc w:val="left"/>
        <w:rPr>
          <w:rFonts w:ascii="Symbol"/>
          <w:sz w:val="20"/>
        </w:rPr>
      </w:pPr>
      <w:r>
        <w:rPr>
          <w:sz w:val="20"/>
        </w:rPr>
        <w:t>Samuels MA. The Brain Heart Conection. Circulation</w:t>
      </w:r>
      <w:r>
        <w:rPr>
          <w:spacing w:val="1"/>
          <w:sz w:val="20"/>
        </w:rPr>
        <w:t> </w:t>
      </w:r>
      <w:r>
        <w:rPr>
          <w:sz w:val="20"/>
        </w:rPr>
        <w:t>2007;116:77-84.</w:t>
      </w:r>
    </w:p>
    <w:p>
      <w:pPr>
        <w:pStyle w:val="ListParagraph"/>
        <w:numPr>
          <w:ilvl w:val="1"/>
          <w:numId w:val="4"/>
        </w:numPr>
        <w:tabs>
          <w:tab w:pos="1800" w:val="left" w:leader="none"/>
          <w:tab w:pos="1801" w:val="left" w:leader="none"/>
        </w:tabs>
        <w:spacing w:line="271" w:lineRule="auto" w:before="34" w:after="0"/>
        <w:ind w:left="1800" w:right="1438" w:hanging="360"/>
        <w:jc w:val="left"/>
        <w:rPr>
          <w:rFonts w:ascii="Symbol" w:hAnsi="Symbol"/>
          <w:sz w:val="20"/>
        </w:rPr>
      </w:pPr>
      <w:r>
        <w:rPr>
          <w:sz w:val="20"/>
        </w:rPr>
        <w:t>Varela D, Díaz F, et al. Atontamiento Miocárdico luego </w:t>
      </w:r>
      <w:r>
        <w:rPr>
          <w:spacing w:val="-3"/>
          <w:sz w:val="20"/>
        </w:rPr>
        <w:t>del </w:t>
      </w:r>
      <w:r>
        <w:rPr>
          <w:sz w:val="20"/>
        </w:rPr>
        <w:t>Accidente Cerebrovascular Agudo. Medicina (Buenos Aires).</w:t>
      </w:r>
      <w:r>
        <w:rPr>
          <w:spacing w:val="-5"/>
          <w:sz w:val="20"/>
        </w:rPr>
        <w:t> </w:t>
      </w:r>
      <w:r>
        <w:rPr>
          <w:sz w:val="20"/>
        </w:rPr>
        <w:t>2006;66:249-253.</w:t>
      </w:r>
    </w:p>
    <w:p>
      <w:pPr>
        <w:pStyle w:val="ListParagraph"/>
        <w:numPr>
          <w:ilvl w:val="1"/>
          <w:numId w:val="4"/>
        </w:numPr>
        <w:tabs>
          <w:tab w:pos="1800" w:val="left" w:leader="none"/>
          <w:tab w:pos="1801" w:val="left" w:leader="none"/>
        </w:tabs>
        <w:spacing w:line="271" w:lineRule="auto" w:before="7" w:after="0"/>
        <w:ind w:left="1800" w:right="1444" w:hanging="360"/>
        <w:jc w:val="left"/>
        <w:rPr>
          <w:rFonts w:ascii="Symbol"/>
          <w:sz w:val="20"/>
        </w:rPr>
      </w:pPr>
      <w:r>
        <w:rPr>
          <w:sz w:val="20"/>
        </w:rPr>
        <w:t>Wang Tzung-Dau, </w:t>
      </w:r>
      <w:r>
        <w:rPr>
          <w:spacing w:val="2"/>
          <w:sz w:val="20"/>
        </w:rPr>
        <w:t>Wu </w:t>
      </w:r>
      <w:r>
        <w:rPr>
          <w:sz w:val="20"/>
        </w:rPr>
        <w:t>Yuan-The Lee. Myocardial stunning after cerebral infarction. International Journal of Cardiology.</w:t>
      </w:r>
      <w:r>
        <w:rPr>
          <w:spacing w:val="-2"/>
          <w:sz w:val="20"/>
        </w:rPr>
        <w:t> </w:t>
      </w:r>
      <w:r>
        <w:rPr>
          <w:sz w:val="20"/>
        </w:rPr>
        <w:t>1997;58:308-311.</w:t>
      </w:r>
    </w:p>
    <w:p>
      <w:pPr>
        <w:pStyle w:val="ListParagraph"/>
        <w:numPr>
          <w:ilvl w:val="1"/>
          <w:numId w:val="4"/>
        </w:numPr>
        <w:tabs>
          <w:tab w:pos="1801" w:val="left" w:leader="none"/>
        </w:tabs>
        <w:spacing w:line="276" w:lineRule="auto" w:before="3" w:after="0"/>
        <w:ind w:left="1800" w:right="1434" w:hanging="360"/>
        <w:jc w:val="both"/>
        <w:rPr>
          <w:rFonts w:ascii="Symbol"/>
          <w:sz w:val="20"/>
        </w:rPr>
      </w:pPr>
      <w:r>
        <w:rPr>
          <w:sz w:val="20"/>
        </w:rPr>
        <w:t>Zaroff   J,   Rordorf    G,    et    al.    Regional    Patterns    of    Left    Ventricular    Systolic Dysfunction After Subarachnoid Hemorrhage: Evidence for Neurally Mediated Cardiac Injury. Journal of the American Society of Echocardiography.</w:t>
      </w:r>
      <w:r>
        <w:rPr>
          <w:spacing w:val="-6"/>
          <w:sz w:val="20"/>
        </w:rPr>
        <w:t> </w:t>
      </w:r>
      <w:r>
        <w:rPr>
          <w:sz w:val="20"/>
        </w:rPr>
        <w:t>2000;13(8):774-779.</w:t>
      </w:r>
    </w:p>
    <w:p>
      <w:pPr>
        <w:pStyle w:val="BodyText"/>
      </w:pPr>
    </w:p>
    <w:p>
      <w:pPr>
        <w:pStyle w:val="BodyText"/>
        <w:spacing w:before="10"/>
        <w:rPr>
          <w:sz w:val="23"/>
        </w:rPr>
      </w:pPr>
    </w:p>
    <w:p>
      <w:pPr>
        <w:tabs>
          <w:tab w:pos="7558" w:val="left" w:leader="none"/>
        </w:tabs>
        <w:spacing w:before="0"/>
        <w:ind w:left="1440" w:right="0" w:firstLine="0"/>
        <w:jc w:val="left"/>
        <w:rPr>
          <w:sz w:val="20"/>
        </w:rPr>
      </w:pPr>
      <w:r>
        <w:rPr>
          <w:sz w:val="20"/>
        </w:rPr>
        <w:t>Recepción: 05 Marzo</w:t>
      </w:r>
      <w:r>
        <w:rPr>
          <w:spacing w:val="-2"/>
          <w:sz w:val="20"/>
        </w:rPr>
        <w:t> </w:t>
      </w:r>
      <w:r>
        <w:rPr>
          <w:sz w:val="20"/>
        </w:rPr>
        <w:t>de</w:t>
      </w:r>
      <w:r>
        <w:rPr>
          <w:spacing w:val="-2"/>
          <w:sz w:val="20"/>
        </w:rPr>
        <w:t> </w:t>
      </w:r>
      <w:r>
        <w:rPr>
          <w:sz w:val="20"/>
        </w:rPr>
        <w:t>2016</w:t>
        <w:tab/>
        <w:t>Aprobación:10 Marzo de</w:t>
      </w:r>
      <w:r>
        <w:rPr>
          <w:spacing w:val="-1"/>
          <w:sz w:val="20"/>
        </w:rPr>
        <w:t> </w:t>
      </w:r>
      <w:r>
        <w:rPr>
          <w:sz w:val="20"/>
        </w:rPr>
        <w:t>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r>
        <w:rPr/>
        <w:pict>
          <v:line style="position:absolute;mso-position-horizontal-relative:page;mso-position-vertical-relative:paragraph;z-index:2512;mso-wrap-distance-left:0;mso-wrap-distance-right:0" from="73.492996pt,13.873988pt" to="539.252996pt,13.873988pt" stroked="true" strokeweight="1.4649pt" strokecolor="#3366cc">
            <v:stroke dashstyle="solid"/>
            <w10:wrap type="topAndBottom"/>
          </v:line>
        </w:pict>
      </w:r>
    </w:p>
    <w:p>
      <w:pPr>
        <w:pStyle w:val="BodyText"/>
        <w:spacing w:before="6"/>
        <w:rPr>
          <w:sz w:val="3"/>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16</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spacing w:before="78"/>
        <w:ind w:left="1544" w:right="0" w:firstLine="0"/>
        <w:jc w:val="left"/>
        <w:rPr>
          <w:sz w:val="16"/>
        </w:rPr>
      </w:pPr>
      <w:r>
        <w:rPr/>
        <w:pict>
          <v:group style="position:absolute;margin-left:72.199997pt;margin-top:4.183923pt;width:472.3pt;height:430.3pt;mso-position-horizontal-relative:page;mso-position-vertical-relative:paragraph;z-index:-48472" coordorigin="1444,84" coordsize="9446,8606">
            <v:shape style="position:absolute;left:3375;top:1339;width:7515;height:7350" type="#_x0000_t75" stroked="false">
              <v:imagedata r:id="rId77" o:title=""/>
            </v:shape>
            <v:shape style="position:absolute;left:1444;top:83;width:1928;height:8600" type="#_x0000_t75" stroked="false">
              <v:imagedata r:id="rId78"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664" w:right="117" w:firstLine="300"/>
        <w:jc w:val="left"/>
        <w:rPr>
          <w:sz w:val="16"/>
        </w:rPr>
      </w:pPr>
      <w:r>
        <w:rPr>
          <w:sz w:val="16"/>
        </w:rPr>
        <w:t>Vol.1 Num:4 Abril 2016 pp:17-19</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4"/>
        <w:rPr>
          <w:sz w:val="27"/>
        </w:rPr>
      </w:pPr>
    </w:p>
    <w:p>
      <w:pPr>
        <w:pStyle w:val="BodyText"/>
        <w:ind w:left="224"/>
      </w:pPr>
      <w:r>
        <w:rPr/>
        <w:t>RESUMEN</w:t>
      </w:r>
    </w:p>
    <w:p>
      <w:pPr>
        <w:pStyle w:val="Heading3"/>
        <w:ind w:right="2793"/>
      </w:pPr>
      <w:r>
        <w:rPr>
          <w:b w:val="0"/>
        </w:rPr>
        <w:br w:type="column"/>
      </w:r>
      <w:r>
        <w:rPr/>
        <w:t>DELIRIO EN EL ADULTO MAYOR</w:t>
      </w:r>
    </w:p>
    <w:p>
      <w:pPr>
        <w:spacing w:before="53"/>
        <w:ind w:left="332" w:right="2749" w:firstLine="0"/>
        <w:jc w:val="center"/>
        <w:rPr>
          <w:sz w:val="20"/>
        </w:rPr>
      </w:pPr>
      <w:hyperlink r:id="rId79">
        <w:r>
          <w:rPr>
            <w:sz w:val="20"/>
          </w:rPr>
          <w:t>(DELIRIUM IN OLDER PERSONS</w:t>
        </w:r>
      </w:hyperlink>
      <w:r>
        <w:rPr>
          <w:sz w:val="20"/>
        </w:rPr>
        <w:t>)</w:t>
      </w:r>
    </w:p>
    <w:p>
      <w:pPr>
        <w:pStyle w:val="BodyText"/>
        <w:spacing w:before="10"/>
        <w:rPr>
          <w:sz w:val="23"/>
        </w:rPr>
      </w:pPr>
    </w:p>
    <w:p>
      <w:pPr>
        <w:pStyle w:val="BodyText"/>
        <w:ind w:left="3960"/>
      </w:pPr>
      <w:r>
        <w:rPr/>
        <w:t>*Karen Meza Elizondo</w:t>
      </w:r>
    </w:p>
    <w:p>
      <w:pPr>
        <w:spacing w:after="0"/>
        <w:sectPr>
          <w:headerReference w:type="default" r:id="rId75"/>
          <w:footerReference w:type="default" r:id="rId76"/>
          <w:pgSz w:w="12240" w:h="15840"/>
          <w:pgMar w:header="0" w:footer="0" w:top="1360" w:bottom="280" w:left="0" w:right="0"/>
          <w:cols w:num="3" w:equalWidth="0">
            <w:col w:w="3265" w:space="40"/>
            <w:col w:w="1327" w:space="39"/>
            <w:col w:w="7569"/>
          </w:cols>
        </w:sectPr>
      </w:pPr>
    </w:p>
    <w:p>
      <w:pPr>
        <w:pStyle w:val="BodyText"/>
        <w:spacing w:line="276" w:lineRule="auto" w:before="34"/>
        <w:ind w:left="3529" w:right="1490"/>
        <w:jc w:val="both"/>
      </w:pPr>
      <w:r>
        <w:rPr/>
        <w:t>Se describe como </w:t>
      </w:r>
      <w:r>
        <w:rPr>
          <w:spacing w:val="-3"/>
        </w:rPr>
        <w:t>la </w:t>
      </w:r>
      <w:r>
        <w:rPr/>
        <w:t>alteración de la atención, conciencia o nivel cognitivo. La alteración de neurotransmisores cerebrales, estados inflamatorios y medicamentos son procesos que se destacan en el desarrollo del delirio. Se establecen tres tipos de delirio: hiperactivo, hipoactivo y</w:t>
      </w:r>
      <w:r>
        <w:rPr>
          <w:spacing w:val="-5"/>
        </w:rPr>
        <w:t> </w:t>
      </w:r>
      <w:r>
        <w:rPr/>
        <w:t>mixto.</w:t>
      </w:r>
    </w:p>
    <w:p>
      <w:pPr>
        <w:pStyle w:val="BodyText"/>
        <w:spacing w:line="278" w:lineRule="auto" w:before="1"/>
        <w:ind w:left="3529" w:right="1501"/>
        <w:jc w:val="both"/>
      </w:pPr>
      <w:r>
        <w:rPr/>
        <w:t>El tratamiento farmacológico se elige los neurolépticos, el más aceptado de ellos es el haloperidol.</w:t>
      </w:r>
    </w:p>
    <w:p>
      <w:pPr>
        <w:pStyle w:val="BodyText"/>
        <w:spacing w:before="11"/>
        <w:rPr>
          <w:sz w:val="24"/>
        </w:rPr>
      </w:pPr>
    </w:p>
    <w:p>
      <w:pPr>
        <w:pStyle w:val="BodyText"/>
        <w:ind w:left="3529"/>
      </w:pPr>
      <w:r>
        <w:rPr/>
        <w:t>DESCRIPTORES</w:t>
      </w:r>
    </w:p>
    <w:p>
      <w:pPr>
        <w:pStyle w:val="BodyText"/>
        <w:spacing w:line="276" w:lineRule="auto" w:before="38"/>
        <w:ind w:left="3529" w:right="1553"/>
        <w:jc w:val="both"/>
      </w:pPr>
      <w:r>
        <w:rPr/>
        <w:t>Atención, cognitivo, conciencia, neurotransmisores, delirio, neurolépticos, haloperidol</w:t>
      </w:r>
    </w:p>
    <w:p>
      <w:pPr>
        <w:pStyle w:val="BodyText"/>
        <w:spacing w:before="1"/>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20"/>
        </w:rPr>
      </w:pPr>
    </w:p>
    <w:p>
      <w:pPr>
        <w:spacing w:line="259" w:lineRule="auto" w:before="0"/>
        <w:ind w:left="1444" w:right="306" w:firstLine="0"/>
        <w:jc w:val="left"/>
        <w:rPr>
          <w:sz w:val="16"/>
        </w:rPr>
      </w:pPr>
      <w:r>
        <w:rPr>
          <w:sz w:val="16"/>
        </w:rPr>
        <w:t>*Médico General. Universidad Hispanoamericana. San José -Costa Rica Correo Electrónico:</w:t>
      </w:r>
    </w:p>
    <w:p>
      <w:pPr>
        <w:spacing w:line="181" w:lineRule="exact" w:before="0"/>
        <w:ind w:left="1444" w:right="0" w:firstLine="0"/>
        <w:jc w:val="left"/>
        <w:rPr>
          <w:sz w:val="16"/>
        </w:rPr>
      </w:pPr>
      <w:hyperlink r:id="rId80">
        <w:r>
          <w:rPr>
            <w:spacing w:val="-1"/>
            <w:sz w:val="16"/>
          </w:rPr>
          <w:t>kavanessa3@hotmail.com</w:t>
        </w:r>
      </w:hyperlink>
    </w:p>
    <w:p>
      <w:pPr>
        <w:pStyle w:val="BodyText"/>
        <w:spacing w:before="93"/>
        <w:ind w:left="171"/>
      </w:pPr>
      <w:r>
        <w:rPr/>
        <w:br w:type="column"/>
      </w:r>
      <w:r>
        <w:rPr/>
        <w:t>SUMMARY</w:t>
      </w:r>
    </w:p>
    <w:p>
      <w:pPr>
        <w:pStyle w:val="BodyText"/>
        <w:spacing w:line="276" w:lineRule="auto" w:before="39"/>
        <w:ind w:left="171" w:right="1492"/>
        <w:jc w:val="both"/>
      </w:pPr>
      <w:r>
        <w:rPr/>
        <w:t>It </w:t>
      </w:r>
      <w:r>
        <w:rPr>
          <w:spacing w:val="-3"/>
        </w:rPr>
        <w:t>is </w:t>
      </w:r>
      <w:r>
        <w:rPr/>
        <w:t>described as impaired attention, consciousness or cognitive level. Alteration of brain neurotransmitters, inflammatory conditions and medications are processes that are highlighted in the development of delirium. The three types of delirium are hyperactive, hypoactive, and mixed. Neuroleptic drug treatment </w:t>
      </w:r>
      <w:r>
        <w:rPr>
          <w:spacing w:val="-3"/>
        </w:rPr>
        <w:t>is </w:t>
      </w:r>
      <w:r>
        <w:rPr/>
        <w:t>chosen, the most accepted of them </w:t>
      </w:r>
      <w:r>
        <w:rPr>
          <w:spacing w:val="-3"/>
        </w:rPr>
        <w:t>is</w:t>
      </w:r>
      <w:r>
        <w:rPr>
          <w:spacing w:val="-1"/>
        </w:rPr>
        <w:t> </w:t>
      </w:r>
      <w:r>
        <w:rPr/>
        <w:t>haloperidol.</w:t>
      </w:r>
    </w:p>
    <w:p>
      <w:pPr>
        <w:pStyle w:val="BodyText"/>
        <w:spacing w:before="2"/>
        <w:rPr>
          <w:sz w:val="25"/>
        </w:rPr>
      </w:pPr>
    </w:p>
    <w:p>
      <w:pPr>
        <w:pStyle w:val="BodyText"/>
        <w:spacing w:before="1"/>
        <w:ind w:left="171"/>
      </w:pPr>
      <w:r>
        <w:rPr/>
        <w:t>KEYWORDS</w:t>
      </w:r>
    </w:p>
    <w:p>
      <w:pPr>
        <w:pStyle w:val="BodyText"/>
        <w:spacing w:line="276" w:lineRule="auto" w:before="39"/>
        <w:ind w:left="171" w:right="452"/>
      </w:pPr>
      <w:r>
        <w:rPr/>
        <w:t>Attention, cognitive, awareness, neurotransmitters, delirium, neuroleptics, haloperidol.</w:t>
      </w:r>
    </w:p>
    <w:p>
      <w:pPr>
        <w:spacing w:after="0" w:line="276" w:lineRule="auto"/>
        <w:sectPr>
          <w:type w:val="continuous"/>
          <w:pgSz w:w="12240" w:h="15840"/>
          <w:pgMar w:top="1500" w:bottom="0" w:left="0" w:right="0"/>
          <w:cols w:num="2" w:equalWidth="0">
            <w:col w:w="3318" w:space="40"/>
            <w:col w:w="8882"/>
          </w:cols>
        </w:sectPr>
      </w:pPr>
    </w:p>
    <w:p>
      <w:pPr>
        <w:pStyle w:val="BodyText"/>
        <w:rPr>
          <w:sz w:val="20"/>
        </w:rPr>
      </w:pPr>
    </w:p>
    <w:p>
      <w:pPr>
        <w:pStyle w:val="BodyText"/>
        <w:spacing w:before="1"/>
        <w:rPr>
          <w:sz w:val="24"/>
        </w:rPr>
      </w:pPr>
    </w:p>
    <w:p>
      <w:pPr>
        <w:spacing w:after="0"/>
        <w:rPr>
          <w:sz w:val="24"/>
        </w:rPr>
        <w:sectPr>
          <w:type w:val="continuous"/>
          <w:pgSz w:w="12240" w:h="15840"/>
          <w:pgMar w:top="1500" w:bottom="0" w:left="0" w:right="0"/>
        </w:sectPr>
      </w:pPr>
    </w:p>
    <w:p>
      <w:pPr>
        <w:pStyle w:val="BodyText"/>
        <w:rPr>
          <w:sz w:val="26"/>
        </w:rPr>
      </w:pPr>
    </w:p>
    <w:p>
      <w:pPr>
        <w:pStyle w:val="BodyText"/>
        <w:spacing w:before="9"/>
        <w:rPr>
          <w:sz w:val="23"/>
        </w:rPr>
      </w:pPr>
    </w:p>
    <w:p>
      <w:pPr>
        <w:pStyle w:val="Heading4"/>
      </w:pPr>
      <w:r>
        <w:rPr/>
        <w:t>GENERALIDADES</w:t>
      </w:r>
    </w:p>
    <w:p>
      <w:pPr>
        <w:pStyle w:val="BodyText"/>
        <w:rPr>
          <w:b/>
          <w:sz w:val="21"/>
        </w:rPr>
      </w:pPr>
    </w:p>
    <w:p>
      <w:pPr>
        <w:pStyle w:val="BodyText"/>
        <w:spacing w:line="276" w:lineRule="auto" w:before="1"/>
        <w:ind w:left="1440"/>
        <w:jc w:val="both"/>
      </w:pPr>
      <w:r>
        <w:rPr/>
        <w:t>El delirium es un síndrome clínico agudo que afecta comúnmente al adulto mayor, se describe por alteración en la atención, nivel cognitivo o conciencia, generalmente de carácter reversible y fluctuante que no se debe al desarrollo de una demencia preexistente.La incidencia aumenta en el ámbito hospitalario, principalmente en estados posquirúrgicos.</w:t>
      </w:r>
    </w:p>
    <w:p>
      <w:pPr>
        <w:pStyle w:val="Heading4"/>
        <w:spacing w:before="92"/>
        <w:ind w:left="677"/>
      </w:pPr>
      <w:r>
        <w:rPr>
          <w:b w:val="0"/>
        </w:rPr>
        <w:br w:type="column"/>
      </w:r>
      <w:r>
        <w:rPr/>
        <w:t>ETIOLOGIA</w:t>
      </w:r>
    </w:p>
    <w:p>
      <w:pPr>
        <w:pStyle w:val="BodyText"/>
        <w:spacing w:before="1"/>
        <w:rPr>
          <w:b/>
          <w:sz w:val="21"/>
        </w:rPr>
      </w:pPr>
    </w:p>
    <w:p>
      <w:pPr>
        <w:pStyle w:val="BodyText"/>
        <w:spacing w:line="276" w:lineRule="auto"/>
        <w:ind w:left="677" w:right="1432"/>
        <w:jc w:val="both"/>
      </w:pPr>
      <w:r>
        <w:rPr/>
        <w:t>No se conoce con exactitud cuál es la base etiopatogénica del delirium, sin embargo, se mencionan diversos factores que predisponen dicha patología.</w:t>
      </w:r>
    </w:p>
    <w:p>
      <w:pPr>
        <w:pStyle w:val="BodyText"/>
        <w:spacing w:line="276" w:lineRule="auto" w:before="2"/>
        <w:ind w:left="677" w:right="1438"/>
        <w:jc w:val="both"/>
      </w:pPr>
      <w:r>
        <w:rPr/>
        <w:t>Entre los procesos que se destacan en el desarrollo del delirio se citan tres principales:</w:t>
      </w:r>
    </w:p>
    <w:p>
      <w:pPr>
        <w:pStyle w:val="Heading6"/>
        <w:numPr>
          <w:ilvl w:val="0"/>
          <w:numId w:val="5"/>
        </w:numPr>
        <w:tabs>
          <w:tab w:pos="1397" w:val="left" w:leader="none"/>
          <w:tab w:pos="1398" w:val="left" w:leader="none"/>
        </w:tabs>
        <w:spacing w:line="278" w:lineRule="auto" w:before="198" w:after="0"/>
        <w:ind w:left="1397" w:right="1437" w:hanging="360"/>
        <w:jc w:val="left"/>
      </w:pPr>
      <w:r>
        <w:rPr/>
        <w:t>Alteración de neurotransmisores cerebrales:</w:t>
      </w:r>
    </w:p>
    <w:p>
      <w:pPr>
        <w:spacing w:after="0" w:line="278" w:lineRule="auto"/>
        <w:jc w:val="left"/>
        <w:sectPr>
          <w:type w:val="continuous"/>
          <w:pgSz w:w="12240" w:h="15840"/>
          <w:pgMar w:top="1500" w:bottom="0" w:left="0" w:right="0"/>
          <w:cols w:num="2" w:equalWidth="0">
            <w:col w:w="5765" w:space="40"/>
            <w:col w:w="6435"/>
          </w:cols>
        </w:sectPr>
      </w:pPr>
    </w:p>
    <w:p>
      <w:pPr>
        <w:pStyle w:val="BodyText"/>
        <w:rPr>
          <w:b/>
          <w:sz w:val="20"/>
        </w:rPr>
      </w:pPr>
    </w:p>
    <w:p>
      <w:pPr>
        <w:pStyle w:val="BodyText"/>
        <w:rPr>
          <w:b/>
          <w:sz w:val="20"/>
        </w:rPr>
      </w:pPr>
    </w:p>
    <w:p>
      <w:pPr>
        <w:pStyle w:val="BodyText"/>
        <w:spacing w:before="9"/>
        <w:rPr>
          <w:b/>
          <w:sz w:val="20"/>
        </w:rPr>
      </w:pPr>
    </w:p>
    <w:p>
      <w:pPr>
        <w:pStyle w:val="BodyText"/>
        <w:ind w:left="1444"/>
        <w:rPr>
          <w:sz w:val="20"/>
        </w:rPr>
      </w:pPr>
      <w:r>
        <w:rPr>
          <w:sz w:val="20"/>
        </w:rPr>
        <w:pict>
          <v:group style="width:504.3pt;height:25.5pt;mso-position-horizontal-relative:char;mso-position-vertical-relative:line" coordorigin="0,0" coordsize="10086,510">
            <v:shape style="position:absolute;left:9376;top:101;width:660;height:300" type="#_x0000_t75" stroked="false">
              <v:imagedata r:id="rId36" o:title=""/>
            </v:shape>
            <v:rect style="position:absolute;left:25;top:10;width:9286;height:30" filled="true" fillcolor="#3366cc" stroked="false">
              <v:fill type="solid"/>
            </v:rect>
            <v:rect style="position:absolute;left:15;top:0;width:9306;height:50" filled="true" fillcolor="#006fc0" stroked="false">
              <v:fill type="solid"/>
            </v:rect>
            <v:shape style="position:absolute;left:0;top:189;width:9276;height:320" type="#_x0000_t75" stroked="false">
              <v:imagedata r:id="rId50" o:title=""/>
            </v:shape>
            <v:shape style="position:absolute;left:2377;top:196;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9346;top:159;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17</w:t>
                    </w:r>
                    <w:r>
                      <w:rPr>
                        <w:rFonts w:ascii="Calibri"/>
                        <w:color w:val="FFFFFF"/>
                        <w:spacing w:val="-18"/>
                        <w:sz w:val="28"/>
                        <w:shd w:fill="3366CC" w:color="auto" w:val="clear"/>
                      </w:rPr>
                      <w:t> </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b/>
          <w:sz w:val="20"/>
        </w:rPr>
      </w:pPr>
    </w:p>
    <w:p>
      <w:pPr>
        <w:spacing w:after="0"/>
        <w:rPr>
          <w:sz w:val="20"/>
        </w:rPr>
        <w:sectPr>
          <w:headerReference w:type="default" r:id="rId81"/>
          <w:footerReference w:type="default" r:id="rId82"/>
          <w:pgSz w:w="12240" w:h="15840"/>
          <w:pgMar w:header="723" w:footer="0" w:top="940" w:bottom="280" w:left="0" w:right="0"/>
        </w:sectPr>
      </w:pPr>
    </w:p>
    <w:p>
      <w:pPr>
        <w:pStyle w:val="BodyText"/>
        <w:spacing w:before="8"/>
        <w:rPr>
          <w:b/>
        </w:rPr>
      </w:pPr>
    </w:p>
    <w:p>
      <w:pPr>
        <w:pStyle w:val="ListParagraph"/>
        <w:numPr>
          <w:ilvl w:val="1"/>
          <w:numId w:val="5"/>
        </w:numPr>
        <w:tabs>
          <w:tab w:pos="2161" w:val="left" w:leader="none"/>
        </w:tabs>
        <w:spacing w:line="276" w:lineRule="auto" w:before="0" w:after="0"/>
        <w:ind w:left="2160" w:right="1" w:hanging="360"/>
        <w:jc w:val="both"/>
        <w:rPr>
          <w:sz w:val="22"/>
        </w:rPr>
      </w:pPr>
      <w:r>
        <w:rPr>
          <w:sz w:val="22"/>
        </w:rPr>
        <w:t>El aumento de dopamina se relaciona con cuadros de delirio y alucinaciones.</w:t>
      </w:r>
    </w:p>
    <w:p>
      <w:pPr>
        <w:pStyle w:val="ListParagraph"/>
        <w:numPr>
          <w:ilvl w:val="1"/>
          <w:numId w:val="5"/>
        </w:numPr>
        <w:tabs>
          <w:tab w:pos="2161" w:val="left" w:leader="none"/>
        </w:tabs>
        <w:spacing w:line="276" w:lineRule="auto" w:before="1" w:after="0"/>
        <w:ind w:left="2160" w:right="0" w:hanging="360"/>
        <w:jc w:val="both"/>
        <w:rPr>
          <w:sz w:val="22"/>
        </w:rPr>
      </w:pPr>
      <w:r>
        <w:rPr>
          <w:sz w:val="22"/>
        </w:rPr>
        <w:t>La disminución de acetil colina ocasiona alteraciones cognitivas ya evidenciado en </w:t>
      </w:r>
      <w:r>
        <w:rPr>
          <w:spacing w:val="-3"/>
          <w:sz w:val="22"/>
        </w:rPr>
        <w:t>la </w:t>
      </w:r>
      <w:r>
        <w:rPr>
          <w:sz w:val="22"/>
        </w:rPr>
        <w:t>práctica clínica, un claro ejemplo es </w:t>
      </w:r>
      <w:r>
        <w:rPr>
          <w:spacing w:val="-3"/>
          <w:sz w:val="22"/>
        </w:rPr>
        <w:t>la </w:t>
      </w:r>
      <w:r>
        <w:rPr>
          <w:sz w:val="22"/>
        </w:rPr>
        <w:t>enfermedad de Alzheimer.</w:t>
      </w:r>
    </w:p>
    <w:p>
      <w:pPr>
        <w:pStyle w:val="BodyText"/>
        <w:spacing w:before="2"/>
        <w:rPr>
          <w:sz w:val="25"/>
        </w:rPr>
      </w:pPr>
    </w:p>
    <w:p>
      <w:pPr>
        <w:pStyle w:val="Heading6"/>
        <w:numPr>
          <w:ilvl w:val="1"/>
          <w:numId w:val="5"/>
        </w:numPr>
        <w:tabs>
          <w:tab w:pos="2160" w:val="left" w:leader="none"/>
          <w:tab w:pos="2161" w:val="left" w:leader="none"/>
        </w:tabs>
        <w:spacing w:line="240" w:lineRule="auto" w:before="0" w:after="0"/>
        <w:ind w:left="2160" w:right="0" w:hanging="360"/>
        <w:jc w:val="left"/>
      </w:pPr>
      <w:r>
        <w:rPr/>
        <w:t>Estados</w:t>
      </w:r>
      <w:r>
        <w:rPr>
          <w:spacing w:val="-1"/>
        </w:rPr>
        <w:t> </w:t>
      </w:r>
      <w:r>
        <w:rPr/>
        <w:t>inflamatorios:</w:t>
      </w:r>
    </w:p>
    <w:p>
      <w:pPr>
        <w:pStyle w:val="BodyText"/>
        <w:spacing w:line="276" w:lineRule="auto" w:before="39"/>
        <w:ind w:left="2160"/>
        <w:jc w:val="both"/>
      </w:pPr>
      <w:r>
        <w:rPr/>
        <w:t>Los niveles alterados de citoquinas inflamatorias como IL-1 e IL-6 son factores predisponentes para la aparición del deliro, así como el aumento sanguíneo de cortisol.</w:t>
      </w:r>
    </w:p>
    <w:p>
      <w:pPr>
        <w:pStyle w:val="Heading6"/>
        <w:numPr>
          <w:ilvl w:val="1"/>
          <w:numId w:val="5"/>
        </w:numPr>
        <w:tabs>
          <w:tab w:pos="2160" w:val="left" w:leader="none"/>
          <w:tab w:pos="2161" w:val="left" w:leader="none"/>
        </w:tabs>
        <w:spacing w:line="240" w:lineRule="auto" w:before="198" w:after="0"/>
        <w:ind w:left="2160" w:right="0" w:hanging="360"/>
        <w:jc w:val="left"/>
      </w:pPr>
      <w:r>
        <w:rPr/>
        <w:t>Medicamentos:</w:t>
      </w:r>
    </w:p>
    <w:p>
      <w:pPr>
        <w:pStyle w:val="BodyText"/>
        <w:spacing w:line="276" w:lineRule="auto" w:before="43"/>
        <w:ind w:left="2160"/>
        <w:jc w:val="both"/>
      </w:pPr>
      <w:r>
        <w:rPr/>
        <w:t>Se ha relacionado el delirio con el uso de ciertos fármacos por la reducción de los niveles de neurotransmisores, entre ellos se citan:</w:t>
      </w:r>
    </w:p>
    <w:p>
      <w:pPr>
        <w:pStyle w:val="ListParagraph"/>
        <w:numPr>
          <w:ilvl w:val="2"/>
          <w:numId w:val="5"/>
        </w:numPr>
        <w:tabs>
          <w:tab w:pos="2520" w:val="left" w:leader="none"/>
          <w:tab w:pos="2521" w:val="left" w:leader="none"/>
        </w:tabs>
        <w:spacing w:line="251" w:lineRule="exact" w:before="0" w:after="0"/>
        <w:ind w:left="2521" w:right="0" w:hanging="361"/>
        <w:jc w:val="left"/>
        <w:rPr>
          <w:sz w:val="22"/>
        </w:rPr>
      </w:pPr>
      <w:r>
        <w:rPr>
          <w:sz w:val="22"/>
        </w:rPr>
        <w:t>Antihistamínicos.</w:t>
      </w:r>
    </w:p>
    <w:p>
      <w:pPr>
        <w:pStyle w:val="ListParagraph"/>
        <w:numPr>
          <w:ilvl w:val="2"/>
          <w:numId w:val="5"/>
        </w:numPr>
        <w:tabs>
          <w:tab w:pos="2520" w:val="left" w:leader="none"/>
          <w:tab w:pos="2521" w:val="left" w:leader="none"/>
        </w:tabs>
        <w:spacing w:line="240" w:lineRule="auto" w:before="39" w:after="0"/>
        <w:ind w:left="2521" w:right="0" w:hanging="361"/>
        <w:jc w:val="left"/>
        <w:rPr>
          <w:sz w:val="22"/>
        </w:rPr>
      </w:pPr>
      <w:r>
        <w:rPr>
          <w:sz w:val="22"/>
        </w:rPr>
        <w:t>Benzodiacepinas.</w:t>
      </w:r>
    </w:p>
    <w:p>
      <w:pPr>
        <w:pStyle w:val="ListParagraph"/>
        <w:numPr>
          <w:ilvl w:val="2"/>
          <w:numId w:val="5"/>
        </w:numPr>
        <w:tabs>
          <w:tab w:pos="2520" w:val="left" w:leader="none"/>
          <w:tab w:pos="2521" w:val="left" w:leader="none"/>
        </w:tabs>
        <w:spacing w:line="240" w:lineRule="auto" w:before="39" w:after="0"/>
        <w:ind w:left="2521" w:right="0" w:hanging="361"/>
        <w:jc w:val="left"/>
        <w:rPr>
          <w:sz w:val="22"/>
        </w:rPr>
      </w:pPr>
      <w:r>
        <w:rPr>
          <w:sz w:val="22"/>
        </w:rPr>
        <w:t>Agonistas</w:t>
      </w:r>
      <w:r>
        <w:rPr>
          <w:spacing w:val="-2"/>
          <w:sz w:val="22"/>
        </w:rPr>
        <w:t> </w:t>
      </w:r>
      <w:r>
        <w:rPr>
          <w:sz w:val="22"/>
        </w:rPr>
        <w:t>dopaminérgicos.</w:t>
      </w:r>
    </w:p>
    <w:p>
      <w:pPr>
        <w:pStyle w:val="ListParagraph"/>
        <w:numPr>
          <w:ilvl w:val="2"/>
          <w:numId w:val="5"/>
        </w:numPr>
        <w:tabs>
          <w:tab w:pos="2520" w:val="left" w:leader="none"/>
          <w:tab w:pos="2521" w:val="left" w:leader="none"/>
        </w:tabs>
        <w:spacing w:line="273" w:lineRule="auto" w:before="39" w:after="0"/>
        <w:ind w:left="2521" w:right="1381" w:hanging="361"/>
        <w:jc w:val="left"/>
        <w:rPr>
          <w:sz w:val="22"/>
        </w:rPr>
      </w:pPr>
      <w:r>
        <w:rPr>
          <w:sz w:val="22"/>
        </w:rPr>
        <w:t>Neurolépticos y </w:t>
      </w:r>
      <w:r>
        <w:rPr>
          <w:spacing w:val="-1"/>
          <w:sz w:val="22"/>
        </w:rPr>
        <w:t>anticonvulsivantes.</w:t>
      </w:r>
    </w:p>
    <w:p>
      <w:pPr>
        <w:pStyle w:val="ListParagraph"/>
        <w:numPr>
          <w:ilvl w:val="2"/>
          <w:numId w:val="5"/>
        </w:numPr>
        <w:tabs>
          <w:tab w:pos="2521" w:val="left" w:leader="none"/>
        </w:tabs>
        <w:spacing w:line="240" w:lineRule="auto" w:before="4" w:after="0"/>
        <w:ind w:left="2521" w:right="0" w:hanging="361"/>
        <w:jc w:val="both"/>
        <w:rPr>
          <w:sz w:val="22"/>
        </w:rPr>
      </w:pPr>
      <w:r>
        <w:rPr>
          <w:sz w:val="22"/>
        </w:rPr>
        <w:t>Antidepresivos</w:t>
      </w:r>
      <w:r>
        <w:rPr>
          <w:spacing w:val="-2"/>
          <w:sz w:val="22"/>
        </w:rPr>
        <w:t> </w:t>
      </w:r>
      <w:r>
        <w:rPr>
          <w:sz w:val="22"/>
        </w:rPr>
        <w:t>tricíclicos.</w:t>
      </w:r>
    </w:p>
    <w:p>
      <w:pPr>
        <w:pStyle w:val="ListParagraph"/>
        <w:numPr>
          <w:ilvl w:val="2"/>
          <w:numId w:val="5"/>
        </w:numPr>
        <w:tabs>
          <w:tab w:pos="2521" w:val="left" w:leader="none"/>
        </w:tabs>
        <w:spacing w:line="240" w:lineRule="auto" w:before="38" w:after="0"/>
        <w:ind w:left="2521" w:right="0" w:hanging="361"/>
        <w:jc w:val="both"/>
        <w:rPr>
          <w:sz w:val="22"/>
        </w:rPr>
      </w:pPr>
      <w:r>
        <w:rPr>
          <w:sz w:val="22"/>
        </w:rPr>
        <w:t>Antiespasmódicos.</w:t>
      </w:r>
    </w:p>
    <w:p>
      <w:pPr>
        <w:pStyle w:val="ListParagraph"/>
        <w:numPr>
          <w:ilvl w:val="2"/>
          <w:numId w:val="5"/>
        </w:numPr>
        <w:tabs>
          <w:tab w:pos="2521" w:val="left" w:leader="none"/>
        </w:tabs>
        <w:spacing w:line="240" w:lineRule="auto" w:before="34" w:after="0"/>
        <w:ind w:left="2521" w:right="0" w:hanging="361"/>
        <w:jc w:val="both"/>
        <w:rPr>
          <w:sz w:val="22"/>
        </w:rPr>
      </w:pPr>
      <w:r>
        <w:rPr>
          <w:sz w:val="22"/>
        </w:rPr>
        <w:t>Esteroides.</w:t>
      </w:r>
    </w:p>
    <w:p>
      <w:pPr>
        <w:pStyle w:val="ListParagraph"/>
        <w:numPr>
          <w:ilvl w:val="2"/>
          <w:numId w:val="5"/>
        </w:numPr>
        <w:tabs>
          <w:tab w:pos="2521" w:val="left" w:leader="none"/>
        </w:tabs>
        <w:spacing w:line="240" w:lineRule="auto" w:before="38" w:after="0"/>
        <w:ind w:left="2521" w:right="0" w:hanging="361"/>
        <w:jc w:val="both"/>
        <w:rPr>
          <w:sz w:val="22"/>
        </w:rPr>
      </w:pPr>
      <w:r>
        <w:rPr>
          <w:sz w:val="22"/>
        </w:rPr>
        <w:t>Metoclopramida.</w:t>
      </w:r>
    </w:p>
    <w:p>
      <w:pPr>
        <w:pStyle w:val="ListParagraph"/>
        <w:numPr>
          <w:ilvl w:val="2"/>
          <w:numId w:val="5"/>
        </w:numPr>
        <w:tabs>
          <w:tab w:pos="2521" w:val="left" w:leader="none"/>
        </w:tabs>
        <w:spacing w:line="240" w:lineRule="auto" w:before="38" w:after="0"/>
        <w:ind w:left="2521" w:right="0" w:hanging="361"/>
        <w:jc w:val="both"/>
        <w:rPr>
          <w:sz w:val="22"/>
        </w:rPr>
      </w:pPr>
      <w:r>
        <w:rPr>
          <w:sz w:val="22"/>
        </w:rPr>
        <w:t>Opiáceos.</w:t>
      </w:r>
    </w:p>
    <w:p>
      <w:pPr>
        <w:pStyle w:val="ListParagraph"/>
        <w:numPr>
          <w:ilvl w:val="2"/>
          <w:numId w:val="5"/>
        </w:numPr>
        <w:tabs>
          <w:tab w:pos="2521" w:val="left" w:leader="none"/>
        </w:tabs>
        <w:spacing w:line="240" w:lineRule="auto" w:before="38" w:after="0"/>
        <w:ind w:left="2521" w:right="0" w:hanging="361"/>
        <w:jc w:val="both"/>
        <w:rPr>
          <w:sz w:val="22"/>
        </w:rPr>
      </w:pPr>
      <w:r>
        <w:rPr>
          <w:sz w:val="22"/>
        </w:rPr>
        <w:t>Hipnóticos.</w:t>
      </w:r>
    </w:p>
    <w:p>
      <w:pPr>
        <w:pStyle w:val="ListParagraph"/>
        <w:numPr>
          <w:ilvl w:val="2"/>
          <w:numId w:val="5"/>
        </w:numPr>
        <w:tabs>
          <w:tab w:pos="2521" w:val="left" w:leader="none"/>
        </w:tabs>
        <w:spacing w:line="240" w:lineRule="auto" w:before="34" w:after="0"/>
        <w:ind w:left="2521" w:right="0" w:hanging="361"/>
        <w:jc w:val="both"/>
        <w:rPr>
          <w:sz w:val="22"/>
        </w:rPr>
      </w:pPr>
      <w:r>
        <w:rPr>
          <w:sz w:val="22"/>
        </w:rPr>
        <w:t>Anestésicos</w:t>
      </w:r>
    </w:p>
    <w:p>
      <w:pPr>
        <w:pStyle w:val="BodyText"/>
        <w:spacing w:before="11"/>
        <w:rPr>
          <w:sz w:val="23"/>
        </w:rPr>
      </w:pPr>
    </w:p>
    <w:p>
      <w:pPr>
        <w:pStyle w:val="Heading4"/>
        <w:jc w:val="both"/>
      </w:pPr>
      <w:r>
        <w:rPr/>
        <w:t>CARACTERISTICAS CLINICAS</w:t>
      </w:r>
    </w:p>
    <w:p>
      <w:pPr>
        <w:pStyle w:val="BodyText"/>
        <w:spacing w:before="1"/>
        <w:rPr>
          <w:b/>
          <w:sz w:val="21"/>
        </w:rPr>
      </w:pPr>
    </w:p>
    <w:p>
      <w:pPr>
        <w:pStyle w:val="BodyText"/>
        <w:spacing w:line="276" w:lineRule="auto"/>
        <w:ind w:left="1440"/>
        <w:jc w:val="both"/>
      </w:pPr>
      <w:r>
        <w:rPr/>
        <w:t>La principal característica del delirio es </w:t>
      </w:r>
      <w:r>
        <w:rPr>
          <w:spacing w:val="-3"/>
        </w:rPr>
        <w:t>la </w:t>
      </w:r>
      <w:r>
        <w:rPr/>
        <w:t>alteración de </w:t>
      </w:r>
      <w:r>
        <w:rPr>
          <w:spacing w:val="-3"/>
        </w:rPr>
        <w:t>la </w:t>
      </w:r>
      <w:r>
        <w:rPr/>
        <w:t>conciencia y deterioro cognitivo fluctuante, breve, en horas o días y disminución de </w:t>
      </w:r>
      <w:r>
        <w:rPr>
          <w:spacing w:val="-3"/>
        </w:rPr>
        <w:t>la </w:t>
      </w:r>
      <w:r>
        <w:rPr/>
        <w:t>capacidad de atención al</w:t>
      </w:r>
      <w:r>
        <w:rPr>
          <w:spacing w:val="-6"/>
        </w:rPr>
        <w:t> </w:t>
      </w:r>
      <w:r>
        <w:rPr/>
        <w:t>medio.</w:t>
      </w:r>
    </w:p>
    <w:p>
      <w:pPr>
        <w:pStyle w:val="BodyText"/>
        <w:spacing w:before="1"/>
        <w:ind w:left="1440"/>
        <w:jc w:val="both"/>
      </w:pPr>
      <w:r>
        <w:rPr/>
        <w:t>Se establecen tres tipos de delirio.</w:t>
      </w:r>
    </w:p>
    <w:p>
      <w:pPr>
        <w:pStyle w:val="BodyText"/>
        <w:spacing w:before="4"/>
      </w:pPr>
      <w:r>
        <w:rPr/>
        <w:br w:type="column"/>
      </w:r>
      <w:r>
        <w:rPr/>
      </w:r>
    </w:p>
    <w:p>
      <w:pPr>
        <w:pStyle w:val="ListParagraph"/>
        <w:numPr>
          <w:ilvl w:val="0"/>
          <w:numId w:val="5"/>
        </w:numPr>
        <w:tabs>
          <w:tab w:pos="1440" w:val="left" w:leader="none"/>
        </w:tabs>
        <w:spacing w:line="276" w:lineRule="auto" w:before="1" w:after="0"/>
        <w:ind w:left="1439" w:right="1434" w:hanging="401"/>
        <w:jc w:val="both"/>
        <w:rPr>
          <w:sz w:val="22"/>
        </w:rPr>
      </w:pPr>
      <w:r>
        <w:rPr>
          <w:b/>
          <w:sz w:val="22"/>
        </w:rPr>
        <w:t>Hiperactivo: </w:t>
      </w:r>
      <w:r>
        <w:rPr>
          <w:sz w:val="22"/>
        </w:rPr>
        <w:t>Cargado de sintomatología psicótica y agitación, generalmente</w:t>
      </w:r>
      <w:r>
        <w:rPr>
          <w:spacing w:val="-5"/>
          <w:sz w:val="22"/>
        </w:rPr>
        <w:t> </w:t>
      </w:r>
      <w:r>
        <w:rPr>
          <w:sz w:val="22"/>
        </w:rPr>
        <w:t>medicamentoso.</w:t>
      </w:r>
    </w:p>
    <w:p>
      <w:pPr>
        <w:pStyle w:val="ListParagraph"/>
        <w:numPr>
          <w:ilvl w:val="0"/>
          <w:numId w:val="5"/>
        </w:numPr>
        <w:tabs>
          <w:tab w:pos="1440" w:val="left" w:leader="none"/>
          <w:tab w:pos="3746" w:val="left" w:leader="none"/>
        </w:tabs>
        <w:spacing w:line="276" w:lineRule="auto" w:before="198" w:after="0"/>
        <w:ind w:left="1439" w:right="1437" w:hanging="401"/>
        <w:jc w:val="both"/>
        <w:rPr>
          <w:sz w:val="22"/>
        </w:rPr>
      </w:pPr>
      <w:r>
        <w:rPr>
          <w:b/>
          <w:sz w:val="22"/>
        </w:rPr>
        <w:t>Hipoactivo: </w:t>
      </w:r>
      <w:r>
        <w:rPr>
          <w:sz w:val="22"/>
        </w:rPr>
        <w:t>Somnolencia, letargia, bradicinesia,</w:t>
        <w:tab/>
      </w:r>
      <w:r>
        <w:rPr>
          <w:spacing w:val="-1"/>
          <w:sz w:val="22"/>
        </w:rPr>
        <w:t>bradipsiquia, </w:t>
      </w:r>
      <w:r>
        <w:rPr>
          <w:sz w:val="22"/>
        </w:rPr>
        <w:t>relacionado con el uso de sedantes o trastornos metabólicos, es el de peor</w:t>
      </w:r>
      <w:r>
        <w:rPr>
          <w:spacing w:val="-4"/>
          <w:sz w:val="22"/>
        </w:rPr>
        <w:t> </w:t>
      </w:r>
      <w:r>
        <w:rPr>
          <w:sz w:val="22"/>
        </w:rPr>
        <w:t>pronóstico.</w:t>
      </w:r>
    </w:p>
    <w:p>
      <w:pPr>
        <w:pStyle w:val="ListParagraph"/>
        <w:numPr>
          <w:ilvl w:val="0"/>
          <w:numId w:val="5"/>
        </w:numPr>
        <w:tabs>
          <w:tab w:pos="1440" w:val="left" w:leader="none"/>
        </w:tabs>
        <w:spacing w:line="280" w:lineRule="auto" w:before="0" w:after="0"/>
        <w:ind w:left="1439" w:right="1433" w:hanging="401"/>
        <w:jc w:val="both"/>
        <w:rPr>
          <w:sz w:val="22"/>
        </w:rPr>
      </w:pPr>
      <w:r>
        <w:rPr>
          <w:b/>
          <w:sz w:val="22"/>
        </w:rPr>
        <w:t>Mixto: </w:t>
      </w:r>
      <w:r>
        <w:rPr>
          <w:sz w:val="22"/>
        </w:rPr>
        <w:t>Posee características del delirio hiperactivo e</w:t>
      </w:r>
      <w:r>
        <w:rPr>
          <w:spacing w:val="-4"/>
          <w:sz w:val="22"/>
        </w:rPr>
        <w:t> </w:t>
      </w:r>
      <w:r>
        <w:rPr>
          <w:sz w:val="22"/>
        </w:rPr>
        <w:t>hipoactivo.</w:t>
      </w:r>
    </w:p>
    <w:p>
      <w:pPr>
        <w:pStyle w:val="BodyText"/>
        <w:spacing w:line="278" w:lineRule="auto" w:before="195"/>
        <w:ind w:left="678" w:right="1436"/>
        <w:jc w:val="both"/>
      </w:pPr>
      <w:r>
        <w:rPr/>
        <w:t>El diagnóstico de delirium se lleva a cabo mediante una buena historia clínica y un examen físico detallado, tomando como base los criterios propuestos por el DSM IV:</w:t>
      </w:r>
    </w:p>
    <w:p>
      <w:pPr>
        <w:pStyle w:val="BodyText"/>
        <w:spacing w:before="2"/>
        <w:rPr>
          <w:sz w:val="25"/>
        </w:rPr>
      </w:pPr>
    </w:p>
    <w:tbl>
      <w:tblPr>
        <w:tblW w:w="0" w:type="auto"/>
        <w:jc w:val="left"/>
        <w:tblInd w:w="6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CellMar>
          <w:top w:w="0" w:type="dxa"/>
          <w:left w:w="0" w:type="dxa"/>
          <w:bottom w:w="0" w:type="dxa"/>
          <w:right w:w="0" w:type="dxa"/>
        </w:tblCellMar>
        <w:tblLook w:val="01E0"/>
      </w:tblPr>
      <w:tblGrid>
        <w:gridCol w:w="4430"/>
      </w:tblGrid>
      <w:tr>
        <w:trPr>
          <w:trHeight w:val="528" w:hRule="atLeast"/>
        </w:trPr>
        <w:tc>
          <w:tcPr>
            <w:tcW w:w="4430" w:type="dxa"/>
          </w:tcPr>
          <w:p>
            <w:pPr>
              <w:pStyle w:val="TableParagraph"/>
              <w:spacing w:line="227" w:lineRule="exact"/>
              <w:ind w:left="110"/>
              <w:rPr>
                <w:sz w:val="20"/>
              </w:rPr>
            </w:pPr>
            <w:r>
              <w:rPr>
                <w:sz w:val="20"/>
              </w:rPr>
              <w:t>Tabla 1: Criterios para el diagnóstico de delirio</w:t>
            </w:r>
          </w:p>
          <w:p>
            <w:pPr>
              <w:pStyle w:val="TableParagraph"/>
              <w:spacing w:before="34"/>
              <w:ind w:left="110"/>
              <w:rPr>
                <w:sz w:val="20"/>
              </w:rPr>
            </w:pPr>
            <w:r>
              <w:rPr>
                <w:sz w:val="20"/>
              </w:rPr>
              <w:t>(DSM IV-TR, 2002)</w:t>
            </w:r>
          </w:p>
        </w:tc>
      </w:tr>
      <w:tr>
        <w:trPr>
          <w:trHeight w:val="796" w:hRule="atLeast"/>
        </w:trPr>
        <w:tc>
          <w:tcPr>
            <w:tcW w:w="4430" w:type="dxa"/>
          </w:tcPr>
          <w:p>
            <w:pPr>
              <w:pStyle w:val="TableParagraph"/>
              <w:spacing w:line="226" w:lineRule="exact"/>
              <w:ind w:left="110"/>
              <w:rPr>
                <w:sz w:val="20"/>
              </w:rPr>
            </w:pPr>
            <w:r>
              <w:rPr>
                <w:sz w:val="20"/>
              </w:rPr>
              <w:t>1. Alteración de la conciencia con disminución</w:t>
            </w:r>
          </w:p>
          <w:p>
            <w:pPr>
              <w:pStyle w:val="TableParagraph"/>
              <w:spacing w:line="260" w:lineRule="atLeast" w:before="4"/>
              <w:ind w:left="110" w:right="77"/>
              <w:rPr>
                <w:sz w:val="20"/>
              </w:rPr>
            </w:pPr>
            <w:r>
              <w:rPr>
                <w:sz w:val="20"/>
              </w:rPr>
              <w:t>de la capacidad para centrar, dirigir o mantener la atención.</w:t>
            </w:r>
          </w:p>
        </w:tc>
      </w:tr>
      <w:tr>
        <w:trPr>
          <w:trHeight w:val="1320" w:hRule="atLeast"/>
        </w:trPr>
        <w:tc>
          <w:tcPr>
            <w:tcW w:w="4430" w:type="dxa"/>
          </w:tcPr>
          <w:p>
            <w:pPr>
              <w:pStyle w:val="TableParagraph"/>
              <w:spacing w:line="276" w:lineRule="auto"/>
              <w:ind w:left="110" w:right="87"/>
              <w:jc w:val="both"/>
              <w:rPr>
                <w:sz w:val="20"/>
              </w:rPr>
            </w:pPr>
            <w:r>
              <w:rPr>
                <w:sz w:val="20"/>
              </w:rPr>
              <w:t>2. Cambio en las funciones cognitivas (déficit de memoria, desorientación o alteración del lenguaje) o presencia de una alteración perceptiva que no se aplica por demencia</w:t>
            </w:r>
          </w:p>
          <w:p>
            <w:pPr>
              <w:pStyle w:val="TableParagraph"/>
              <w:spacing w:before="4"/>
              <w:ind w:left="110"/>
              <w:jc w:val="both"/>
              <w:rPr>
                <w:sz w:val="20"/>
              </w:rPr>
            </w:pPr>
            <w:r>
              <w:rPr>
                <w:sz w:val="20"/>
              </w:rPr>
              <w:t>previa.</w:t>
            </w:r>
          </w:p>
        </w:tc>
      </w:tr>
      <w:tr>
        <w:trPr>
          <w:trHeight w:val="796" w:hRule="atLeast"/>
        </w:trPr>
        <w:tc>
          <w:tcPr>
            <w:tcW w:w="4430" w:type="dxa"/>
          </w:tcPr>
          <w:p>
            <w:pPr>
              <w:pStyle w:val="TableParagraph"/>
              <w:spacing w:line="276" w:lineRule="auto"/>
              <w:ind w:left="110"/>
              <w:rPr>
                <w:sz w:val="20"/>
              </w:rPr>
            </w:pPr>
            <w:r>
              <w:rPr>
                <w:sz w:val="20"/>
              </w:rPr>
              <w:t>3. Alteración que se presenta en un corto período de tiempo (horas o días) y tiende a</w:t>
            </w:r>
          </w:p>
          <w:p>
            <w:pPr>
              <w:pStyle w:val="TableParagraph"/>
              <w:spacing w:before="3"/>
              <w:ind w:left="110"/>
              <w:rPr>
                <w:sz w:val="20"/>
              </w:rPr>
            </w:pPr>
            <w:r>
              <w:rPr>
                <w:sz w:val="20"/>
              </w:rPr>
              <w:t>fluctuar durante el día.</w:t>
            </w:r>
          </w:p>
        </w:tc>
      </w:tr>
      <w:tr>
        <w:trPr>
          <w:trHeight w:val="1320" w:hRule="atLeast"/>
        </w:trPr>
        <w:tc>
          <w:tcPr>
            <w:tcW w:w="4430" w:type="dxa"/>
          </w:tcPr>
          <w:p>
            <w:pPr>
              <w:pStyle w:val="TableParagraph"/>
              <w:spacing w:line="276" w:lineRule="auto"/>
              <w:ind w:left="110" w:right="89"/>
              <w:jc w:val="both"/>
              <w:rPr>
                <w:sz w:val="20"/>
              </w:rPr>
            </w:pPr>
            <w:r>
              <w:rPr>
                <w:sz w:val="20"/>
              </w:rPr>
              <w:t>4. Demostración mediante la historia clínica, examen físico o pruebas de laboratorio que la alteración es un efecto fisiológico directo de una enfermedad médica, abstinencia de</w:t>
            </w:r>
          </w:p>
          <w:p>
            <w:pPr>
              <w:pStyle w:val="TableParagraph"/>
              <w:spacing w:before="5"/>
              <w:ind w:left="110"/>
              <w:jc w:val="both"/>
              <w:rPr>
                <w:sz w:val="20"/>
              </w:rPr>
            </w:pPr>
            <w:r>
              <w:rPr>
                <w:sz w:val="20"/>
              </w:rPr>
              <w:t>sustancias o múltiples etiologías.</w:t>
            </w:r>
          </w:p>
        </w:tc>
      </w:tr>
    </w:tbl>
    <w:p>
      <w:pPr>
        <w:spacing w:line="276" w:lineRule="auto" w:before="0"/>
        <w:ind w:left="678" w:right="1437" w:firstLine="0"/>
        <w:jc w:val="both"/>
        <w:rPr>
          <w:sz w:val="20"/>
        </w:rPr>
      </w:pPr>
      <w:r>
        <w:rPr>
          <w:sz w:val="20"/>
        </w:rPr>
        <w:t>Fuente: Modificado del Manual Diagnostico y Estadístico de los Trastornos Mentales (cuarta edición, texto revisado).</w:t>
      </w:r>
    </w:p>
    <w:p>
      <w:pPr>
        <w:pStyle w:val="BodyText"/>
        <w:spacing w:before="9"/>
        <w:rPr>
          <w:sz w:val="20"/>
        </w:rPr>
      </w:pPr>
    </w:p>
    <w:p>
      <w:pPr>
        <w:pStyle w:val="Heading4"/>
        <w:ind w:left="678"/>
      </w:pPr>
      <w:r>
        <w:rPr/>
        <w:t>TRATAMIENTO</w:t>
      </w:r>
    </w:p>
    <w:p>
      <w:pPr>
        <w:pStyle w:val="BodyText"/>
        <w:spacing w:before="5"/>
        <w:rPr>
          <w:b/>
          <w:sz w:val="21"/>
        </w:rPr>
      </w:pPr>
    </w:p>
    <w:p>
      <w:pPr>
        <w:pStyle w:val="BodyText"/>
        <w:spacing w:line="276" w:lineRule="auto"/>
        <w:ind w:left="678" w:right="1435"/>
        <w:jc w:val="both"/>
      </w:pPr>
      <w:r>
        <w:rPr/>
        <w:t>Está enfocado a </w:t>
      </w:r>
      <w:r>
        <w:rPr>
          <w:spacing w:val="-3"/>
        </w:rPr>
        <w:t>la </w:t>
      </w:r>
      <w:r>
        <w:rPr/>
        <w:t>prevención del síndrome, las intervenciones que realice el personal de salud debe captar a </w:t>
      </w:r>
      <w:r>
        <w:rPr>
          <w:spacing w:val="-3"/>
        </w:rPr>
        <w:t>la </w:t>
      </w:r>
      <w:r>
        <w:rPr/>
        <w:t>población geriátrica con riesgo de presentar delirium.</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rPr>
          <w:sz w:val="20"/>
        </w:rPr>
      </w:pPr>
    </w:p>
    <w:p>
      <w:pPr>
        <w:pStyle w:val="BodyText"/>
        <w:spacing w:before="9" w:after="1"/>
        <w:rPr>
          <w:sz w:val="11"/>
        </w:rPr>
      </w:pPr>
    </w:p>
    <w:p>
      <w:pPr>
        <w:spacing w:line="30" w:lineRule="exact"/>
        <w:ind w:left="1454" w:right="0" w:firstLine="0"/>
        <w:rPr>
          <w:sz w:val="2"/>
        </w:rPr>
      </w:pPr>
      <w:r>
        <w:rPr>
          <w:rFonts w:ascii="Times New Roman"/>
          <w:spacing w:val="10"/>
          <w:sz w:val="2"/>
        </w:rPr>
        <w:t> </w:t>
      </w:r>
      <w:r>
        <w:rPr>
          <w:spacing w:val="10"/>
          <w:position w:val="0"/>
          <w:sz w:val="2"/>
        </w:rPr>
        <w:pict>
          <v:group style="width:465.8pt;height:1.5pt;mso-position-horizontal-relative:char;mso-position-vertical-relative:line" coordorigin="0,0" coordsize="9316,30">
            <v:line style="position:absolute" from="0,15" to="9315,15" stroked="true" strokeweight="1.4649pt" strokecolor="#3366cc">
              <v:stroke dashstyle="solid"/>
            </v:line>
          </v:group>
        </w:pict>
      </w:r>
      <w:r>
        <w:rPr>
          <w:spacing w:val="10"/>
          <w:position w:val="0"/>
          <w:sz w:val="2"/>
        </w:rPr>
      </w:r>
    </w:p>
    <w:p>
      <w:pPr>
        <w:pStyle w:val="BodyText"/>
        <w:spacing w:before="1"/>
        <w:rPr>
          <w:sz w:val="6"/>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18</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pStyle w:val="BodyText"/>
        <w:rPr>
          <w:sz w:val="20"/>
        </w:rPr>
      </w:pPr>
    </w:p>
    <w:p>
      <w:pPr>
        <w:spacing w:after="0"/>
        <w:rPr>
          <w:sz w:val="20"/>
        </w:rPr>
        <w:sectPr>
          <w:headerReference w:type="default" r:id="rId83"/>
          <w:footerReference w:type="default" r:id="rId84"/>
          <w:pgSz w:w="12240" w:h="15840"/>
          <w:pgMar w:header="723" w:footer="0" w:top="940" w:bottom="280" w:left="0" w:right="0"/>
        </w:sectPr>
      </w:pPr>
    </w:p>
    <w:p>
      <w:pPr>
        <w:pStyle w:val="BodyText"/>
        <w:spacing w:before="7"/>
        <w:rPr>
          <w:sz w:val="23"/>
        </w:rPr>
      </w:pPr>
    </w:p>
    <w:p>
      <w:pPr>
        <w:pStyle w:val="BodyText"/>
        <w:spacing w:line="278" w:lineRule="auto"/>
        <w:ind w:left="1440"/>
      </w:pPr>
      <w:r>
        <w:rPr/>
        <w:t>Referente a las medidas preventivas, se mencionan:</w:t>
      </w:r>
    </w:p>
    <w:p>
      <w:pPr>
        <w:pStyle w:val="ListParagraph"/>
        <w:numPr>
          <w:ilvl w:val="1"/>
          <w:numId w:val="5"/>
        </w:numPr>
        <w:tabs>
          <w:tab w:pos="2161" w:val="left" w:leader="none"/>
        </w:tabs>
        <w:spacing w:line="278" w:lineRule="auto" w:before="195" w:after="0"/>
        <w:ind w:left="2160" w:right="0" w:hanging="360"/>
        <w:jc w:val="both"/>
        <w:rPr>
          <w:sz w:val="22"/>
        </w:rPr>
      </w:pPr>
      <w:r>
        <w:rPr>
          <w:sz w:val="22"/>
        </w:rPr>
        <w:t>Evitar </w:t>
      </w:r>
      <w:r>
        <w:rPr>
          <w:spacing w:val="-3"/>
          <w:sz w:val="22"/>
        </w:rPr>
        <w:t>la </w:t>
      </w:r>
      <w:r>
        <w:rPr>
          <w:sz w:val="22"/>
        </w:rPr>
        <w:t>polifarmacia especialmente el uso de benzodiacepinas o sedantes</w:t>
      </w:r>
      <w:r>
        <w:rPr>
          <w:spacing w:val="-1"/>
          <w:sz w:val="22"/>
        </w:rPr>
        <w:t> </w:t>
      </w:r>
      <w:r>
        <w:rPr>
          <w:sz w:val="22"/>
        </w:rPr>
        <w:t>hipnóticos.</w:t>
      </w:r>
    </w:p>
    <w:p>
      <w:pPr>
        <w:pStyle w:val="ListParagraph"/>
        <w:numPr>
          <w:ilvl w:val="1"/>
          <w:numId w:val="5"/>
        </w:numPr>
        <w:tabs>
          <w:tab w:pos="2161" w:val="left" w:leader="none"/>
        </w:tabs>
        <w:spacing w:line="276" w:lineRule="auto" w:before="0" w:after="0"/>
        <w:ind w:left="2160" w:right="0" w:hanging="360"/>
        <w:jc w:val="both"/>
        <w:rPr>
          <w:sz w:val="22"/>
        </w:rPr>
      </w:pPr>
      <w:r>
        <w:rPr>
          <w:sz w:val="22"/>
        </w:rPr>
        <w:t>Se debe </w:t>
      </w:r>
      <w:r>
        <w:rPr>
          <w:spacing w:val="-3"/>
          <w:sz w:val="22"/>
        </w:rPr>
        <w:t>insistir </w:t>
      </w:r>
      <w:r>
        <w:rPr>
          <w:sz w:val="22"/>
        </w:rPr>
        <w:t>sobre </w:t>
      </w:r>
      <w:r>
        <w:rPr>
          <w:spacing w:val="-3"/>
          <w:sz w:val="22"/>
        </w:rPr>
        <w:t>la </w:t>
      </w:r>
      <w:r>
        <w:rPr>
          <w:sz w:val="22"/>
        </w:rPr>
        <w:t>importancia de frecuentar zonas seguras para el adulto mayor (espacios iluminados), el apoyo familiar y </w:t>
      </w:r>
      <w:r>
        <w:rPr>
          <w:spacing w:val="-3"/>
          <w:sz w:val="22"/>
        </w:rPr>
        <w:t>la </w:t>
      </w:r>
      <w:r>
        <w:rPr>
          <w:sz w:val="22"/>
        </w:rPr>
        <w:t>utilización de lentes o audífonos si así </w:t>
      </w:r>
      <w:r>
        <w:rPr>
          <w:spacing w:val="-3"/>
          <w:sz w:val="22"/>
        </w:rPr>
        <w:t>lo </w:t>
      </w:r>
      <w:r>
        <w:rPr>
          <w:sz w:val="22"/>
        </w:rPr>
        <w:t>requiere el</w:t>
      </w:r>
      <w:r>
        <w:rPr>
          <w:spacing w:val="-6"/>
          <w:sz w:val="22"/>
        </w:rPr>
        <w:t> </w:t>
      </w:r>
      <w:r>
        <w:rPr>
          <w:sz w:val="22"/>
        </w:rPr>
        <w:t>anciano.</w:t>
      </w:r>
    </w:p>
    <w:p>
      <w:pPr>
        <w:pStyle w:val="ListParagraph"/>
        <w:numPr>
          <w:ilvl w:val="1"/>
          <w:numId w:val="5"/>
        </w:numPr>
        <w:tabs>
          <w:tab w:pos="2161" w:val="left" w:leader="none"/>
        </w:tabs>
        <w:spacing w:line="276" w:lineRule="auto" w:before="3" w:after="0"/>
        <w:ind w:left="2160" w:right="0" w:hanging="360"/>
        <w:jc w:val="both"/>
        <w:rPr>
          <w:sz w:val="22"/>
        </w:rPr>
      </w:pPr>
      <w:r>
        <w:rPr>
          <w:sz w:val="22"/>
        </w:rPr>
        <w:t>Procurar </w:t>
      </w:r>
      <w:r>
        <w:rPr>
          <w:spacing w:val="-3"/>
          <w:sz w:val="22"/>
        </w:rPr>
        <w:t>la </w:t>
      </w:r>
      <w:r>
        <w:rPr>
          <w:sz w:val="22"/>
        </w:rPr>
        <w:t>reintegración activa del paciente geriátrico posterior a una hospitalización </w:t>
      </w:r>
      <w:r>
        <w:rPr>
          <w:spacing w:val="-3"/>
          <w:sz w:val="22"/>
        </w:rPr>
        <w:t>lo </w:t>
      </w:r>
      <w:r>
        <w:rPr>
          <w:sz w:val="22"/>
        </w:rPr>
        <w:t>más pronto posible.</w:t>
      </w:r>
    </w:p>
    <w:p>
      <w:pPr>
        <w:pStyle w:val="BodyText"/>
        <w:spacing w:before="6"/>
        <w:rPr>
          <w:sz w:val="25"/>
        </w:rPr>
      </w:pPr>
    </w:p>
    <w:p>
      <w:pPr>
        <w:pStyle w:val="BodyText"/>
        <w:tabs>
          <w:tab w:pos="2591" w:val="left" w:leader="none"/>
          <w:tab w:pos="3986" w:val="left" w:leader="none"/>
          <w:tab w:pos="5512" w:val="left" w:leader="none"/>
        </w:tabs>
        <w:spacing w:line="273" w:lineRule="auto" w:before="1"/>
        <w:ind w:left="1440" w:right="1"/>
      </w:pPr>
      <w:r>
        <w:rPr/>
        <w:t>Como</w:t>
        <w:tab/>
        <w:t>medidas</w:t>
        <w:tab/>
        <w:t>generales</w:t>
        <w:tab/>
        <w:t>no farmacológicas:</w:t>
      </w:r>
    </w:p>
    <w:p>
      <w:pPr>
        <w:pStyle w:val="BodyText"/>
        <w:spacing w:before="1"/>
        <w:rPr>
          <w:sz w:val="28"/>
        </w:rPr>
      </w:pPr>
      <w:r>
        <w:rPr/>
        <w:br w:type="column"/>
      </w:r>
      <w:r>
        <w:rPr>
          <w:sz w:val="28"/>
        </w:rPr>
      </w:r>
    </w:p>
    <w:p>
      <w:pPr>
        <w:pStyle w:val="ListParagraph"/>
        <w:numPr>
          <w:ilvl w:val="0"/>
          <w:numId w:val="5"/>
        </w:numPr>
        <w:tabs>
          <w:tab w:pos="1401" w:val="left" w:leader="none"/>
          <w:tab w:pos="1402" w:val="left" w:leader="none"/>
        </w:tabs>
        <w:spacing w:line="240" w:lineRule="auto" w:before="1" w:after="0"/>
        <w:ind w:left="1401" w:right="0" w:hanging="360"/>
        <w:jc w:val="left"/>
        <w:rPr>
          <w:sz w:val="22"/>
        </w:rPr>
      </w:pPr>
      <w:r>
        <w:rPr>
          <w:sz w:val="22"/>
        </w:rPr>
        <w:t>Fomentar </w:t>
      </w:r>
      <w:r>
        <w:rPr>
          <w:spacing w:val="-3"/>
          <w:sz w:val="22"/>
        </w:rPr>
        <w:t>la </w:t>
      </w:r>
      <w:r>
        <w:rPr>
          <w:sz w:val="22"/>
        </w:rPr>
        <w:t>higiene del</w:t>
      </w:r>
      <w:r>
        <w:rPr>
          <w:spacing w:val="-6"/>
          <w:sz w:val="22"/>
        </w:rPr>
        <w:t> </w:t>
      </w:r>
      <w:r>
        <w:rPr>
          <w:sz w:val="22"/>
        </w:rPr>
        <w:t>sueño.</w:t>
      </w:r>
    </w:p>
    <w:p>
      <w:pPr>
        <w:pStyle w:val="ListParagraph"/>
        <w:numPr>
          <w:ilvl w:val="0"/>
          <w:numId w:val="5"/>
        </w:numPr>
        <w:tabs>
          <w:tab w:pos="1401" w:val="left" w:leader="none"/>
          <w:tab w:pos="1402" w:val="left" w:leader="none"/>
          <w:tab w:pos="2792" w:val="left" w:leader="none"/>
          <w:tab w:pos="3663" w:val="left" w:leader="none"/>
          <w:tab w:pos="4893" w:val="left" w:leader="none"/>
        </w:tabs>
        <w:spacing w:line="278" w:lineRule="auto" w:before="35" w:after="0"/>
        <w:ind w:left="1401" w:right="1433" w:hanging="360"/>
        <w:jc w:val="left"/>
        <w:rPr>
          <w:sz w:val="22"/>
        </w:rPr>
      </w:pPr>
      <w:r>
        <w:rPr>
          <w:sz w:val="22"/>
        </w:rPr>
        <w:t>Orientación</w:t>
        <w:tab/>
        <w:t>verbal</w:t>
        <w:tab/>
        <w:t>constante</w:t>
        <w:tab/>
        <w:t>y coloquio</w:t>
      </w:r>
      <w:r>
        <w:rPr>
          <w:spacing w:val="-1"/>
          <w:sz w:val="22"/>
        </w:rPr>
        <w:t> </w:t>
      </w:r>
      <w:r>
        <w:rPr>
          <w:sz w:val="22"/>
        </w:rPr>
        <w:t>adecuado.</w:t>
      </w:r>
    </w:p>
    <w:p>
      <w:pPr>
        <w:pStyle w:val="ListParagraph"/>
        <w:numPr>
          <w:ilvl w:val="0"/>
          <w:numId w:val="5"/>
        </w:numPr>
        <w:tabs>
          <w:tab w:pos="1401" w:val="left" w:leader="none"/>
          <w:tab w:pos="1402" w:val="left" w:leader="none"/>
          <w:tab w:pos="2200" w:val="left" w:leader="none"/>
          <w:tab w:pos="3263" w:val="left" w:leader="none"/>
          <w:tab w:pos="3747" w:val="left" w:leader="none"/>
          <w:tab w:pos="4890" w:val="left" w:leader="none"/>
        </w:tabs>
        <w:spacing w:line="278" w:lineRule="auto" w:before="0" w:after="0"/>
        <w:ind w:left="1401" w:right="1436" w:hanging="360"/>
        <w:jc w:val="left"/>
        <w:rPr>
          <w:sz w:val="22"/>
        </w:rPr>
      </w:pPr>
      <w:r>
        <w:rPr>
          <w:sz w:val="22"/>
        </w:rPr>
        <w:t>Evitar</w:t>
        <w:tab/>
        <w:t>cambios</w:t>
        <w:tab/>
        <w:t>de</w:t>
        <w:tab/>
        <w:t>ambiente</w:t>
        <w:tab/>
        <w:t>y medidas de</w:t>
      </w:r>
      <w:r>
        <w:rPr>
          <w:spacing w:val="-1"/>
          <w:sz w:val="22"/>
        </w:rPr>
        <w:t> </w:t>
      </w:r>
      <w:r>
        <w:rPr>
          <w:sz w:val="22"/>
        </w:rPr>
        <w:t>sujeción</w:t>
      </w:r>
    </w:p>
    <w:p>
      <w:pPr>
        <w:pStyle w:val="BodyText"/>
        <w:rPr>
          <w:sz w:val="25"/>
        </w:rPr>
      </w:pPr>
    </w:p>
    <w:p>
      <w:pPr>
        <w:pStyle w:val="BodyText"/>
        <w:ind w:left="681"/>
      </w:pPr>
      <w:r>
        <w:rPr/>
        <w:t>En cuanto al tratamiento farmacológico:</w:t>
      </w:r>
    </w:p>
    <w:p>
      <w:pPr>
        <w:pStyle w:val="BodyText"/>
        <w:spacing w:line="276" w:lineRule="auto" w:before="38"/>
        <w:ind w:left="681" w:right="1435"/>
        <w:jc w:val="both"/>
      </w:pPr>
      <w:r>
        <w:rPr/>
        <w:t>Los medicamentos de elección son los neurolépticos, el más aceptado de ellos es el haloperidol, aunque se asocia con alta frecuencia a efectos extra piramidales, seguidamente los antipsicóticos atípicos como la risperidona, olanzapina o quetiapina.</w:t>
      </w:r>
    </w:p>
    <w:p>
      <w:pPr>
        <w:pStyle w:val="BodyText"/>
        <w:spacing w:line="276" w:lineRule="auto" w:before="2"/>
        <w:ind w:left="681" w:right="1437"/>
        <w:jc w:val="both"/>
      </w:pPr>
      <w:r>
        <w:rPr/>
        <w:t>Los medicamentos alternativos los constituyen los benzodiacepinas, se prefieren las de acción intermedia como el lorazepam.</w:t>
      </w:r>
    </w:p>
    <w:p>
      <w:pPr>
        <w:spacing w:after="0" w:line="276" w:lineRule="auto"/>
        <w:jc w:val="both"/>
        <w:sectPr>
          <w:type w:val="continuous"/>
          <w:pgSz w:w="12240" w:h="15840"/>
          <w:pgMar w:top="1500" w:bottom="0" w:left="0" w:right="0"/>
          <w:cols w:num="2" w:equalWidth="0">
            <w:col w:w="5761" w:space="40"/>
            <w:col w:w="6439"/>
          </w:cols>
        </w:sectPr>
      </w:pPr>
    </w:p>
    <w:p>
      <w:pPr>
        <w:pStyle w:val="BodyText"/>
        <w:rPr>
          <w:sz w:val="20"/>
        </w:rPr>
      </w:pPr>
    </w:p>
    <w:p>
      <w:pPr>
        <w:pStyle w:val="BodyText"/>
        <w:spacing w:before="10"/>
      </w:pPr>
    </w:p>
    <w:p>
      <w:pPr>
        <w:pStyle w:val="Heading4"/>
        <w:spacing w:before="93"/>
      </w:pPr>
      <w:r>
        <w:rPr/>
        <w:t>BIBLIOGRAFIA</w:t>
      </w:r>
    </w:p>
    <w:p>
      <w:pPr>
        <w:pStyle w:val="BodyText"/>
        <w:spacing w:before="5"/>
        <w:rPr>
          <w:b/>
          <w:sz w:val="26"/>
        </w:rPr>
      </w:pPr>
    </w:p>
    <w:p>
      <w:pPr>
        <w:pStyle w:val="ListParagraph"/>
        <w:numPr>
          <w:ilvl w:val="0"/>
          <w:numId w:val="6"/>
        </w:numPr>
        <w:tabs>
          <w:tab w:pos="1800" w:val="left" w:leader="none"/>
          <w:tab w:pos="1801" w:val="left" w:leader="none"/>
        </w:tabs>
        <w:spacing w:line="276" w:lineRule="auto" w:before="0" w:after="0"/>
        <w:ind w:left="1800" w:right="1444" w:hanging="360"/>
        <w:jc w:val="left"/>
        <w:rPr>
          <w:sz w:val="20"/>
        </w:rPr>
      </w:pPr>
      <w:r>
        <w:rPr>
          <w:sz w:val="20"/>
        </w:rPr>
        <w:t>Morales Martínez F. Tratado de geriatría y gerontología. Delirio en el adulto mayor. San José, CR:EDNASSS-CCSS, 2015; Capítulo 17:</w:t>
      </w:r>
      <w:r>
        <w:rPr>
          <w:spacing w:val="-4"/>
          <w:sz w:val="20"/>
        </w:rPr>
        <w:t> </w:t>
      </w:r>
      <w:r>
        <w:rPr>
          <w:sz w:val="20"/>
        </w:rPr>
        <w:t>280-290.</w:t>
      </w:r>
    </w:p>
    <w:p>
      <w:pPr>
        <w:pStyle w:val="ListParagraph"/>
        <w:numPr>
          <w:ilvl w:val="0"/>
          <w:numId w:val="6"/>
        </w:numPr>
        <w:tabs>
          <w:tab w:pos="1800" w:val="left" w:leader="none"/>
          <w:tab w:pos="1801" w:val="left" w:leader="none"/>
        </w:tabs>
        <w:spacing w:line="271" w:lineRule="auto" w:before="0" w:after="0"/>
        <w:ind w:left="1800" w:right="1444" w:hanging="360"/>
        <w:jc w:val="left"/>
        <w:rPr>
          <w:sz w:val="20"/>
        </w:rPr>
      </w:pPr>
      <w:r>
        <w:rPr>
          <w:sz w:val="20"/>
        </w:rPr>
        <w:t>Morales Martínez F. Temas prácticos en geriatría y gerontología. Tomo I y II. San José, Costa Rica: EUNED;</w:t>
      </w:r>
      <w:r>
        <w:rPr>
          <w:spacing w:val="-1"/>
          <w:sz w:val="20"/>
        </w:rPr>
        <w:t> </w:t>
      </w:r>
      <w:r>
        <w:rPr>
          <w:sz w:val="20"/>
        </w:rPr>
        <w:t>2007.</w:t>
      </w:r>
    </w:p>
    <w:p>
      <w:pPr>
        <w:pStyle w:val="ListParagraph"/>
        <w:numPr>
          <w:ilvl w:val="0"/>
          <w:numId w:val="6"/>
        </w:numPr>
        <w:tabs>
          <w:tab w:pos="1800" w:val="left" w:leader="none"/>
          <w:tab w:pos="1801" w:val="left" w:leader="none"/>
        </w:tabs>
        <w:spacing w:line="276" w:lineRule="auto" w:before="4" w:after="0"/>
        <w:ind w:left="1800" w:right="1450" w:hanging="360"/>
        <w:jc w:val="left"/>
        <w:rPr>
          <w:sz w:val="20"/>
        </w:rPr>
      </w:pPr>
      <w:r>
        <w:rPr>
          <w:sz w:val="20"/>
        </w:rPr>
        <w:t>Abizanda Soler P. Medicina Geriátrica una aproximación basada en problemas. Barcelona, España: Elsevier;</w:t>
      </w:r>
      <w:r>
        <w:rPr>
          <w:spacing w:val="-4"/>
          <w:sz w:val="20"/>
        </w:rPr>
        <w:t> </w:t>
      </w:r>
      <w:r>
        <w:rPr>
          <w:sz w:val="20"/>
        </w:rPr>
        <w:t>2012.</w:t>
      </w:r>
    </w:p>
    <w:p>
      <w:pPr>
        <w:pStyle w:val="ListParagraph"/>
        <w:numPr>
          <w:ilvl w:val="0"/>
          <w:numId w:val="6"/>
        </w:numPr>
        <w:tabs>
          <w:tab w:pos="1800" w:val="left" w:leader="none"/>
          <w:tab w:pos="1801" w:val="left" w:leader="none"/>
        </w:tabs>
        <w:spacing w:line="271" w:lineRule="auto" w:before="0" w:after="0"/>
        <w:ind w:left="1800" w:right="1439" w:hanging="360"/>
        <w:jc w:val="left"/>
        <w:rPr>
          <w:sz w:val="20"/>
        </w:rPr>
      </w:pPr>
      <w:r>
        <w:rPr>
          <w:sz w:val="20"/>
        </w:rPr>
        <w:t>Halter J, Outslander J, Tinetti M, High K, Asthana S, Hazzard </w:t>
      </w:r>
      <w:r>
        <w:rPr>
          <w:spacing w:val="2"/>
          <w:sz w:val="20"/>
        </w:rPr>
        <w:t>W. </w:t>
      </w:r>
      <w:r>
        <w:rPr>
          <w:sz w:val="20"/>
        </w:rPr>
        <w:t>Hazzard’s geriatric medicine and gerontology. 6 ed. USA: The McGraw-Hill Companies;</w:t>
      </w:r>
      <w:r>
        <w:rPr>
          <w:spacing w:val="0"/>
          <w:sz w:val="20"/>
        </w:rPr>
        <w:t> </w:t>
      </w:r>
      <w:r>
        <w:rPr>
          <w:sz w:val="20"/>
        </w:rPr>
        <w:t>2009.</w:t>
      </w:r>
    </w:p>
    <w:p>
      <w:pPr>
        <w:pStyle w:val="BodyText"/>
        <w:spacing w:before="10"/>
        <w:rPr>
          <w:sz w:val="32"/>
        </w:rPr>
      </w:pPr>
    </w:p>
    <w:p>
      <w:pPr>
        <w:tabs>
          <w:tab w:pos="7548" w:val="left" w:leader="none"/>
        </w:tabs>
        <w:spacing w:before="0"/>
        <w:ind w:left="1440" w:right="0" w:firstLine="0"/>
        <w:jc w:val="left"/>
        <w:rPr>
          <w:sz w:val="20"/>
        </w:rPr>
      </w:pPr>
      <w:r>
        <w:rPr>
          <w:sz w:val="20"/>
        </w:rPr>
        <w:t>Recepción: 08 Marzo</w:t>
      </w:r>
      <w:r>
        <w:rPr>
          <w:spacing w:val="-4"/>
          <w:sz w:val="20"/>
        </w:rPr>
        <w:t> </w:t>
      </w:r>
      <w:r>
        <w:rPr>
          <w:sz w:val="20"/>
        </w:rPr>
        <w:t>de</w:t>
      </w:r>
      <w:r>
        <w:rPr>
          <w:spacing w:val="-2"/>
          <w:sz w:val="20"/>
        </w:rPr>
        <w:t> </w:t>
      </w:r>
      <w:r>
        <w:rPr>
          <w:sz w:val="20"/>
        </w:rPr>
        <w:t>2016</w:t>
        <w:tab/>
        <w:t>Aprobación:14 Marzo de</w:t>
      </w:r>
      <w:r>
        <w:rPr>
          <w:spacing w:val="-4"/>
          <w:sz w:val="20"/>
        </w:rPr>
        <w:t> </w:t>
      </w:r>
      <w:r>
        <w:rPr>
          <w:sz w:val="20"/>
        </w:rPr>
        <w:t>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2"/>
        </w:rPr>
      </w:pPr>
      <w:r>
        <w:rPr/>
        <w:pict>
          <v:group style="position:absolute;margin-left:72.199997pt;margin-top:8.936198pt;width:504.3pt;height:25.5pt;mso-position-horizontal-relative:page;mso-position-vertical-relative:paragraph;z-index:2848;mso-wrap-distance-left:0;mso-wrap-distance-right:0" coordorigin="1444,179" coordsize="10086,510">
            <v:shape style="position:absolute;left:10820;top:280;width:660;height:300" type="#_x0000_t75" stroked="false">
              <v:imagedata r:id="rId36" o:title=""/>
            </v:shape>
            <v:rect style="position:absolute;left:1469;top:188;width:9286;height:30" filled="true" fillcolor="#3366cc" stroked="false">
              <v:fill type="solid"/>
            </v:rect>
            <v:rect style="position:absolute;left:1459;top:178;width:9306;height:50" filled="true" fillcolor="#006fc0" stroked="false">
              <v:fill type="solid"/>
            </v:rect>
            <v:shape style="position:absolute;left:1444;top:368;width:9276;height:320" type="#_x0000_t75" stroked="false">
              <v:imagedata r:id="rId50" o:title=""/>
            </v:shape>
            <v:shape style="position:absolute;left:3821;top:375;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10790;top:338;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19</w:t>
                    </w:r>
                    <w:r>
                      <w:rPr>
                        <w:rFonts w:ascii="Calibri"/>
                        <w:color w:val="FFFFFF"/>
                        <w:spacing w:val="-18"/>
                        <w:sz w:val="28"/>
                        <w:shd w:fill="3366CC" w:color="auto" w:val="clear"/>
                      </w:rPr>
                      <w:t> </w:t>
                    </w:r>
                  </w:p>
                </w:txbxContent>
              </v:textbox>
              <w10:wrap type="none"/>
            </v:shape>
            <w10:wrap type="topAndBottom"/>
          </v:group>
        </w:pict>
      </w:r>
    </w:p>
    <w:p>
      <w:pPr>
        <w:spacing w:after="0"/>
        <w:rPr>
          <w:sz w:val="12"/>
        </w:rPr>
        <w:sectPr>
          <w:type w:val="continuous"/>
          <w:pgSz w:w="12240" w:h="15840"/>
          <w:pgMar w:top="1500" w:bottom="0" w:left="0" w:right="0"/>
        </w:sectPr>
      </w:pPr>
    </w:p>
    <w:p>
      <w:pPr>
        <w:spacing w:before="78"/>
        <w:ind w:left="1580" w:right="0" w:firstLine="0"/>
        <w:jc w:val="left"/>
        <w:rPr>
          <w:sz w:val="16"/>
        </w:rPr>
      </w:pPr>
      <w:r>
        <w:rPr/>
        <w:pict>
          <v:group style="position:absolute;margin-left:72.199997pt;margin-top:4.183923pt;width:473.05pt;height:400.3pt;mso-position-horizontal-relative:page;mso-position-vertical-relative:paragraph;z-index:-48184" coordorigin="1444,84" coordsize="9461,8006">
            <v:shape style="position:absolute;left:3420;top:1759;width:7485;height:6330" type="#_x0000_t75" stroked="false">
              <v:imagedata r:id="rId87" o:title=""/>
            </v:shape>
            <v:shape style="position:absolute;left:1444;top:83;width:2000;height:7868" type="#_x0000_t75" stroked="false">
              <v:imagedata r:id="rId88"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52" w:right="0" w:firstLine="0"/>
        <w:jc w:val="left"/>
        <w:rPr>
          <w:sz w:val="16"/>
        </w:rPr>
      </w:pPr>
      <w:r>
        <w:rPr>
          <w:sz w:val="16"/>
        </w:rPr>
        <w:t>ISSN 2215-4523</w:t>
      </w:r>
    </w:p>
    <w:p>
      <w:pPr>
        <w:spacing w:line="261" w:lineRule="auto" w:before="11"/>
        <w:ind w:left="1700" w:right="117" w:firstLine="303"/>
        <w:jc w:val="left"/>
        <w:rPr>
          <w:sz w:val="16"/>
        </w:rPr>
      </w:pPr>
      <w:r>
        <w:rPr>
          <w:sz w:val="16"/>
        </w:rPr>
        <w:t>Vol.1 Num:4 Abril 2016 pp:20-24</w:t>
      </w:r>
    </w:p>
    <w:p>
      <w:pPr>
        <w:pStyle w:val="Heading3"/>
        <w:spacing w:line="276" w:lineRule="auto"/>
        <w:ind w:left="1399" w:right="2548"/>
      </w:pPr>
      <w:r>
        <w:rPr>
          <w:b w:val="0"/>
        </w:rPr>
        <w:br w:type="column"/>
      </w:r>
      <w:r>
        <w:rPr>
          <w:color w:val="3A3838"/>
        </w:rPr>
        <w:t>TRASTORNO DE ANSIEDAD SOCIAL (FOBIA SOCIAL)</w:t>
      </w:r>
    </w:p>
    <w:p>
      <w:pPr>
        <w:spacing w:before="2"/>
        <w:ind w:left="1399" w:right="2482" w:firstLine="0"/>
        <w:jc w:val="center"/>
        <w:rPr>
          <w:sz w:val="20"/>
        </w:rPr>
      </w:pPr>
      <w:r>
        <w:rPr>
          <w:sz w:val="20"/>
        </w:rPr>
        <w:t>(SOCIAL ANXIETY DISORDER- SOCIAL PHOBIA)</w:t>
      </w:r>
    </w:p>
    <w:p>
      <w:pPr>
        <w:pStyle w:val="BodyText"/>
        <w:spacing w:before="5"/>
        <w:rPr>
          <w:sz w:val="20"/>
        </w:rPr>
      </w:pPr>
    </w:p>
    <w:p>
      <w:pPr>
        <w:pStyle w:val="BodyText"/>
        <w:ind w:left="5294"/>
      </w:pPr>
      <w:r>
        <w:rPr/>
        <w:t>* </w:t>
      </w:r>
      <w:r>
        <w:rPr>
          <w:color w:val="3A3838"/>
        </w:rPr>
        <w:t>Yerlin Elizondo Arias</w:t>
      </w:r>
    </w:p>
    <w:p>
      <w:pPr>
        <w:spacing w:after="0"/>
        <w:sectPr>
          <w:headerReference w:type="default" r:id="rId85"/>
          <w:footerReference w:type="default" r:id="rId86"/>
          <w:pgSz w:w="12240" w:h="15840"/>
          <w:pgMar w:header="0" w:footer="0" w:top="1360" w:bottom="280" w:left="0" w:right="0"/>
          <w:cols w:num="2" w:equalWidth="0">
            <w:col w:w="3301" w:space="40"/>
            <w:col w:w="8899"/>
          </w:cols>
        </w:sectPr>
      </w:pPr>
    </w:p>
    <w:p>
      <w:pPr>
        <w:pStyle w:val="BodyText"/>
        <w:spacing w:before="3"/>
        <w:rPr>
          <w:sz w:val="18"/>
        </w:rPr>
      </w:pPr>
    </w:p>
    <w:p>
      <w:pPr>
        <w:pStyle w:val="BodyText"/>
        <w:spacing w:before="93"/>
        <w:ind w:left="3573"/>
      </w:pPr>
      <w:r>
        <w:rPr/>
        <w:t>RESUMEN</w:t>
      </w:r>
    </w:p>
    <w:p>
      <w:pPr>
        <w:pStyle w:val="BodyText"/>
        <w:spacing w:line="276" w:lineRule="auto" w:before="34"/>
        <w:ind w:left="3573" w:right="1483"/>
        <w:jc w:val="both"/>
      </w:pPr>
      <w:r>
        <w:rPr/>
        <w:t>Se describe como miedo o ansiedad intensa en una o más situaciones sociales en las que el individuo está expuesto al posible examen por parte de otras personas. Entre los factores etiológicos están temperamentales, ambientales, genéticos, neuroquímicos. El diagnostico se basa sobre los criterios diagnósticos DSM-V. Se consideran los ISRS como tratamiento de elección, en casos que se necesite adyuvancia se pueden usar benzodiacepinas, alprazolam y</w:t>
      </w:r>
      <w:r>
        <w:rPr>
          <w:spacing w:val="-13"/>
        </w:rPr>
        <w:t> </w:t>
      </w:r>
      <w:r>
        <w:rPr/>
        <w:t>clonazepam.</w:t>
      </w:r>
    </w:p>
    <w:p>
      <w:pPr>
        <w:pStyle w:val="BodyText"/>
        <w:spacing w:before="201"/>
        <w:ind w:left="3573"/>
        <w:jc w:val="both"/>
      </w:pPr>
      <w:r>
        <w:rPr/>
        <w:t>DESCRIPTORES</w:t>
      </w:r>
    </w:p>
    <w:p>
      <w:pPr>
        <w:pStyle w:val="BodyText"/>
        <w:spacing w:before="34"/>
        <w:ind w:left="3573"/>
        <w:jc w:val="both"/>
      </w:pPr>
      <w:r>
        <w:rPr/>
        <w:t>Miedo, ansiedad, situaciones sociales, ISRS, DSM – V, benzodiacepinas</w:t>
      </w:r>
    </w:p>
    <w:p>
      <w:pPr>
        <w:pStyle w:val="BodyText"/>
        <w:spacing w:before="7"/>
        <w:rPr>
          <w:sz w:val="12"/>
        </w:rPr>
      </w:pPr>
    </w:p>
    <w:p>
      <w:pPr>
        <w:spacing w:after="0"/>
        <w:rPr>
          <w:sz w:val="12"/>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5"/>
        </w:rPr>
      </w:pPr>
    </w:p>
    <w:p>
      <w:pPr>
        <w:spacing w:line="273" w:lineRule="auto" w:before="0"/>
        <w:ind w:left="1444" w:right="-12" w:firstLine="0"/>
        <w:jc w:val="left"/>
        <w:rPr>
          <w:sz w:val="16"/>
        </w:rPr>
      </w:pPr>
      <w:r>
        <w:rPr>
          <w:sz w:val="16"/>
        </w:rPr>
        <w:t>*Médico General. Universidad de</w:t>
      </w:r>
      <w:r>
        <w:rPr>
          <w:spacing w:val="-10"/>
          <w:sz w:val="16"/>
        </w:rPr>
        <w:t> </w:t>
      </w:r>
      <w:r>
        <w:rPr>
          <w:sz w:val="16"/>
        </w:rPr>
        <w:t>Ciencias Médicas</w:t>
      </w:r>
      <w:r>
        <w:rPr>
          <w:spacing w:val="-5"/>
          <w:sz w:val="16"/>
        </w:rPr>
        <w:t> </w:t>
      </w:r>
      <w:r>
        <w:rPr>
          <w:sz w:val="16"/>
        </w:rPr>
        <w:t>(UCIMED)</w:t>
      </w:r>
    </w:p>
    <w:p>
      <w:pPr>
        <w:spacing w:before="2"/>
        <w:ind w:left="1444" w:right="0" w:firstLine="0"/>
        <w:jc w:val="left"/>
        <w:rPr>
          <w:sz w:val="16"/>
        </w:rPr>
      </w:pPr>
      <w:r>
        <w:rPr>
          <w:sz w:val="16"/>
        </w:rPr>
        <w:t>San José- Costa Rica</w:t>
      </w:r>
    </w:p>
    <w:p>
      <w:pPr>
        <w:pStyle w:val="BodyText"/>
        <w:spacing w:before="93"/>
        <w:ind w:left="365"/>
      </w:pPr>
      <w:r>
        <w:rPr/>
        <w:br w:type="column"/>
      </w:r>
      <w:r>
        <w:rPr/>
        <w:t>SUMMARY</w:t>
      </w:r>
    </w:p>
    <w:p>
      <w:pPr>
        <w:pStyle w:val="BodyText"/>
        <w:spacing w:line="276" w:lineRule="auto" w:before="39"/>
        <w:ind w:left="365" w:right="1350"/>
      </w:pPr>
      <w:r>
        <w:rPr/>
        <w:t>It is described as intense fear or anxiety in one or more social situations where the individual is exposed to possible scrutiny by others. Among the etiological factors they are temperamental, environmental, genetic, neurochemical. The diagnosis is based on diagnostic criteria DSM-V. SSRIs are considered the treatment of choice in cases adjuvant needed may be used benzodiazepines, alprazolam and clonazepam</w:t>
      </w:r>
    </w:p>
    <w:p>
      <w:pPr>
        <w:pStyle w:val="BodyText"/>
        <w:spacing w:before="202"/>
        <w:ind w:left="365"/>
      </w:pPr>
      <w:r>
        <w:rPr/>
        <w:t>KEYWORDS</w:t>
      </w:r>
    </w:p>
    <w:p>
      <w:pPr>
        <w:pStyle w:val="BodyText"/>
        <w:spacing w:before="39"/>
        <w:ind w:left="365"/>
      </w:pPr>
      <w:r>
        <w:rPr/>
        <w:t>Fear, anxiety, social situations, SSRIs, DSM - V, benzodiazepines</w:t>
      </w:r>
    </w:p>
    <w:p>
      <w:pPr>
        <w:spacing w:after="0"/>
        <w:sectPr>
          <w:type w:val="continuous"/>
          <w:pgSz w:w="12240" w:h="15840"/>
          <w:pgMar w:top="1500" w:bottom="0" w:left="0" w:right="0"/>
          <w:cols w:num="2" w:equalWidth="0">
            <w:col w:w="3168" w:space="40"/>
            <w:col w:w="9032"/>
          </w:cols>
        </w:sectPr>
      </w:pPr>
    </w:p>
    <w:p>
      <w:pPr>
        <w:pStyle w:val="BodyText"/>
        <w:spacing w:before="2"/>
        <w:rPr>
          <w:sz w:val="24"/>
        </w:rPr>
      </w:pPr>
    </w:p>
    <w:p>
      <w:pPr>
        <w:spacing w:after="0"/>
        <w:rPr>
          <w:sz w:val="24"/>
        </w:rPr>
        <w:sectPr>
          <w:type w:val="continuous"/>
          <w:pgSz w:w="12240" w:h="15840"/>
          <w:pgMar w:top="1500" w:bottom="0" w:left="0" w:right="0"/>
        </w:sectPr>
      </w:pPr>
    </w:p>
    <w:p>
      <w:pPr>
        <w:pStyle w:val="Heading4"/>
        <w:spacing w:before="130"/>
      </w:pPr>
      <w:r>
        <w:rPr/>
        <w:t>DEFINICION</w:t>
      </w:r>
    </w:p>
    <w:p>
      <w:pPr>
        <w:pStyle w:val="BodyText"/>
        <w:spacing w:before="5"/>
        <w:rPr>
          <w:b/>
          <w:sz w:val="21"/>
        </w:rPr>
      </w:pPr>
    </w:p>
    <w:p>
      <w:pPr>
        <w:pStyle w:val="BodyText"/>
        <w:spacing w:line="276" w:lineRule="auto"/>
        <w:ind w:left="1440"/>
        <w:jc w:val="both"/>
      </w:pPr>
      <w:r>
        <w:rPr/>
        <w:t>La característica esencial es el intenso miedo o ansiedad a las situaciones sociales en las que el individuo puede ser analizado por los demás. El individuo teme ser evaluado negativamente, teme ser juzgado como ansioso o débil. Esa condición </w:t>
      </w:r>
      <w:r>
        <w:rPr>
          <w:spacing w:val="-3"/>
        </w:rPr>
        <w:t>le </w:t>
      </w:r>
      <w:r>
        <w:rPr/>
        <w:t>genera problemas o malestar principalmente el ámbito social y profesional, ya que puede ser tan fuerte que impidan a </w:t>
      </w:r>
      <w:r>
        <w:rPr>
          <w:spacing w:val="-3"/>
        </w:rPr>
        <w:t>la </w:t>
      </w:r>
      <w:r>
        <w:rPr/>
        <w:t>persona asistir </w:t>
      </w:r>
      <w:r>
        <w:rPr>
          <w:spacing w:val="1"/>
        </w:rPr>
        <w:t>al </w:t>
      </w:r>
      <w:r>
        <w:rPr/>
        <w:t>trabajo, </w:t>
      </w:r>
      <w:r>
        <w:rPr>
          <w:spacing w:val="-3"/>
        </w:rPr>
        <w:t>la </w:t>
      </w:r>
      <w:r>
        <w:rPr/>
        <w:t>escuela o realizar sus actividades</w:t>
      </w:r>
      <w:r>
        <w:rPr>
          <w:spacing w:val="-13"/>
        </w:rPr>
        <w:t> </w:t>
      </w:r>
      <w:r>
        <w:rPr/>
        <w:t>diarias.</w:t>
      </w:r>
    </w:p>
    <w:p>
      <w:pPr>
        <w:pStyle w:val="BodyText"/>
        <w:spacing w:before="9"/>
        <w:rPr>
          <w:sz w:val="20"/>
        </w:rPr>
      </w:pPr>
    </w:p>
    <w:p>
      <w:pPr>
        <w:pStyle w:val="Heading4"/>
        <w:jc w:val="both"/>
      </w:pPr>
      <w:r>
        <w:rPr/>
        <w:t>EPIDEMIOLOGIA</w:t>
      </w:r>
    </w:p>
    <w:p>
      <w:pPr>
        <w:pStyle w:val="BodyText"/>
        <w:spacing w:line="276" w:lineRule="auto" w:before="93"/>
        <w:ind w:left="679" w:right="1434"/>
        <w:jc w:val="both"/>
      </w:pPr>
      <w:r>
        <w:rPr/>
        <w:br w:type="column"/>
      </w:r>
      <w:r>
        <w:rPr/>
        <w:t>La prevalencia estimada anual es 7% para Estados Unidos, sin embargo, es mucho menor en otras partes del mundo, en las que varía entre 0.5-2%. La tasa de prevalencia disminuye con </w:t>
      </w:r>
      <w:r>
        <w:rPr>
          <w:spacing w:val="-3"/>
        </w:rPr>
        <w:t>la </w:t>
      </w:r>
      <w:r>
        <w:rPr/>
        <w:t>edad, sin embargo, es un poco mayor en adultos mayores en los va del 2 al</w:t>
      </w:r>
      <w:r>
        <w:rPr>
          <w:spacing w:val="-13"/>
        </w:rPr>
        <w:t> </w:t>
      </w:r>
      <w:r>
        <w:rPr/>
        <w:t>5%.</w:t>
      </w:r>
    </w:p>
    <w:p>
      <w:pPr>
        <w:pStyle w:val="BodyText"/>
        <w:spacing w:line="276" w:lineRule="auto"/>
        <w:ind w:left="679" w:right="1434" w:firstLine="60"/>
        <w:jc w:val="both"/>
      </w:pPr>
      <w:r>
        <w:rPr/>
        <w:t>Es más frecuente en mujeres que en varones, sin embargo, en población clínica o que busca valoración las cifras son similares entre géneros o más alta en varones, esto se puede explicar por las funciones de género, expectativas sociales y profesionales de los varones. Las mujeres con el trastorno refieren un mayor número de miedos sociales y trastornos</w:t>
      </w:r>
      <w:r>
        <w:rPr>
          <w:spacing w:val="33"/>
        </w:rPr>
        <w:t> </w:t>
      </w:r>
      <w:r>
        <w:rPr/>
        <w:t>depresivos,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spacing w:before="6"/>
        <w:rPr>
          <w:sz w:val="12"/>
        </w:rPr>
      </w:pPr>
    </w:p>
    <w:p>
      <w:pPr>
        <w:spacing w:line="30" w:lineRule="exact"/>
        <w:ind w:left="1454" w:right="0" w:firstLine="0"/>
        <w:rPr>
          <w:sz w:val="2"/>
        </w:rPr>
      </w:pPr>
      <w:r>
        <w:rPr>
          <w:rFonts w:ascii="Times New Roman"/>
          <w:spacing w:val="10"/>
          <w:sz w:val="2"/>
        </w:rPr>
        <w:t> </w:t>
      </w:r>
      <w:r>
        <w:rPr>
          <w:spacing w:val="10"/>
          <w:position w:val="0"/>
          <w:sz w:val="2"/>
        </w:rPr>
        <w:pict>
          <v:group style="width:465.8pt;height:1.5pt;mso-position-horizontal-relative:char;mso-position-vertical-relative:line" coordorigin="0,0" coordsize="9316,30">
            <v:line style="position:absolute" from="0,15" to="9315,15" stroked="true" strokeweight="1.4649pt" strokecolor="#3366cc">
              <v:stroke dashstyle="solid"/>
            </v:line>
          </v:group>
        </w:pict>
      </w:r>
      <w:r>
        <w:rPr>
          <w:spacing w:val="10"/>
          <w:position w:val="0"/>
          <w:sz w:val="2"/>
        </w:rPr>
      </w:r>
    </w:p>
    <w:p>
      <w:pPr>
        <w:pStyle w:val="BodyText"/>
        <w:spacing w:before="1"/>
        <w:rPr>
          <w:sz w:val="6"/>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20</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spacing w:after="0"/>
        <w:rPr>
          <w:sz w:val="20"/>
        </w:rPr>
        <w:sectPr>
          <w:headerReference w:type="default" r:id="rId89"/>
          <w:footerReference w:type="default" r:id="rId90"/>
          <w:pgSz w:w="12240" w:h="15840"/>
          <w:pgMar w:header="723" w:footer="0" w:top="940" w:bottom="280" w:left="0" w:right="0"/>
        </w:sectPr>
      </w:pPr>
    </w:p>
    <w:p>
      <w:pPr>
        <w:pStyle w:val="BodyText"/>
        <w:spacing w:before="8"/>
      </w:pPr>
    </w:p>
    <w:p>
      <w:pPr>
        <w:pStyle w:val="BodyText"/>
        <w:spacing w:line="276" w:lineRule="auto"/>
        <w:ind w:left="1440" w:right="2"/>
        <w:jc w:val="both"/>
      </w:pPr>
      <w:r>
        <w:rPr/>
        <w:t>bipolares y de ansiedad, mientras que varones son más propensos a temer a las citas, a tener un trastorno oposicionista desafiante o un trastorno de conducta, así como uso de alcohol y drogas para aliviar los síntomas del trastorno.</w:t>
      </w:r>
    </w:p>
    <w:p>
      <w:pPr>
        <w:pStyle w:val="BodyText"/>
        <w:spacing w:before="4"/>
        <w:rPr>
          <w:sz w:val="20"/>
        </w:rPr>
      </w:pPr>
    </w:p>
    <w:p>
      <w:pPr>
        <w:pStyle w:val="Heading4"/>
        <w:jc w:val="both"/>
      </w:pPr>
      <w:r>
        <w:rPr/>
        <w:t>FACTORES ETIOLOGICOS</w:t>
      </w:r>
    </w:p>
    <w:p>
      <w:pPr>
        <w:pStyle w:val="BodyText"/>
        <w:rPr>
          <w:b/>
          <w:sz w:val="21"/>
        </w:rPr>
      </w:pPr>
    </w:p>
    <w:p>
      <w:pPr>
        <w:spacing w:line="276" w:lineRule="auto" w:before="0"/>
        <w:ind w:left="1440" w:right="0" w:firstLine="0"/>
        <w:jc w:val="both"/>
        <w:rPr>
          <w:sz w:val="22"/>
        </w:rPr>
      </w:pPr>
      <w:r>
        <w:rPr>
          <w:i/>
          <w:sz w:val="22"/>
        </w:rPr>
        <w:t>Temperamentales: </w:t>
      </w:r>
      <w:r>
        <w:rPr>
          <w:sz w:val="22"/>
        </w:rPr>
        <w:t>Inhibición del comportamiento y miedo a la evaluación negativa.</w:t>
      </w:r>
    </w:p>
    <w:p>
      <w:pPr>
        <w:pStyle w:val="BodyText"/>
        <w:spacing w:line="276" w:lineRule="auto"/>
        <w:ind w:left="1440" w:right="4"/>
        <w:jc w:val="both"/>
      </w:pPr>
      <w:r>
        <w:rPr>
          <w:i/>
        </w:rPr>
        <w:t>Ambientales</w:t>
      </w:r>
      <w:r>
        <w:rPr/>
        <w:t>: El maltrato infantil y la adversidad psicosocial temprana son factores de riesgo para el trastorno de ansiedad social.</w:t>
      </w:r>
    </w:p>
    <w:p>
      <w:pPr>
        <w:pStyle w:val="BodyText"/>
        <w:spacing w:line="276" w:lineRule="auto"/>
        <w:ind w:left="1440" w:right="2"/>
        <w:jc w:val="both"/>
      </w:pPr>
      <w:r>
        <w:rPr>
          <w:i/>
        </w:rPr>
        <w:t>Genéticos: </w:t>
      </w:r>
      <w:r>
        <w:rPr/>
        <w:t>La inhibición conductual está altamente influenciada genéticamente. Los familiares de primer grado tienen de dos a seis veces más posibilidades de tener trastorno de ansiedad social.</w:t>
      </w:r>
    </w:p>
    <w:p>
      <w:pPr>
        <w:pStyle w:val="BodyText"/>
        <w:spacing w:line="276" w:lineRule="auto"/>
        <w:ind w:left="1440" w:right="2"/>
        <w:jc w:val="both"/>
      </w:pPr>
      <w:r>
        <w:rPr>
          <w:i/>
        </w:rPr>
        <w:t>Neuroquímicos</w:t>
      </w:r>
      <w:r>
        <w:rPr>
          <w:b/>
        </w:rPr>
        <w:t>: </w:t>
      </w:r>
      <w:r>
        <w:rPr/>
        <w:t>Estudios sugieren que pacientes con fobias de actuación pueden liberar más noradrenalina o adrenalina, tanto central como periféricamente, en comparación con individuos no fóbicos, o bien estos pacientes son sensibles a un nivel normal de estimulación adrenérgica. Al observar que los IMAO pueden ser más efectivos que los tricíclicos en tratamiento de fobia social generalizada, se postula que </w:t>
      </w:r>
      <w:r>
        <w:rPr>
          <w:spacing w:val="-3"/>
        </w:rPr>
        <w:t>la </w:t>
      </w:r>
      <w:r>
        <w:rPr/>
        <w:t>actividad dopaminérgica se relaciona con </w:t>
      </w:r>
      <w:r>
        <w:rPr>
          <w:spacing w:val="-3"/>
        </w:rPr>
        <w:t>la </w:t>
      </w:r>
      <w:r>
        <w:rPr/>
        <w:t>patogenia del</w:t>
      </w:r>
      <w:r>
        <w:rPr>
          <w:spacing w:val="-4"/>
        </w:rPr>
        <w:t> </w:t>
      </w:r>
      <w:r>
        <w:rPr/>
        <w:t>trastorno.</w:t>
      </w:r>
    </w:p>
    <w:p>
      <w:pPr>
        <w:pStyle w:val="BodyText"/>
        <w:spacing w:before="8"/>
        <w:rPr>
          <w:sz w:val="20"/>
        </w:rPr>
      </w:pPr>
    </w:p>
    <w:p>
      <w:pPr>
        <w:pStyle w:val="Heading4"/>
        <w:jc w:val="both"/>
      </w:pPr>
      <w:r>
        <w:rPr/>
        <w:t>EVOLUCION </w:t>
      </w:r>
      <w:r>
        <w:rPr>
          <w:b w:val="0"/>
        </w:rPr>
        <w:t>Y </w:t>
      </w:r>
      <w:r>
        <w:rPr/>
        <w:t>PRONOSTICO</w:t>
      </w:r>
    </w:p>
    <w:p>
      <w:pPr>
        <w:pStyle w:val="BodyText"/>
        <w:spacing w:before="5"/>
        <w:rPr>
          <w:b/>
          <w:sz w:val="21"/>
        </w:rPr>
      </w:pPr>
    </w:p>
    <w:p>
      <w:pPr>
        <w:pStyle w:val="BodyText"/>
        <w:spacing w:line="276" w:lineRule="auto"/>
        <w:ind w:left="1440" w:right="3"/>
        <w:jc w:val="both"/>
      </w:pPr>
      <w:r>
        <w:rPr/>
        <w:t>La edad media de inicio es 13 años, con un rango que va de los 8 a los 15 años. El trastorno a veces emerge a partir de una historia de inhibición social o de timidez en </w:t>
      </w:r>
      <w:r>
        <w:rPr>
          <w:spacing w:val="-3"/>
        </w:rPr>
        <w:t>la </w:t>
      </w:r>
      <w:r>
        <w:rPr/>
        <w:t>infancia. Puede seguir bruscamente a una experiencia estresante o humillante, o puede surgir de forma lenta o insidiosa. Una primera aparición en </w:t>
      </w:r>
      <w:r>
        <w:rPr>
          <w:spacing w:val="-3"/>
        </w:rPr>
        <w:t>la </w:t>
      </w:r>
      <w:r>
        <w:rPr/>
        <w:t>edad</w:t>
      </w:r>
      <w:r>
        <w:rPr>
          <w:spacing w:val="20"/>
        </w:rPr>
        <w:t> </w:t>
      </w:r>
      <w:r>
        <w:rPr/>
        <w:t>adulta es</w:t>
      </w:r>
    </w:p>
    <w:p>
      <w:pPr>
        <w:pStyle w:val="BodyText"/>
        <w:spacing w:before="8"/>
      </w:pPr>
      <w:r>
        <w:rPr/>
        <w:br w:type="column"/>
      </w:r>
      <w:r>
        <w:rPr/>
      </w:r>
    </w:p>
    <w:p>
      <w:pPr>
        <w:pStyle w:val="BodyText"/>
        <w:spacing w:line="276" w:lineRule="auto"/>
        <w:ind w:left="676" w:right="1435"/>
        <w:jc w:val="both"/>
      </w:pPr>
      <w:r>
        <w:rPr/>
        <w:t>relativamente rara y es más probable que ocurra después de un evento estresante o humillante, o después de cambios vitales que requieren nuevos roles sociales. Con tratamiento el 30% presenta remisión en un año, 50% presenta remisión en unos años. Para el 60% de los que no reciben tratamiento específico, el curso será de varios años o más.</w:t>
      </w:r>
    </w:p>
    <w:p>
      <w:pPr>
        <w:pStyle w:val="Heading6"/>
        <w:spacing w:line="251" w:lineRule="exact"/>
        <w:ind w:left="676" w:firstLine="0"/>
      </w:pPr>
      <w:r>
        <w:rPr/>
        <w:t>Criterios diagnósticos – DSM-V</w:t>
      </w:r>
    </w:p>
    <w:p>
      <w:pPr>
        <w:pStyle w:val="ListParagraph"/>
        <w:numPr>
          <w:ilvl w:val="0"/>
          <w:numId w:val="7"/>
        </w:numPr>
        <w:tabs>
          <w:tab w:pos="1182" w:val="left" w:leader="none"/>
        </w:tabs>
        <w:spacing w:line="276" w:lineRule="auto" w:before="39" w:after="0"/>
        <w:ind w:left="1181" w:right="1433" w:hanging="361"/>
        <w:jc w:val="both"/>
        <w:rPr>
          <w:sz w:val="22"/>
        </w:rPr>
      </w:pPr>
      <w:r>
        <w:rPr>
          <w:sz w:val="22"/>
        </w:rPr>
        <w:t>Miedo o ansiedad intensa en una o más situaciones sociales en las que el individuo está expuesto al posible examen por parte de otras personas. Algunos ejemplos son las interacciones sociales (p.ej., mantener una conversación, reunirse con personas extrañas), ser observado (p. ej., comiendo o bebiendo) y actuar delante de otras personas (p. ej., dar una</w:t>
      </w:r>
      <w:r>
        <w:rPr>
          <w:spacing w:val="-1"/>
          <w:sz w:val="22"/>
        </w:rPr>
        <w:t> </w:t>
      </w:r>
      <w:r>
        <w:rPr>
          <w:sz w:val="22"/>
        </w:rPr>
        <w:t>charla).</w:t>
      </w:r>
    </w:p>
    <w:p>
      <w:pPr>
        <w:pStyle w:val="BodyText"/>
        <w:spacing w:line="276" w:lineRule="auto"/>
        <w:ind w:left="1397" w:right="1432"/>
        <w:jc w:val="both"/>
      </w:pPr>
      <w:r>
        <w:rPr>
          <w:b/>
        </w:rPr>
        <w:t>Nota: </w:t>
      </w:r>
      <w:r>
        <w:rPr/>
        <w:t>en los niños, la ansiedad se puede producir en las reuniones con individuos de su misma edad y no solamente en la interacción con adultos.</w:t>
      </w:r>
    </w:p>
    <w:p>
      <w:pPr>
        <w:pStyle w:val="ListParagraph"/>
        <w:numPr>
          <w:ilvl w:val="0"/>
          <w:numId w:val="7"/>
        </w:numPr>
        <w:tabs>
          <w:tab w:pos="1182" w:val="left" w:leader="none"/>
        </w:tabs>
        <w:spacing w:line="276" w:lineRule="auto" w:before="9" w:after="0"/>
        <w:ind w:left="1181" w:right="1436" w:hanging="361"/>
        <w:jc w:val="both"/>
        <w:rPr>
          <w:sz w:val="22"/>
        </w:rPr>
      </w:pPr>
      <w:r>
        <w:rPr>
          <w:sz w:val="22"/>
        </w:rPr>
        <w:t>El individuo tiene miedo de actuar de cierta manera o de mostrar síntomas de ansiedad que se valoren negativamente (es decir, que </w:t>
      </w:r>
      <w:r>
        <w:rPr>
          <w:spacing w:val="-3"/>
          <w:sz w:val="22"/>
        </w:rPr>
        <w:t>lo </w:t>
      </w:r>
      <w:r>
        <w:rPr>
          <w:sz w:val="22"/>
        </w:rPr>
        <w:t>humillen o avergüencen, que se traduzca en rechazo o que ofenda a otras</w:t>
      </w:r>
      <w:r>
        <w:rPr>
          <w:spacing w:val="-1"/>
          <w:sz w:val="22"/>
        </w:rPr>
        <w:t> </w:t>
      </w:r>
      <w:r>
        <w:rPr>
          <w:sz w:val="22"/>
        </w:rPr>
        <w:t>personas).</w:t>
      </w:r>
    </w:p>
    <w:p>
      <w:pPr>
        <w:pStyle w:val="ListParagraph"/>
        <w:numPr>
          <w:ilvl w:val="0"/>
          <w:numId w:val="7"/>
        </w:numPr>
        <w:tabs>
          <w:tab w:pos="1182" w:val="left" w:leader="none"/>
        </w:tabs>
        <w:spacing w:line="276" w:lineRule="auto" w:before="2" w:after="0"/>
        <w:ind w:left="1181" w:right="1437" w:hanging="361"/>
        <w:jc w:val="both"/>
        <w:rPr>
          <w:sz w:val="22"/>
        </w:rPr>
      </w:pPr>
      <w:r>
        <w:rPr>
          <w:sz w:val="22"/>
        </w:rPr>
        <w:t>Las situaciones sociales casi siempre provocan miedo o</w:t>
      </w:r>
      <w:r>
        <w:rPr>
          <w:spacing w:val="-5"/>
          <w:sz w:val="22"/>
        </w:rPr>
        <w:t> </w:t>
      </w:r>
      <w:r>
        <w:rPr>
          <w:sz w:val="22"/>
        </w:rPr>
        <w:t>ansiedad.</w:t>
      </w:r>
    </w:p>
    <w:p>
      <w:pPr>
        <w:pStyle w:val="BodyText"/>
        <w:spacing w:line="276" w:lineRule="auto"/>
        <w:ind w:left="1397" w:right="1435"/>
        <w:jc w:val="both"/>
      </w:pPr>
      <w:r>
        <w:rPr>
          <w:b/>
        </w:rPr>
        <w:t>Nota: </w:t>
      </w:r>
      <w:r>
        <w:rPr/>
        <w:t>en los niños, el miedo o la ansiedad se puede expresar con llanto, rabietas, quedarse paralizados, aferrarse, encogerse o el fracaso de hablar en situaciones sociales.</w:t>
      </w:r>
    </w:p>
    <w:p>
      <w:pPr>
        <w:pStyle w:val="ListParagraph"/>
        <w:numPr>
          <w:ilvl w:val="0"/>
          <w:numId w:val="7"/>
        </w:numPr>
        <w:tabs>
          <w:tab w:pos="1182" w:val="left" w:leader="none"/>
        </w:tabs>
        <w:spacing w:line="276" w:lineRule="auto" w:before="5" w:after="0"/>
        <w:ind w:left="1181" w:right="1433" w:hanging="361"/>
        <w:jc w:val="both"/>
        <w:rPr>
          <w:sz w:val="22"/>
        </w:rPr>
      </w:pPr>
      <w:r>
        <w:rPr>
          <w:sz w:val="22"/>
        </w:rPr>
        <w:t>Las situaciones sociales se evitan o resisten con miedo o ansiedad</w:t>
      </w:r>
      <w:r>
        <w:rPr>
          <w:spacing w:val="-16"/>
          <w:sz w:val="22"/>
        </w:rPr>
        <w:t> </w:t>
      </w:r>
      <w:r>
        <w:rPr>
          <w:sz w:val="22"/>
        </w:rPr>
        <w:t>intensa.</w:t>
      </w:r>
    </w:p>
    <w:p>
      <w:pPr>
        <w:spacing w:after="0" w:line="276" w:lineRule="auto"/>
        <w:jc w:val="both"/>
        <w:rPr>
          <w:sz w:val="22"/>
        </w:rPr>
        <w:sectPr>
          <w:type w:val="continuous"/>
          <w:pgSz w:w="12240" w:h="15840"/>
          <w:pgMar w:top="1500" w:bottom="0" w:left="0" w:right="0"/>
          <w:cols w:num="2" w:equalWidth="0">
            <w:col w:w="5766" w:space="40"/>
            <w:col w:w="6434"/>
          </w:cols>
        </w:sectPr>
      </w:pPr>
    </w:p>
    <w:p>
      <w:pPr>
        <w:pStyle w:val="BodyText"/>
        <w:rPr>
          <w:sz w:val="20"/>
        </w:rPr>
      </w:pPr>
    </w:p>
    <w:p>
      <w:pPr>
        <w:pStyle w:val="BodyText"/>
        <w:rPr>
          <w:sz w:val="20"/>
        </w:rPr>
      </w:pPr>
    </w:p>
    <w:p>
      <w:pPr>
        <w:pStyle w:val="BodyText"/>
        <w:rPr>
          <w:sz w:val="18"/>
        </w:rPr>
      </w:pPr>
    </w:p>
    <w:p>
      <w:pPr>
        <w:pStyle w:val="BodyText"/>
        <w:ind w:left="1444"/>
        <w:rPr>
          <w:sz w:val="20"/>
        </w:rPr>
      </w:pPr>
      <w:r>
        <w:rPr>
          <w:sz w:val="20"/>
        </w:rPr>
        <w:pict>
          <v:group style="width:504.3pt;height:25.5pt;mso-position-horizontal-relative:char;mso-position-vertical-relative:line" coordorigin="0,0" coordsize="10086,510">
            <v:shape style="position:absolute;left:9376;top:101;width:660;height:300" type="#_x0000_t75" stroked="false">
              <v:imagedata r:id="rId36" o:title=""/>
            </v:shape>
            <v:rect style="position:absolute;left:25;top:10;width:9286;height:30" filled="true" fillcolor="#3366cc" stroked="false">
              <v:fill type="solid"/>
            </v:rect>
            <v:rect style="position:absolute;left:15;top:0;width:9306;height:50" filled="true" fillcolor="#006fc0" stroked="false">
              <v:fill type="solid"/>
            </v:rect>
            <v:shape style="position:absolute;left:0;top:189;width:9276;height:320" type="#_x0000_t75" stroked="false">
              <v:imagedata r:id="rId50" o:title=""/>
            </v:shape>
            <v:shape style="position:absolute;left:2377;top:196;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9346;top:159;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21</w:t>
                    </w:r>
                    <w:r>
                      <w:rPr>
                        <w:rFonts w:ascii="Calibri"/>
                        <w:color w:val="FFFFFF"/>
                        <w:spacing w:val="-18"/>
                        <w:sz w:val="28"/>
                        <w:shd w:fill="3366CC" w:color="auto" w:val="clear"/>
                      </w:rPr>
                      <w:t> </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spacing w:after="0"/>
        <w:rPr>
          <w:sz w:val="20"/>
        </w:rPr>
        <w:sectPr>
          <w:headerReference w:type="default" r:id="rId91"/>
          <w:footerReference w:type="default" r:id="rId92"/>
          <w:pgSz w:w="12240" w:h="15840"/>
          <w:pgMar w:header="723" w:footer="0" w:top="940" w:bottom="280" w:left="0" w:right="0"/>
        </w:sectPr>
      </w:pPr>
    </w:p>
    <w:p>
      <w:pPr>
        <w:pStyle w:val="BodyText"/>
        <w:spacing w:before="8"/>
      </w:pPr>
    </w:p>
    <w:p>
      <w:pPr>
        <w:pStyle w:val="ListParagraph"/>
        <w:numPr>
          <w:ilvl w:val="0"/>
          <w:numId w:val="7"/>
        </w:numPr>
        <w:tabs>
          <w:tab w:pos="1945" w:val="left" w:leader="none"/>
        </w:tabs>
        <w:spacing w:line="276" w:lineRule="auto" w:before="0" w:after="0"/>
        <w:ind w:left="1944" w:right="2" w:hanging="360"/>
        <w:jc w:val="both"/>
        <w:rPr>
          <w:sz w:val="22"/>
        </w:rPr>
      </w:pPr>
      <w:r>
        <w:rPr>
          <w:sz w:val="22"/>
        </w:rPr>
        <w:t>El miedo o </w:t>
      </w:r>
      <w:r>
        <w:rPr>
          <w:spacing w:val="-3"/>
          <w:sz w:val="22"/>
        </w:rPr>
        <w:t>la </w:t>
      </w:r>
      <w:r>
        <w:rPr>
          <w:sz w:val="22"/>
        </w:rPr>
        <w:t>ansiedad son desproporcionados a </w:t>
      </w:r>
      <w:r>
        <w:rPr>
          <w:spacing w:val="-3"/>
          <w:sz w:val="22"/>
        </w:rPr>
        <w:t>la </w:t>
      </w:r>
      <w:r>
        <w:rPr>
          <w:sz w:val="22"/>
        </w:rPr>
        <w:t>amenaza real planteada por </w:t>
      </w:r>
      <w:r>
        <w:rPr>
          <w:spacing w:val="-3"/>
          <w:sz w:val="22"/>
        </w:rPr>
        <w:t>la </w:t>
      </w:r>
      <w:r>
        <w:rPr>
          <w:sz w:val="22"/>
        </w:rPr>
        <w:t>situación social y al contexto</w:t>
      </w:r>
      <w:r>
        <w:rPr>
          <w:spacing w:val="-1"/>
          <w:sz w:val="22"/>
        </w:rPr>
        <w:t> </w:t>
      </w:r>
      <w:r>
        <w:rPr>
          <w:sz w:val="22"/>
        </w:rPr>
        <w:t>sociocultural.</w:t>
      </w:r>
    </w:p>
    <w:p>
      <w:pPr>
        <w:pStyle w:val="ListParagraph"/>
        <w:numPr>
          <w:ilvl w:val="0"/>
          <w:numId w:val="7"/>
        </w:numPr>
        <w:tabs>
          <w:tab w:pos="1945" w:val="left" w:leader="none"/>
        </w:tabs>
        <w:spacing w:line="276" w:lineRule="auto" w:before="1" w:after="0"/>
        <w:ind w:left="1944" w:right="6" w:hanging="360"/>
        <w:jc w:val="both"/>
        <w:rPr>
          <w:sz w:val="22"/>
        </w:rPr>
      </w:pPr>
      <w:r>
        <w:rPr>
          <w:sz w:val="22"/>
        </w:rPr>
        <w:t>El miedo, </w:t>
      </w:r>
      <w:r>
        <w:rPr>
          <w:spacing w:val="-3"/>
          <w:sz w:val="22"/>
        </w:rPr>
        <w:t>la </w:t>
      </w:r>
      <w:r>
        <w:rPr>
          <w:sz w:val="22"/>
        </w:rPr>
        <w:t>ansiedad o </w:t>
      </w:r>
      <w:r>
        <w:rPr>
          <w:spacing w:val="-3"/>
          <w:sz w:val="22"/>
        </w:rPr>
        <w:t>la </w:t>
      </w:r>
      <w:r>
        <w:rPr>
          <w:sz w:val="22"/>
        </w:rPr>
        <w:t>evitación es persistente, y dura típicamente seis o más</w:t>
      </w:r>
      <w:r>
        <w:rPr>
          <w:spacing w:val="-4"/>
          <w:sz w:val="22"/>
        </w:rPr>
        <w:t> </w:t>
      </w:r>
      <w:r>
        <w:rPr>
          <w:sz w:val="22"/>
        </w:rPr>
        <w:t>meses.</w:t>
      </w:r>
    </w:p>
    <w:p>
      <w:pPr>
        <w:pStyle w:val="ListParagraph"/>
        <w:numPr>
          <w:ilvl w:val="0"/>
          <w:numId w:val="7"/>
        </w:numPr>
        <w:tabs>
          <w:tab w:pos="1945" w:val="left" w:leader="none"/>
        </w:tabs>
        <w:spacing w:line="276" w:lineRule="auto" w:before="2" w:after="0"/>
        <w:ind w:left="1944" w:right="2" w:hanging="360"/>
        <w:jc w:val="both"/>
        <w:rPr>
          <w:sz w:val="22"/>
        </w:rPr>
      </w:pPr>
      <w:r>
        <w:rPr>
          <w:sz w:val="22"/>
        </w:rPr>
        <w:t>El miedo, </w:t>
      </w:r>
      <w:r>
        <w:rPr>
          <w:spacing w:val="-3"/>
          <w:sz w:val="22"/>
        </w:rPr>
        <w:t>la </w:t>
      </w:r>
      <w:r>
        <w:rPr>
          <w:sz w:val="22"/>
        </w:rPr>
        <w:t>ansiedad o </w:t>
      </w:r>
      <w:r>
        <w:rPr>
          <w:spacing w:val="-3"/>
          <w:sz w:val="22"/>
        </w:rPr>
        <w:t>la </w:t>
      </w:r>
      <w:r>
        <w:rPr>
          <w:sz w:val="22"/>
        </w:rPr>
        <w:t>evitación causa malestar clínicamente significativo o deterioro en </w:t>
      </w:r>
      <w:r>
        <w:rPr>
          <w:spacing w:val="-3"/>
          <w:sz w:val="22"/>
        </w:rPr>
        <w:t>lo </w:t>
      </w:r>
      <w:r>
        <w:rPr>
          <w:sz w:val="22"/>
        </w:rPr>
        <w:t>social, laboral u otras áreas importantes del funcionamiento.</w:t>
      </w:r>
    </w:p>
    <w:p>
      <w:pPr>
        <w:pStyle w:val="ListParagraph"/>
        <w:numPr>
          <w:ilvl w:val="0"/>
          <w:numId w:val="7"/>
        </w:numPr>
        <w:tabs>
          <w:tab w:pos="1945" w:val="left" w:leader="none"/>
        </w:tabs>
        <w:spacing w:line="276" w:lineRule="auto" w:before="2" w:after="0"/>
        <w:ind w:left="1944" w:right="4" w:hanging="360"/>
        <w:jc w:val="both"/>
        <w:rPr>
          <w:sz w:val="22"/>
        </w:rPr>
      </w:pPr>
      <w:r>
        <w:rPr>
          <w:sz w:val="22"/>
        </w:rPr>
        <w:t>El miedo, </w:t>
      </w:r>
      <w:r>
        <w:rPr>
          <w:spacing w:val="-3"/>
          <w:sz w:val="22"/>
        </w:rPr>
        <w:t>la </w:t>
      </w:r>
      <w:r>
        <w:rPr>
          <w:sz w:val="22"/>
        </w:rPr>
        <w:t>ansiedad o </w:t>
      </w:r>
      <w:r>
        <w:rPr>
          <w:spacing w:val="-3"/>
          <w:sz w:val="22"/>
        </w:rPr>
        <w:t>la </w:t>
      </w:r>
      <w:r>
        <w:rPr>
          <w:sz w:val="22"/>
        </w:rPr>
        <w:t>evitación no se pueden atribuir a los efectos fisiológicos de una sustancia (p. ej., una droga, un medicamento) ni a otra afección</w:t>
      </w:r>
      <w:r>
        <w:rPr>
          <w:spacing w:val="-1"/>
          <w:sz w:val="22"/>
        </w:rPr>
        <w:t> </w:t>
      </w:r>
      <w:r>
        <w:rPr>
          <w:sz w:val="22"/>
        </w:rPr>
        <w:t>médica.</w:t>
      </w:r>
    </w:p>
    <w:p>
      <w:pPr>
        <w:pStyle w:val="ListParagraph"/>
        <w:numPr>
          <w:ilvl w:val="0"/>
          <w:numId w:val="7"/>
        </w:numPr>
        <w:tabs>
          <w:tab w:pos="1945" w:val="left" w:leader="none"/>
        </w:tabs>
        <w:spacing w:line="276" w:lineRule="auto" w:before="0" w:after="0"/>
        <w:ind w:left="1944" w:right="3" w:hanging="360"/>
        <w:jc w:val="both"/>
        <w:rPr>
          <w:sz w:val="22"/>
        </w:rPr>
      </w:pPr>
      <w:r>
        <w:rPr>
          <w:sz w:val="22"/>
        </w:rPr>
        <w:t>El miedo, </w:t>
      </w:r>
      <w:r>
        <w:rPr>
          <w:spacing w:val="-3"/>
          <w:sz w:val="22"/>
        </w:rPr>
        <w:t>la </w:t>
      </w:r>
      <w:r>
        <w:rPr>
          <w:sz w:val="22"/>
        </w:rPr>
        <w:t>ansiedad o </w:t>
      </w:r>
      <w:r>
        <w:rPr>
          <w:spacing w:val="-3"/>
          <w:sz w:val="22"/>
        </w:rPr>
        <w:t>la </w:t>
      </w:r>
      <w:r>
        <w:rPr>
          <w:sz w:val="22"/>
        </w:rPr>
        <w:t>evitación no se pueden explicar mejor por los síntomas de otro trastorno mental, como el trastorno de pánico, el trastorno dismórfico corporal o un trastorno del espectro</w:t>
      </w:r>
      <w:r>
        <w:rPr>
          <w:spacing w:val="-9"/>
          <w:sz w:val="22"/>
        </w:rPr>
        <w:t> </w:t>
      </w:r>
      <w:r>
        <w:rPr>
          <w:sz w:val="22"/>
        </w:rPr>
        <w:t>autista.</w:t>
      </w:r>
    </w:p>
    <w:p>
      <w:pPr>
        <w:pStyle w:val="ListParagraph"/>
        <w:numPr>
          <w:ilvl w:val="0"/>
          <w:numId w:val="7"/>
        </w:numPr>
        <w:tabs>
          <w:tab w:pos="1945" w:val="left" w:leader="none"/>
        </w:tabs>
        <w:spacing w:line="276" w:lineRule="auto" w:before="4" w:after="0"/>
        <w:ind w:left="1944" w:right="0" w:hanging="360"/>
        <w:jc w:val="both"/>
        <w:rPr>
          <w:sz w:val="22"/>
        </w:rPr>
      </w:pPr>
      <w:r>
        <w:rPr>
          <w:sz w:val="22"/>
        </w:rPr>
        <w:t>Si existe otra enfermedad (p. ej., enfermedad de Parkinson, obesidad, desfiguración debida a quemaduras o lesiones), el miedo, </w:t>
      </w:r>
      <w:r>
        <w:rPr>
          <w:spacing w:val="-3"/>
          <w:sz w:val="22"/>
        </w:rPr>
        <w:t>la </w:t>
      </w:r>
      <w:r>
        <w:rPr>
          <w:sz w:val="22"/>
        </w:rPr>
        <w:t>ansiedad o </w:t>
      </w:r>
      <w:r>
        <w:rPr>
          <w:spacing w:val="-3"/>
          <w:sz w:val="22"/>
        </w:rPr>
        <w:t>la </w:t>
      </w:r>
      <w:r>
        <w:rPr>
          <w:sz w:val="22"/>
        </w:rPr>
        <w:t>evitación deben estar claramente no relacionados con ésta o ser</w:t>
      </w:r>
      <w:r>
        <w:rPr>
          <w:spacing w:val="-16"/>
          <w:sz w:val="22"/>
        </w:rPr>
        <w:t> </w:t>
      </w:r>
      <w:r>
        <w:rPr>
          <w:sz w:val="22"/>
        </w:rPr>
        <w:t>excesivos.</w:t>
      </w:r>
    </w:p>
    <w:p>
      <w:pPr>
        <w:spacing w:line="251" w:lineRule="exact" w:before="0"/>
        <w:ind w:left="1440" w:right="0" w:firstLine="0"/>
        <w:jc w:val="left"/>
        <w:rPr>
          <w:i/>
          <w:sz w:val="22"/>
        </w:rPr>
      </w:pPr>
      <w:r>
        <w:rPr>
          <w:i/>
          <w:sz w:val="22"/>
        </w:rPr>
        <w:t>Especificar si:</w:t>
      </w:r>
    </w:p>
    <w:p>
      <w:pPr>
        <w:spacing w:line="280" w:lineRule="auto" w:before="40"/>
        <w:ind w:left="1440" w:right="0" w:firstLine="484"/>
        <w:jc w:val="left"/>
        <w:rPr>
          <w:sz w:val="22"/>
        </w:rPr>
      </w:pPr>
      <w:r>
        <w:rPr>
          <w:b/>
          <w:sz w:val="22"/>
        </w:rPr>
        <w:t>Sólo actuación: </w:t>
      </w:r>
      <w:r>
        <w:rPr>
          <w:sz w:val="22"/>
        </w:rPr>
        <w:t>si el miedo se limita a hablar o actuar en público.</w:t>
      </w:r>
    </w:p>
    <w:p>
      <w:pPr>
        <w:pStyle w:val="BodyText"/>
        <w:spacing w:line="276" w:lineRule="auto"/>
        <w:ind w:left="1440" w:right="4"/>
        <w:jc w:val="both"/>
      </w:pPr>
      <w:r>
        <w:rPr/>
        <w:t>Los individuos con trastorno de ansiedad social sólo de actuación tienen miedos de actuación que son típicamente más incapacitantes en su vida profesional (p. ej., músicos, bailarines, artistas, deportistas) o en las situaciones que requieren hablar en público de forma habitual. También pueden manifestarse en el trabajo, la escuela o el ámbito académico en el que se requieren presentaciones públicas regulares.</w:t>
      </w:r>
    </w:p>
    <w:p>
      <w:pPr>
        <w:pStyle w:val="BodyText"/>
        <w:spacing w:line="273" w:lineRule="auto" w:before="9"/>
        <w:ind w:left="1440" w:right="7"/>
        <w:jc w:val="both"/>
      </w:pPr>
      <w:r>
        <w:rPr/>
        <w:t>No temen ni evitan las situaciones sociales sin actuación.</w:t>
      </w:r>
    </w:p>
    <w:p>
      <w:pPr>
        <w:pStyle w:val="BodyText"/>
        <w:spacing w:before="4"/>
      </w:pPr>
      <w:r>
        <w:rPr/>
        <w:br w:type="column"/>
      </w:r>
      <w:r>
        <w:rPr/>
      </w:r>
    </w:p>
    <w:p>
      <w:pPr>
        <w:pStyle w:val="BodyText"/>
        <w:spacing w:line="276" w:lineRule="auto" w:before="1"/>
        <w:ind w:left="674" w:right="1432"/>
        <w:jc w:val="both"/>
      </w:pPr>
      <w:r>
        <w:rPr>
          <w:b/>
        </w:rPr>
        <w:t>Características asociadas: </w:t>
      </w:r>
      <w:r>
        <w:rPr/>
        <w:t>estos individuos pueden ser muy asertivos o excesivamente sumisos, o, con menor frecuencia, ejercen un gran control sobre las conversaciones. Generalmente tienen posturas corporales excesivamente rígidas o contacto ocular inadecuado, o hablan con voz demasiado baja. Pueden ser tímidos, retraídos y poco abiertos, ya que buscan pasar desapercibidos. Tratan de buscar empleos que no requieran contacto social (excepto los de “sólo actuación”), permanecer más tiempo viviendo en </w:t>
      </w:r>
      <w:r>
        <w:rPr>
          <w:spacing w:val="-3"/>
        </w:rPr>
        <w:t>la </w:t>
      </w:r>
      <w:r>
        <w:rPr/>
        <w:t>casa familiar, demorar en casarse y crear una familia. Es común </w:t>
      </w:r>
      <w:r>
        <w:rPr>
          <w:spacing w:val="-3"/>
        </w:rPr>
        <w:t>la </w:t>
      </w:r>
      <w:r>
        <w:rPr/>
        <w:t>automedicación con sustancias.</w:t>
      </w:r>
    </w:p>
    <w:p>
      <w:pPr>
        <w:pStyle w:val="BodyText"/>
        <w:spacing w:line="276" w:lineRule="auto" w:before="2"/>
        <w:ind w:left="674" w:right="1438"/>
        <w:jc w:val="both"/>
      </w:pPr>
      <w:r>
        <w:rPr/>
        <w:t>Los pacientes con fobia social, experimentan síntomas adrenérgicos, tales como rubor facial, sudoración, taquicardia, entre otros cuando están en un episodio agudo.</w:t>
      </w:r>
    </w:p>
    <w:p>
      <w:pPr>
        <w:pStyle w:val="BodyText"/>
        <w:spacing w:before="5"/>
        <w:rPr>
          <w:sz w:val="20"/>
        </w:rPr>
      </w:pPr>
    </w:p>
    <w:p>
      <w:pPr>
        <w:pStyle w:val="Heading4"/>
        <w:ind w:left="674"/>
      </w:pPr>
      <w:r>
        <w:rPr/>
        <w:t>COMPLICACIONES</w:t>
      </w:r>
    </w:p>
    <w:p>
      <w:pPr>
        <w:pStyle w:val="BodyText"/>
        <w:spacing w:before="5"/>
        <w:rPr>
          <w:b/>
          <w:sz w:val="21"/>
        </w:rPr>
      </w:pPr>
    </w:p>
    <w:p>
      <w:pPr>
        <w:pStyle w:val="BodyText"/>
        <w:spacing w:line="276" w:lineRule="auto"/>
        <w:ind w:left="674" w:right="1434"/>
        <w:jc w:val="both"/>
      </w:pPr>
      <w:r>
        <w:rPr/>
        <w:t>Este trastorno tiene importantes repercusiones principalmente a nivel social, laboral financiero, ya que se asocia con tasas elevadas de abandono escolar, del empleo, baja productividad laboral y </w:t>
      </w:r>
      <w:r>
        <w:rPr>
          <w:spacing w:val="-3"/>
        </w:rPr>
        <w:t>la </w:t>
      </w:r>
      <w:r>
        <w:rPr/>
        <w:t>calidad de vida. También se relaciona con estar solo, soltero o divorciado y con no tener hijos sobre todo en los varones. También impide las actividades de ocio. A pesar de </w:t>
      </w:r>
      <w:r>
        <w:rPr>
          <w:spacing w:val="-3"/>
        </w:rPr>
        <w:t>la </w:t>
      </w:r>
      <w:r>
        <w:rPr/>
        <w:t>angustia y </w:t>
      </w:r>
      <w:r>
        <w:rPr>
          <w:spacing w:val="1"/>
        </w:rPr>
        <w:t>el </w:t>
      </w:r>
      <w:r>
        <w:rPr/>
        <w:t>deterioro asociados a este trastorno, en las sociedades occidentales </w:t>
      </w:r>
      <w:r>
        <w:rPr>
          <w:spacing w:val="-3"/>
        </w:rPr>
        <w:t>la </w:t>
      </w:r>
      <w:r>
        <w:rPr/>
        <w:t>mitad de los individuos con este trastorno nunca busca tratamiento y tienden a hacerlo sólo después de 15-20 años de experimentar síntomas. No tener empleo es un factor que predice claramente </w:t>
      </w:r>
      <w:r>
        <w:rPr>
          <w:spacing w:val="-3"/>
        </w:rPr>
        <w:t>la </w:t>
      </w:r>
      <w:r>
        <w:rPr/>
        <w:t>persistencia del trastorno de ansiedad</w:t>
      </w:r>
      <w:r>
        <w:rPr>
          <w:spacing w:val="-6"/>
        </w:rPr>
        <w:t> </w:t>
      </w:r>
      <w:r>
        <w:rPr/>
        <w:t>social.</w:t>
      </w:r>
    </w:p>
    <w:p>
      <w:pPr>
        <w:spacing w:after="0" w:line="276" w:lineRule="auto"/>
        <w:jc w:val="both"/>
        <w:sectPr>
          <w:type w:val="continuous"/>
          <w:pgSz w:w="12240" w:h="15840"/>
          <w:pgMar w:top="1500" w:bottom="0" w:left="0" w:right="0"/>
          <w:cols w:num="2" w:equalWidth="0">
            <w:col w:w="5768" w:space="40"/>
            <w:col w:w="6432"/>
          </w:cols>
        </w:sectPr>
      </w:pPr>
    </w:p>
    <w:p>
      <w:pPr>
        <w:pStyle w:val="BodyText"/>
        <w:rPr>
          <w:sz w:val="20"/>
        </w:rPr>
      </w:pPr>
    </w:p>
    <w:p>
      <w:pPr>
        <w:pStyle w:val="BodyText"/>
        <w:spacing w:before="2"/>
        <w:rPr>
          <w:sz w:val="19"/>
        </w:rPr>
      </w:pPr>
    </w:p>
    <w:p>
      <w:pPr>
        <w:spacing w:line="30" w:lineRule="exact"/>
        <w:ind w:left="1454" w:right="0" w:firstLine="0"/>
        <w:rPr>
          <w:sz w:val="2"/>
        </w:rPr>
      </w:pPr>
      <w:r>
        <w:rPr>
          <w:rFonts w:ascii="Times New Roman"/>
          <w:spacing w:val="10"/>
          <w:sz w:val="2"/>
        </w:rPr>
        <w:t> </w:t>
      </w:r>
      <w:r>
        <w:rPr>
          <w:spacing w:val="10"/>
          <w:position w:val="0"/>
          <w:sz w:val="2"/>
        </w:rPr>
        <w:pict>
          <v:group style="width:465.8pt;height:1.5pt;mso-position-horizontal-relative:char;mso-position-vertical-relative:line" coordorigin="0,0" coordsize="9316,30">
            <v:line style="position:absolute" from="0,15" to="9315,15" stroked="true" strokeweight="1.4649pt" strokecolor="#3366cc">
              <v:stroke dashstyle="solid"/>
            </v:line>
          </v:group>
        </w:pict>
      </w:r>
      <w:r>
        <w:rPr>
          <w:spacing w:val="10"/>
          <w:position w:val="0"/>
          <w:sz w:val="2"/>
        </w:rPr>
      </w:r>
    </w:p>
    <w:p>
      <w:pPr>
        <w:pStyle w:val="BodyText"/>
        <w:spacing w:before="1"/>
        <w:rPr>
          <w:sz w:val="6"/>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22</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spacing w:after="0"/>
        <w:rPr>
          <w:sz w:val="20"/>
        </w:rPr>
        <w:sectPr>
          <w:headerReference w:type="default" r:id="rId93"/>
          <w:footerReference w:type="default" r:id="rId94"/>
          <w:pgSz w:w="12240" w:h="15840"/>
          <w:pgMar w:header="723" w:footer="0" w:top="940" w:bottom="280" w:left="0" w:right="0"/>
        </w:sectPr>
      </w:pPr>
    </w:p>
    <w:p>
      <w:pPr>
        <w:pStyle w:val="BodyText"/>
        <w:rPr>
          <w:sz w:val="26"/>
        </w:rPr>
      </w:pPr>
    </w:p>
    <w:p>
      <w:pPr>
        <w:pStyle w:val="Heading4"/>
      </w:pPr>
      <w:r>
        <w:rPr/>
        <w:t>DIAGNOSTICO DIFERENCIAL</w:t>
      </w:r>
    </w:p>
    <w:p>
      <w:pPr>
        <w:pStyle w:val="BodyText"/>
        <w:spacing w:before="8"/>
        <w:rPr>
          <w:b/>
          <w:sz w:val="20"/>
        </w:rPr>
      </w:pPr>
    </w:p>
    <w:p>
      <w:pPr>
        <w:pStyle w:val="BodyText"/>
        <w:spacing w:line="276" w:lineRule="auto"/>
        <w:ind w:left="1440" w:right="1"/>
        <w:jc w:val="both"/>
      </w:pPr>
      <w:r>
        <w:rPr>
          <w:i/>
        </w:rPr>
        <w:t>Timidez normal </w:t>
      </w:r>
      <w:r>
        <w:rPr/>
        <w:t>– rasgo común de personalidad y no es patológico en sí mismo. Se debe considerar el diagnóstico sólo si existe un impacto negativo considerable en las áreas sociales, laborales y en otras áreas importantes del funcionamiento y si se cumplieran todos los criterios</w:t>
      </w:r>
      <w:r>
        <w:rPr>
          <w:spacing w:val="-1"/>
        </w:rPr>
        <w:t> </w:t>
      </w:r>
      <w:r>
        <w:rPr/>
        <w:t>diagnósticos.</w:t>
      </w:r>
    </w:p>
    <w:p>
      <w:pPr>
        <w:pStyle w:val="BodyText"/>
        <w:tabs>
          <w:tab w:pos="2523" w:val="left" w:leader="none"/>
          <w:tab w:pos="2563" w:val="left" w:leader="none"/>
          <w:tab w:pos="2603" w:val="left" w:leader="none"/>
          <w:tab w:pos="2712" w:val="left" w:leader="none"/>
          <w:tab w:pos="3044" w:val="left" w:leader="none"/>
          <w:tab w:pos="3378" w:val="left" w:leader="none"/>
          <w:tab w:pos="3941" w:val="left" w:leader="none"/>
          <w:tab w:pos="4145" w:val="left" w:leader="none"/>
          <w:tab w:pos="4237" w:val="left" w:leader="none"/>
          <w:tab w:pos="4281" w:val="left" w:leader="none"/>
          <w:tab w:pos="4472" w:val="left" w:leader="none"/>
          <w:tab w:pos="4723" w:val="left" w:leader="none"/>
          <w:tab w:pos="5392" w:val="left" w:leader="none"/>
        </w:tabs>
        <w:spacing w:line="276" w:lineRule="auto"/>
        <w:ind w:left="1440" w:right="1"/>
      </w:pPr>
      <w:r>
        <w:rPr>
          <w:i/>
        </w:rPr>
        <w:t>Agorafobia</w:t>
        <w:tab/>
        <w:tab/>
        <w:tab/>
        <w:tab/>
      </w:r>
      <w:r>
        <w:rPr/>
        <w:t>–</w:t>
        <w:tab/>
        <w:t>personas</w:t>
        <w:tab/>
        <w:t>con</w:t>
        <w:tab/>
      </w:r>
      <w:r>
        <w:rPr>
          <w:spacing w:val="-1"/>
        </w:rPr>
        <w:t>agorafobia </w:t>
      </w:r>
      <w:r>
        <w:rPr/>
        <w:t>pueden temer y evitar situaciones sociales cuando perciben que podría ser difícil escaparse o contar con ayuda en caso de presentar síntomas similares </w:t>
      </w:r>
      <w:r>
        <w:rPr>
          <w:spacing w:val="1"/>
        </w:rPr>
        <w:t>al </w:t>
      </w:r>
      <w:r>
        <w:rPr/>
        <w:t>pánico o de sentirse</w:t>
        <w:tab/>
        <w:t>incapacitados,</w:t>
        <w:tab/>
        <w:tab/>
        <w:tab/>
        <w:t>mientras</w:t>
        <w:tab/>
        <w:t>que individuos con trastorno de ansiedad social muestran</w:t>
        <w:tab/>
        <w:tab/>
        <w:t>mayor</w:t>
        <w:tab/>
      </w:r>
      <w:r>
        <w:rPr>
          <w:spacing w:val="-1"/>
        </w:rPr>
        <w:t>temor</w:t>
        <w:tab/>
      </w:r>
      <w:r>
        <w:rPr/>
        <w:t>a</w:t>
        <w:tab/>
        <w:tab/>
        <w:t>evaluaciones negativas de los demás y estos pueden mantener mejor </w:t>
      </w:r>
      <w:r>
        <w:rPr>
          <w:spacing w:val="-3"/>
        </w:rPr>
        <w:t>la </w:t>
      </w:r>
      <w:r>
        <w:rPr/>
        <w:t>calma si se les deja solos, contrario a individuos con agorafobia. </w:t>
      </w:r>
      <w:r>
        <w:rPr>
          <w:i/>
        </w:rPr>
        <w:t>Trastorno</w:t>
        <w:tab/>
        <w:tab/>
        <w:tab/>
        <w:t>de</w:t>
        <w:tab/>
        <w:t>pánico</w:t>
        <w:tab/>
      </w:r>
      <w:r>
        <w:rPr/>
        <w:t>–</w:t>
        <w:tab/>
        <w:tab/>
        <w:tab/>
        <w:t>personas</w:t>
        <w:tab/>
        <w:t>con</w:t>
      </w:r>
      <w:r>
        <w:rPr>
          <w:w w:val="99"/>
        </w:rPr>
        <w:t> </w:t>
      </w:r>
      <w:r>
        <w:rPr/>
        <w:t>trastorno de ansiedad social pueden tener crisis de pánico, pero su miedo es principalmente a </w:t>
      </w:r>
      <w:r>
        <w:rPr>
          <w:spacing w:val="-3"/>
        </w:rPr>
        <w:t>la </w:t>
      </w:r>
      <w:r>
        <w:rPr/>
        <w:t>evaluación negativa de los demás, mientras que en el trastorno de pánico </w:t>
      </w:r>
      <w:r>
        <w:rPr>
          <w:spacing w:val="-3"/>
        </w:rPr>
        <w:t>la </w:t>
      </w:r>
      <w:r>
        <w:rPr/>
        <w:t>preocupación se centra en </w:t>
      </w:r>
      <w:r>
        <w:rPr>
          <w:spacing w:val="-3"/>
        </w:rPr>
        <w:t>la  </w:t>
      </w:r>
      <w:r>
        <w:rPr/>
        <w:t>crisis de pánico en sí</w:t>
      </w:r>
      <w:r>
        <w:rPr>
          <w:spacing w:val="-8"/>
        </w:rPr>
        <w:t> </w:t>
      </w:r>
      <w:r>
        <w:rPr/>
        <w:t>misma.</w:t>
      </w:r>
    </w:p>
    <w:p>
      <w:pPr>
        <w:pStyle w:val="BodyText"/>
        <w:spacing w:line="276" w:lineRule="auto"/>
        <w:ind w:left="1440"/>
        <w:jc w:val="both"/>
      </w:pPr>
      <w:r>
        <w:rPr>
          <w:i/>
        </w:rPr>
        <w:t>Trastorno de ansiedad generalizada </w:t>
      </w:r>
      <w:r>
        <w:rPr/>
        <w:t>– preocupaciones sociales son comunes en el trastorno de ansiedad generalizada, pero la atención se centra más en la naturaleza de las relaciones existentes en lugar de en el miedo a la evaluación negativa. En el trastorno de ansiedad social las preocupaciones se centran en el desempeño social y en la evaluación por parte de los demás.</w:t>
      </w:r>
    </w:p>
    <w:p>
      <w:pPr>
        <w:pStyle w:val="BodyText"/>
        <w:spacing w:line="276" w:lineRule="auto" w:before="1"/>
        <w:ind w:left="1440" w:right="1"/>
        <w:jc w:val="both"/>
      </w:pPr>
      <w:r>
        <w:rPr>
          <w:i/>
        </w:rPr>
        <w:t>Trastorno de ansiedad por separación </w:t>
      </w:r>
      <w:r>
        <w:rPr/>
        <w:t>– pueden evitar situaciones sociales porque les preocupa la separación de las figuras de apego, pero están cómodos en situaciones sociales cuando están en casa o cuando las figuras de apego están presentes. Mientras</w:t>
      </w:r>
    </w:p>
    <w:p>
      <w:pPr>
        <w:pStyle w:val="BodyText"/>
        <w:spacing w:before="8"/>
      </w:pPr>
      <w:r>
        <w:rPr/>
        <w:br w:type="column"/>
      </w:r>
      <w:r>
        <w:rPr/>
      </w:r>
    </w:p>
    <w:p>
      <w:pPr>
        <w:pStyle w:val="BodyText"/>
        <w:spacing w:line="276" w:lineRule="auto"/>
        <w:ind w:left="677" w:right="1438"/>
        <w:jc w:val="both"/>
      </w:pPr>
      <w:r>
        <w:rPr/>
        <w:t>que individuos con ansiedad social pueden sentirse incómodos en su casa o ante </w:t>
      </w:r>
      <w:r>
        <w:rPr>
          <w:spacing w:val="-3"/>
        </w:rPr>
        <w:t>la</w:t>
      </w:r>
      <w:r>
        <w:rPr>
          <w:spacing w:val="55"/>
        </w:rPr>
        <w:t> </w:t>
      </w:r>
      <w:r>
        <w:rPr/>
        <w:t>presencia de figuras de apego.</w:t>
      </w:r>
    </w:p>
    <w:p>
      <w:pPr>
        <w:pStyle w:val="BodyText"/>
        <w:spacing w:line="276" w:lineRule="auto"/>
        <w:ind w:left="677" w:right="1434"/>
        <w:jc w:val="both"/>
      </w:pPr>
      <w:r>
        <w:rPr>
          <w:i/>
        </w:rPr>
        <w:t>Fobias específicas </w:t>
      </w:r>
      <w:r>
        <w:rPr/>
        <w:t>– pueden temer a vergüenza o humillación de acuerdo a su fobia, pero generalmente no muestran temor a </w:t>
      </w:r>
      <w:r>
        <w:rPr>
          <w:spacing w:val="-3"/>
        </w:rPr>
        <w:t>la </w:t>
      </w:r>
      <w:r>
        <w:rPr/>
        <w:t>evaluación negativa en otras situaciones</w:t>
      </w:r>
      <w:r>
        <w:rPr>
          <w:spacing w:val="-1"/>
        </w:rPr>
        <w:t> </w:t>
      </w:r>
      <w:r>
        <w:rPr/>
        <w:t>sociales.</w:t>
      </w:r>
    </w:p>
    <w:p>
      <w:pPr>
        <w:pStyle w:val="BodyText"/>
        <w:spacing w:line="276" w:lineRule="auto"/>
        <w:ind w:left="677" w:right="1433"/>
        <w:jc w:val="both"/>
      </w:pPr>
      <w:r>
        <w:rPr>
          <w:i/>
        </w:rPr>
        <w:t>Mutismo selectivo </w:t>
      </w:r>
      <w:r>
        <w:rPr/>
        <w:t>– pueden no hablar por miedo a evaluación negativa pero no sienten temor a dicha evaluación en situaciones sociales donde no se requiere hablar.</w:t>
      </w:r>
    </w:p>
    <w:p>
      <w:pPr>
        <w:pStyle w:val="BodyText"/>
        <w:spacing w:line="276" w:lineRule="auto"/>
        <w:ind w:left="677" w:right="1432"/>
        <w:jc w:val="both"/>
      </w:pPr>
      <w:r>
        <w:rPr>
          <w:i/>
        </w:rPr>
        <w:t>Trastorno depresivo mayor </w:t>
      </w:r>
      <w:r>
        <w:rPr/>
        <w:t>– temen evaluación negativa por sentirse malos o no dignos de ser queridos, pero en la ansiedad social el temor es a evaluación negativa por ciertos comportamientos sociales o síntomas físicos.</w:t>
      </w:r>
    </w:p>
    <w:p>
      <w:pPr>
        <w:pStyle w:val="BodyText"/>
        <w:spacing w:line="276" w:lineRule="auto" w:before="1"/>
        <w:ind w:left="677" w:right="1434"/>
        <w:jc w:val="both"/>
      </w:pPr>
      <w:r>
        <w:rPr>
          <w:i/>
        </w:rPr>
        <w:t>Trastorno dismórfico corporal </w:t>
      </w:r>
      <w:r>
        <w:rPr/>
        <w:t>– si miedos sociales y evitación son por creencias sobre apariencia entonces no se justifica un diagnóstico independiente de ansiedad social.</w:t>
      </w:r>
    </w:p>
    <w:p>
      <w:pPr>
        <w:pStyle w:val="BodyText"/>
        <w:spacing w:line="276" w:lineRule="auto"/>
        <w:ind w:left="677" w:right="1434"/>
        <w:jc w:val="both"/>
      </w:pPr>
      <w:r>
        <w:rPr>
          <w:i/>
        </w:rPr>
        <w:t>Trastorno delirante </w:t>
      </w:r>
      <w:r>
        <w:rPr/>
        <w:t>– pueden tener ideas delirantes o alucinaciones sobre rechazo u ofender a los demás, pero individuos con ansiedad social están bastante conscientes de que sus creencias son desproporcionadas respecto a la situación social.</w:t>
      </w:r>
    </w:p>
    <w:p>
      <w:pPr>
        <w:pStyle w:val="BodyText"/>
        <w:spacing w:line="276" w:lineRule="auto"/>
        <w:ind w:left="677" w:right="1433"/>
        <w:jc w:val="both"/>
      </w:pPr>
      <w:r>
        <w:rPr>
          <w:i/>
        </w:rPr>
        <w:t>Trastorno del espectro autista </w:t>
      </w:r>
      <w:r>
        <w:rPr/>
        <w:t>– la ansiedad social y déficit de comunicación son características del espectro autista, sin embargo el individuo con ansiedad social puede tener relaciones sociales apropiadas para la edad y suficiente capacidad de comunicación social, a pesar de que parezca lo contrario cuando interactúan con desconocidos.</w:t>
      </w:r>
    </w:p>
    <w:p>
      <w:pPr>
        <w:pStyle w:val="BodyText"/>
        <w:spacing w:line="276" w:lineRule="auto"/>
        <w:ind w:left="677" w:right="1434"/>
        <w:jc w:val="both"/>
      </w:pPr>
      <w:r>
        <w:rPr>
          <w:i/>
        </w:rPr>
        <w:t>Trastornos de la personalidad </w:t>
      </w:r>
      <w:r>
        <w:rPr/>
        <w:t>– el que más se superpone es el trastorno de personalidad evitativa, quienes lo padecen tienen un patrón de evitación más amplio</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7" w:after="1"/>
        <w:rPr>
          <w:sz w:val="18"/>
        </w:rPr>
      </w:pPr>
    </w:p>
    <w:p>
      <w:pPr>
        <w:pStyle w:val="BodyText"/>
        <w:ind w:left="1444"/>
        <w:rPr>
          <w:sz w:val="20"/>
        </w:rPr>
      </w:pPr>
      <w:r>
        <w:rPr>
          <w:sz w:val="20"/>
        </w:rPr>
        <w:pict>
          <v:group style="width:504.3pt;height:25.5pt;mso-position-horizontal-relative:char;mso-position-vertical-relative:line" coordorigin="0,0" coordsize="10086,510">
            <v:shape style="position:absolute;left:9376;top:101;width:660;height:300" type="#_x0000_t75" stroked="false">
              <v:imagedata r:id="rId36" o:title=""/>
            </v:shape>
            <v:rect style="position:absolute;left:25;top:10;width:9286;height:30" filled="true" fillcolor="#3366cc" stroked="false">
              <v:fill type="solid"/>
            </v:rect>
            <v:rect style="position:absolute;left:15;top:0;width:9306;height:50" filled="true" fillcolor="#006fc0" stroked="false">
              <v:fill type="solid"/>
            </v:rect>
            <v:shape style="position:absolute;left:0;top:189;width:9276;height:320" type="#_x0000_t75" stroked="false">
              <v:imagedata r:id="rId50" o:title=""/>
            </v:shape>
            <v:shape style="position:absolute;left:2377;top:196;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9346;top:159;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23</w:t>
                    </w:r>
                    <w:r>
                      <w:rPr>
                        <w:rFonts w:ascii="Calibri"/>
                        <w:color w:val="FFFFFF"/>
                        <w:spacing w:val="-18"/>
                        <w:sz w:val="28"/>
                        <w:shd w:fill="3366CC" w:color="auto" w:val="clear"/>
                      </w:rPr>
                      <w:t> </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spacing w:after="0"/>
        <w:rPr>
          <w:sz w:val="20"/>
        </w:rPr>
        <w:sectPr>
          <w:headerReference w:type="default" r:id="rId95"/>
          <w:footerReference w:type="default" r:id="rId96"/>
          <w:pgSz w:w="12240" w:h="15840"/>
          <w:pgMar w:header="723" w:footer="0" w:top="940" w:bottom="280" w:left="0" w:right="0"/>
        </w:sectPr>
      </w:pPr>
    </w:p>
    <w:p>
      <w:pPr>
        <w:pStyle w:val="BodyText"/>
        <w:spacing w:before="8"/>
      </w:pPr>
    </w:p>
    <w:p>
      <w:pPr>
        <w:pStyle w:val="BodyText"/>
        <w:spacing w:line="278" w:lineRule="auto"/>
        <w:ind w:left="1440" w:right="3"/>
        <w:jc w:val="both"/>
      </w:pPr>
      <w:r>
        <w:rPr/>
        <w:t>que personas con ansiedad social. Pero pueden presentar comorbilidad estos dos.</w:t>
      </w:r>
    </w:p>
    <w:p>
      <w:pPr>
        <w:pStyle w:val="BodyText"/>
        <w:spacing w:line="276" w:lineRule="auto"/>
        <w:ind w:left="1440" w:right="1"/>
        <w:jc w:val="both"/>
      </w:pPr>
      <w:r>
        <w:rPr>
          <w:i/>
        </w:rPr>
        <w:t>Otros trastornos mentales </w:t>
      </w:r>
      <w:r>
        <w:rPr/>
        <w:t>– miedo social y malestar social se presentan en esquizofrenia pero hay evidencia también de síntomas psicóticos, en trastornos de alimentación se debe determinar si miedo a evaluación negativa se debe a síntomas como purgas y vómitos o no ya que esa no puede ser </w:t>
      </w:r>
      <w:r>
        <w:rPr>
          <w:spacing w:val="-3"/>
        </w:rPr>
        <w:t>la </w:t>
      </w:r>
      <w:r>
        <w:rPr/>
        <w:t>única fuente </w:t>
      </w:r>
      <w:r>
        <w:rPr>
          <w:spacing w:val="1"/>
        </w:rPr>
        <w:t>de </w:t>
      </w:r>
      <w:r>
        <w:rPr/>
        <w:t>ansiedad social, además el TOC puede presentar un diagnóstico adicional de trastorno de ansiedad social sólo si miedos sociales y evitación son independientes de los focos de obsesiones y</w:t>
      </w:r>
      <w:r>
        <w:rPr>
          <w:spacing w:val="-6"/>
        </w:rPr>
        <w:t> </w:t>
      </w:r>
      <w:r>
        <w:rPr/>
        <w:t>compulsiones.</w:t>
      </w:r>
    </w:p>
    <w:p>
      <w:pPr>
        <w:spacing w:line="276" w:lineRule="auto" w:before="7"/>
        <w:ind w:left="1440" w:right="1" w:firstLine="0"/>
        <w:jc w:val="both"/>
        <w:rPr>
          <w:sz w:val="22"/>
        </w:rPr>
      </w:pPr>
      <w:r>
        <w:rPr>
          <w:i/>
          <w:sz w:val="22"/>
        </w:rPr>
        <w:t>Otras condiciones médicas </w:t>
      </w:r>
      <w:r>
        <w:rPr>
          <w:sz w:val="22"/>
        </w:rPr>
        <w:t>– cuando miedo a evaluación negativa por síntomas de afecciones médica es excesivo, se considera TAS.</w:t>
      </w:r>
    </w:p>
    <w:p>
      <w:pPr>
        <w:pStyle w:val="BodyText"/>
        <w:spacing w:line="276" w:lineRule="auto"/>
        <w:ind w:left="1440"/>
        <w:jc w:val="both"/>
      </w:pPr>
      <w:r>
        <w:rPr>
          <w:i/>
        </w:rPr>
        <w:t>Trastorno oposicionista desafiante </w:t>
      </w:r>
      <w:r>
        <w:rPr/>
        <w:t>– negativa a hablar debido a una oposición hacia las figuras de autoridad debe diferenciarse de la incapacidad para hablar por temor a una evaluación negativa.</w:t>
      </w:r>
    </w:p>
    <w:p>
      <w:pPr>
        <w:pStyle w:val="BodyText"/>
        <w:spacing w:before="11"/>
        <w:rPr>
          <w:sz w:val="20"/>
        </w:rPr>
      </w:pPr>
    </w:p>
    <w:p>
      <w:pPr>
        <w:pStyle w:val="Heading4"/>
        <w:jc w:val="both"/>
      </w:pPr>
      <w:r>
        <w:rPr/>
        <w:t>COMORBILIDAD</w:t>
      </w:r>
    </w:p>
    <w:p>
      <w:pPr>
        <w:pStyle w:val="BodyText"/>
        <w:spacing w:before="1"/>
        <w:rPr>
          <w:b/>
          <w:sz w:val="21"/>
        </w:rPr>
      </w:pPr>
    </w:p>
    <w:p>
      <w:pPr>
        <w:pStyle w:val="BodyText"/>
        <w:spacing w:line="276" w:lineRule="auto" w:before="1"/>
        <w:ind w:left="1440" w:right="1"/>
        <w:jc w:val="both"/>
      </w:pPr>
      <w:r>
        <w:rPr/>
        <w:t>Coexiste con otros trastornos de ansiedad, trastorno depresivo mayor, trastornos por consumo de sustancias. En general precede a otros trastornos excepto a fobia específica y ansiedad por</w:t>
      </w:r>
      <w:r>
        <w:rPr>
          <w:spacing w:val="-11"/>
        </w:rPr>
        <w:t> </w:t>
      </w:r>
      <w:r>
        <w:rPr/>
        <w:t>separación.</w:t>
      </w:r>
    </w:p>
    <w:p>
      <w:pPr>
        <w:pStyle w:val="BodyText"/>
        <w:spacing w:line="276" w:lineRule="auto" w:before="2"/>
        <w:ind w:left="1440" w:right="1"/>
        <w:jc w:val="both"/>
      </w:pPr>
      <w:r>
        <w:rPr/>
        <w:t>El aislamiento social crónico puede provocar depresión (alta comorbilidad en adultos</w:t>
      </w:r>
      <w:r>
        <w:rPr>
          <w:spacing w:val="-5"/>
        </w:rPr>
        <w:t> </w:t>
      </w:r>
      <w:r>
        <w:rPr/>
        <w:t>mayores).</w:t>
      </w:r>
    </w:p>
    <w:p>
      <w:pPr>
        <w:pStyle w:val="BodyText"/>
        <w:spacing w:before="3"/>
        <w:rPr>
          <w:sz w:val="35"/>
        </w:rPr>
      </w:pPr>
    </w:p>
    <w:p>
      <w:pPr>
        <w:pStyle w:val="BodyText"/>
        <w:ind w:left="1440"/>
        <w:jc w:val="both"/>
      </w:pPr>
      <w:r>
        <w:rPr>
          <w:w w:val="100"/>
        </w:rPr>
        <w:t>.</w:t>
      </w:r>
    </w:p>
    <w:p>
      <w:pPr>
        <w:pStyle w:val="Heading4"/>
        <w:spacing w:before="75"/>
        <w:jc w:val="both"/>
      </w:pPr>
      <w:r>
        <w:rPr/>
        <w:t>BIBLIOGRAFIA</w:t>
      </w:r>
    </w:p>
    <w:p>
      <w:pPr>
        <w:pStyle w:val="BodyText"/>
        <w:spacing w:before="8"/>
        <w:rPr>
          <w:b/>
        </w:rPr>
      </w:pPr>
      <w:r>
        <w:rPr/>
        <w:br w:type="column"/>
      </w:r>
      <w:r>
        <w:rPr>
          <w:b/>
        </w:rPr>
      </w:r>
    </w:p>
    <w:p>
      <w:pPr>
        <w:pStyle w:val="BodyText"/>
        <w:spacing w:line="276" w:lineRule="auto"/>
        <w:ind w:left="677" w:right="1436"/>
        <w:jc w:val="both"/>
      </w:pPr>
      <w:r>
        <w:rPr/>
        <w:t>Las sustancias psicoactivas se pueden usar como automedicación y desencadenar un trastorno por uso de sustancias También puede ser comórbido con trastorno dismórfico corporal, trastorno bipolar y contrastorno de personalidad evitativa en individuos con ansiedad social que no es sólo por actuación.</w:t>
      </w:r>
    </w:p>
    <w:p>
      <w:pPr>
        <w:pStyle w:val="BodyText"/>
        <w:spacing w:line="276" w:lineRule="auto" w:before="1"/>
        <w:ind w:left="677" w:right="1438"/>
        <w:jc w:val="both"/>
      </w:pPr>
      <w:r>
        <w:rPr/>
        <w:t>En niños es frecuente </w:t>
      </w:r>
      <w:r>
        <w:rPr>
          <w:spacing w:val="-3"/>
        </w:rPr>
        <w:t>la </w:t>
      </w:r>
      <w:r>
        <w:rPr/>
        <w:t>comorbilidad con el autismo de alto funcionamiento y el mutismo</w:t>
      </w:r>
      <w:r>
        <w:rPr>
          <w:spacing w:val="-1"/>
        </w:rPr>
        <w:t> </w:t>
      </w:r>
      <w:r>
        <w:rPr/>
        <w:t>selectivo.</w:t>
      </w:r>
    </w:p>
    <w:p>
      <w:pPr>
        <w:pStyle w:val="BodyText"/>
        <w:spacing w:line="276" w:lineRule="auto"/>
        <w:ind w:left="677" w:right="1429"/>
        <w:jc w:val="both"/>
      </w:pPr>
      <w:r>
        <w:rPr>
          <w:b/>
        </w:rPr>
        <w:t>Tratamiento farmacológico – </w:t>
      </w:r>
      <w:r>
        <w:rPr/>
        <w:t>los fármacos efectivos para el tratamiento de </w:t>
      </w:r>
      <w:r>
        <w:rPr>
          <w:spacing w:val="-3"/>
        </w:rPr>
        <w:t>la </w:t>
      </w:r>
      <w:r>
        <w:rPr/>
        <w:t>fobia social son: los ISRS, los benzodiacepinas, </w:t>
      </w:r>
      <w:r>
        <w:rPr>
          <w:spacing w:val="-3"/>
        </w:rPr>
        <w:t>la </w:t>
      </w:r>
      <w:r>
        <w:rPr/>
        <w:t>venlafaxina y </w:t>
      </w:r>
      <w:r>
        <w:rPr>
          <w:spacing w:val="-3"/>
        </w:rPr>
        <w:t>la </w:t>
      </w:r>
      <w:r>
        <w:rPr/>
        <w:t>buspirona. Se consideran los ISRS como tratamiento de elección, en casos que se necesite adyuvancia se pueden usar benzodiacepinas como alprazolam y</w:t>
      </w:r>
      <w:r>
        <w:rPr>
          <w:spacing w:val="-2"/>
        </w:rPr>
        <w:t> </w:t>
      </w:r>
      <w:r>
        <w:rPr/>
        <w:t>clonazepam.</w:t>
      </w:r>
    </w:p>
    <w:p>
      <w:pPr>
        <w:pStyle w:val="BodyText"/>
        <w:spacing w:line="276" w:lineRule="auto" w:before="5"/>
        <w:ind w:left="677" w:right="1438"/>
        <w:jc w:val="both"/>
      </w:pPr>
      <w:r>
        <w:rPr/>
        <w:t>En casos graves hubo éxito en tratamiento con IMAO irreversibles como fenelzina e IMAO reversibles como moclobemida y la brofaromina.</w:t>
      </w:r>
    </w:p>
    <w:p>
      <w:pPr>
        <w:pStyle w:val="BodyText"/>
        <w:spacing w:line="276" w:lineRule="auto" w:before="2"/>
        <w:ind w:left="677" w:right="1432"/>
        <w:jc w:val="both"/>
      </w:pPr>
      <w:r>
        <w:rPr/>
        <w:t>Para fobia social por actuación se emplean con frecuencia atenolol o un benzodiacepina de acción relativamente corta o intermedia como lorazepam o alprazolam para tomarla antes de </w:t>
      </w:r>
      <w:r>
        <w:rPr>
          <w:spacing w:val="-3"/>
        </w:rPr>
        <w:t>la </w:t>
      </w:r>
      <w:r>
        <w:rPr/>
        <w:t>exposición al estímulo o situación</w:t>
      </w:r>
      <w:r>
        <w:rPr>
          <w:spacing w:val="-15"/>
        </w:rPr>
        <w:t> </w:t>
      </w:r>
      <w:r>
        <w:rPr/>
        <w:t>fóbica.</w:t>
      </w:r>
    </w:p>
    <w:p>
      <w:pPr>
        <w:pStyle w:val="BodyText"/>
        <w:spacing w:line="276" w:lineRule="auto" w:before="2"/>
        <w:ind w:left="677" w:right="1438"/>
        <w:jc w:val="both"/>
      </w:pPr>
      <w:r>
        <w:rPr/>
        <w:t>Las técnicas cognitivas, conductuales y de exposición son también útiles en las situaciones de actuación.</w:t>
      </w:r>
    </w:p>
    <w:p>
      <w:pPr>
        <w:pStyle w:val="BodyText"/>
        <w:spacing w:line="278" w:lineRule="auto"/>
        <w:ind w:left="677" w:right="1438"/>
        <w:jc w:val="both"/>
      </w:pPr>
      <w:r>
        <w:rPr/>
        <w:t>Gabapentina puede ser eficaz para el tratamiento de la fobia social generalizada y no causa dependencia física como los benzodiacepinas</w:t>
      </w:r>
    </w:p>
    <w:p>
      <w:pPr>
        <w:spacing w:after="0" w:line="278" w:lineRule="auto"/>
        <w:jc w:val="both"/>
        <w:sectPr>
          <w:type w:val="continuous"/>
          <w:pgSz w:w="12240" w:h="15840"/>
          <w:pgMar w:top="1500" w:bottom="0" w:left="0" w:right="0"/>
          <w:cols w:num="2" w:equalWidth="0">
            <w:col w:w="5765" w:space="40"/>
            <w:col w:w="6435"/>
          </w:cols>
        </w:sectPr>
      </w:pPr>
    </w:p>
    <w:p>
      <w:pPr>
        <w:pStyle w:val="BodyText"/>
        <w:spacing w:before="1"/>
        <w:rPr>
          <w:sz w:val="12"/>
        </w:rPr>
      </w:pPr>
    </w:p>
    <w:p>
      <w:pPr>
        <w:pStyle w:val="ListParagraph"/>
        <w:numPr>
          <w:ilvl w:val="0"/>
          <w:numId w:val="8"/>
        </w:numPr>
        <w:tabs>
          <w:tab w:pos="1800" w:val="left" w:leader="none"/>
          <w:tab w:pos="1801" w:val="left" w:leader="none"/>
        </w:tabs>
        <w:spacing w:line="276" w:lineRule="auto" w:before="100" w:after="0"/>
        <w:ind w:left="1800" w:right="1432" w:hanging="360"/>
        <w:jc w:val="left"/>
        <w:rPr>
          <w:sz w:val="20"/>
        </w:rPr>
      </w:pPr>
      <w:r>
        <w:rPr>
          <w:sz w:val="20"/>
        </w:rPr>
        <w:t>American Psychiatric Association: Diagnostic and Statistical Manual of Mental Disorders, Fifth Edition. Arlington, VA, American Psychiatric Association,</w:t>
      </w:r>
      <w:r>
        <w:rPr>
          <w:spacing w:val="-1"/>
          <w:sz w:val="20"/>
        </w:rPr>
        <w:t> </w:t>
      </w:r>
      <w:r>
        <w:rPr>
          <w:sz w:val="20"/>
        </w:rPr>
        <w:t>2013.</w:t>
      </w:r>
    </w:p>
    <w:p>
      <w:pPr>
        <w:pStyle w:val="ListParagraph"/>
        <w:numPr>
          <w:ilvl w:val="0"/>
          <w:numId w:val="8"/>
        </w:numPr>
        <w:tabs>
          <w:tab w:pos="1800" w:val="left" w:leader="none"/>
          <w:tab w:pos="1801" w:val="left" w:leader="none"/>
        </w:tabs>
        <w:spacing w:line="276" w:lineRule="auto" w:before="0" w:after="0"/>
        <w:ind w:left="1800" w:right="1443" w:hanging="360"/>
        <w:jc w:val="left"/>
        <w:rPr>
          <w:sz w:val="20"/>
        </w:rPr>
      </w:pPr>
      <w:r>
        <w:rPr>
          <w:sz w:val="20"/>
        </w:rPr>
        <w:t>Kaplan&amp;Sadock's Synopsis of Psychistry Behavioral Science/Clinical Psychiatry, tenth edition, Lippincott Williams &amp; Wilkins, PA,</w:t>
      </w:r>
      <w:r>
        <w:rPr>
          <w:spacing w:val="-12"/>
          <w:sz w:val="20"/>
        </w:rPr>
        <w:t> </w:t>
      </w:r>
      <w:r>
        <w:rPr>
          <w:sz w:val="20"/>
        </w:rPr>
        <w:t>2009</w:t>
      </w:r>
    </w:p>
    <w:p>
      <w:pPr>
        <w:pStyle w:val="BodyText"/>
        <w:spacing w:before="1"/>
        <w:rPr>
          <w:sz w:val="23"/>
        </w:rPr>
      </w:pPr>
    </w:p>
    <w:p>
      <w:pPr>
        <w:tabs>
          <w:tab w:pos="7918" w:val="left" w:leader="none"/>
        </w:tabs>
        <w:spacing w:before="0"/>
        <w:ind w:left="1800" w:right="0" w:firstLine="0"/>
        <w:jc w:val="left"/>
        <w:rPr>
          <w:sz w:val="20"/>
        </w:rPr>
      </w:pPr>
      <w:r>
        <w:rPr>
          <w:sz w:val="20"/>
        </w:rPr>
        <w:t>Recepción: 02 Marzo</w:t>
      </w:r>
      <w:r>
        <w:rPr>
          <w:spacing w:val="-2"/>
          <w:sz w:val="20"/>
        </w:rPr>
        <w:t> </w:t>
      </w:r>
      <w:r>
        <w:rPr>
          <w:sz w:val="20"/>
        </w:rPr>
        <w:t>de</w:t>
      </w:r>
      <w:r>
        <w:rPr>
          <w:spacing w:val="-1"/>
          <w:sz w:val="20"/>
        </w:rPr>
        <w:t> </w:t>
      </w:r>
      <w:r>
        <w:rPr>
          <w:sz w:val="20"/>
        </w:rPr>
        <w:t>2016</w:t>
        <w:tab/>
        <w:t>Aprobación:14 Marzo de</w:t>
      </w:r>
      <w:r>
        <w:rPr>
          <w:spacing w:val="-4"/>
          <w:sz w:val="20"/>
        </w:rPr>
        <w:t> </w:t>
      </w:r>
      <w:r>
        <w:rPr>
          <w:sz w:val="20"/>
        </w:rPr>
        <w:t>2016</w:t>
      </w:r>
    </w:p>
    <w:p>
      <w:pPr>
        <w:pStyle w:val="BodyText"/>
        <w:spacing w:before="7"/>
        <w:rPr>
          <w:sz w:val="26"/>
        </w:rPr>
      </w:pPr>
      <w:r>
        <w:rPr/>
        <w:pict>
          <v:line style="position:absolute;mso-position-horizontal-relative:page;mso-position-vertical-relative:paragraph;z-index:3232;mso-wrap-distance-left:0;mso-wrap-distance-right:0" from="73.492996pt,18.021614pt" to="539.252996pt,18.021614pt" stroked="true" strokeweight="1.4649pt" strokecolor="#3366cc">
            <v:stroke dashstyle="solid"/>
            <w10:wrap type="topAndBottom"/>
          </v:line>
        </w:pict>
      </w:r>
    </w:p>
    <w:p>
      <w:pPr>
        <w:pStyle w:val="BodyText"/>
        <w:spacing w:before="6"/>
        <w:rPr>
          <w:sz w:val="3"/>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24</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type w:val="continuous"/>
          <w:pgSz w:w="12240" w:h="15840"/>
          <w:pgMar w:top="1500" w:bottom="0" w:left="0" w:right="0"/>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0"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2" w:firstLine="0"/>
        <w:jc w:val="both"/>
        <w:rPr>
          <w:sz w:val="20"/>
        </w:rPr>
      </w:pPr>
      <w:r>
        <w:rPr>
          <w:sz w:val="20"/>
        </w:rPr>
        <w:t>Las publicaciones serán presentadas bajo la estructura del Comité Internacional de Editores de Revistas Médicas, cuya información se puede encontrar </w:t>
      </w:r>
      <w:hyperlink r:id="rId99">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76"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99">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9"/>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9"/>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9"/>
        </w:numPr>
        <w:tabs>
          <w:tab w:pos="2161" w:val="left" w:leader="none"/>
        </w:tabs>
        <w:spacing w:line="283" w:lineRule="auto" w:before="0" w:after="0"/>
        <w:ind w:left="2160" w:right="1444"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9"/>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9"/>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9"/>
        </w:numPr>
        <w:tabs>
          <w:tab w:pos="2161" w:val="left" w:leader="none"/>
        </w:tabs>
        <w:spacing w:line="278" w:lineRule="auto" w:before="0" w:after="0"/>
        <w:ind w:left="2160" w:right="1444"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6"/>
          <w:sz w:val="20"/>
        </w:rPr>
        <w:t> </w:t>
      </w:r>
      <w:r>
        <w:rPr>
          <w:sz w:val="20"/>
        </w:rPr>
        <w:t>secundarios.</w:t>
      </w:r>
    </w:p>
    <w:p>
      <w:pPr>
        <w:pStyle w:val="ListParagraph"/>
        <w:numPr>
          <w:ilvl w:val="1"/>
          <w:numId w:val="9"/>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9"/>
        </w:numPr>
        <w:tabs>
          <w:tab w:pos="2161" w:val="left" w:leader="none"/>
        </w:tabs>
        <w:spacing w:line="280" w:lineRule="auto" w:before="0" w:after="0"/>
        <w:ind w:left="2160" w:right="1446" w:hanging="360"/>
        <w:jc w:val="both"/>
        <w:rPr>
          <w:sz w:val="20"/>
        </w:rPr>
      </w:pPr>
      <w:r>
        <w:rPr>
          <w:b/>
          <w:sz w:val="20"/>
        </w:rPr>
        <w:t>Referencia: </w:t>
      </w:r>
      <w:r>
        <w:rPr>
          <w:sz w:val="20"/>
        </w:rPr>
        <w:t>Insertadas consecutivamente con números arábigos en el cuerpo </w:t>
      </w:r>
      <w:r>
        <w:rPr>
          <w:spacing w:val="-3"/>
          <w:sz w:val="20"/>
        </w:rPr>
        <w:t>del </w:t>
      </w:r>
      <w:r>
        <w:rPr>
          <w:sz w:val="20"/>
        </w:rPr>
        <w:t>texto  y citadas con toda la información pertinente en el área de referencia. Se recomienda el sistema</w:t>
      </w:r>
      <w:r>
        <w:rPr>
          <w:spacing w:val="33"/>
          <w:sz w:val="20"/>
        </w:rPr>
        <w:t> </w:t>
      </w:r>
      <w:r>
        <w:rPr>
          <w:sz w:val="20"/>
        </w:rPr>
        <w:t>de</w:t>
      </w:r>
    </w:p>
    <w:p>
      <w:pPr>
        <w:pStyle w:val="BodyText"/>
        <w:rPr>
          <w:sz w:val="20"/>
        </w:rPr>
      </w:pPr>
    </w:p>
    <w:p>
      <w:pPr>
        <w:pStyle w:val="BodyText"/>
        <w:spacing w:before="8"/>
        <w:rPr>
          <w:sz w:val="19"/>
        </w:rPr>
      </w:pPr>
      <w:r>
        <w:rPr/>
        <w:pict>
          <v:group style="position:absolute;margin-left:72.199997pt;margin-top:13.315496pt;width:504.3pt;height:25.5pt;mso-position-horizontal-relative:page;mso-position-vertical-relative:paragraph;z-index:3376;mso-wrap-distance-left:0;mso-wrap-distance-right:0" coordorigin="1444,266" coordsize="10086,510">
            <v:shape style="position:absolute;left:10820;top:368;width:660;height:300" type="#_x0000_t75" stroked="false">
              <v:imagedata r:id="rId36" o:title=""/>
            </v:shape>
            <v:rect style="position:absolute;left:1469;top:276;width:9286;height:30" filled="true" fillcolor="#3366cc" stroked="false">
              <v:fill type="solid"/>
            </v:rect>
            <v:rect style="position:absolute;left:1459;top:266;width:9306;height:50" filled="true" fillcolor="#006fc0" stroked="false">
              <v:fill type="solid"/>
            </v:rect>
            <v:shape style="position:absolute;left:1444;top:456;width:9276;height:320" type="#_x0000_t75" stroked="false">
              <v:imagedata r:id="rId50" o:title=""/>
            </v:shape>
            <v:shape style="position:absolute;left:3821;top:463;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10790;top:426;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25</w:t>
                    </w:r>
                    <w:r>
                      <w:rPr>
                        <w:rFonts w:ascii="Calibri"/>
                        <w:color w:val="FFFFFF"/>
                        <w:spacing w:val="-18"/>
                        <w:sz w:val="28"/>
                        <w:shd w:fill="3366CC" w:color="auto" w:val="clear"/>
                      </w:rPr>
                      <w:t> </w:t>
                    </w:r>
                  </w:p>
                </w:txbxContent>
              </v:textbox>
              <w10:wrap type="none"/>
            </v:shape>
            <w10:wrap type="topAndBottom"/>
          </v:group>
        </w:pict>
      </w:r>
    </w:p>
    <w:p>
      <w:pPr>
        <w:spacing w:after="0"/>
        <w:rPr>
          <w:sz w:val="19"/>
        </w:rPr>
        <w:sectPr>
          <w:headerReference w:type="default" r:id="rId97"/>
          <w:footerReference w:type="default" r:id="rId98"/>
          <w:pgSz w:w="12240" w:h="15840"/>
          <w:pgMar w:header="723" w:footer="0" w:top="940" w:bottom="280" w:left="0" w:right="0"/>
        </w:sectPr>
      </w:pPr>
    </w:p>
    <w:p>
      <w:pPr>
        <w:pStyle w:val="BodyText"/>
        <w:rPr>
          <w:sz w:val="20"/>
        </w:rPr>
      </w:pPr>
    </w:p>
    <w:p>
      <w:pPr>
        <w:pStyle w:val="BodyText"/>
        <w:spacing w:before="7"/>
      </w:pPr>
    </w:p>
    <w:p>
      <w:pPr>
        <w:spacing w:line="276" w:lineRule="auto" w:before="0"/>
        <w:ind w:left="2160" w:right="1433" w:firstLine="0"/>
        <w:jc w:val="both"/>
        <w:rPr>
          <w:sz w:val="20"/>
        </w:rPr>
      </w:pPr>
      <w:r>
        <w:rPr>
          <w:sz w:val="20"/>
        </w:rPr>
        <w:t>revistas médicas “</w:t>
      </w:r>
      <w:hyperlink r:id="rId99">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3"/>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7"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102">
        <w:r>
          <w:rPr>
            <w:sz w:val="20"/>
          </w:rPr>
          <w:t>http://www.scielo.cl/scielo.php?script=sci_arttext&amp;pid=S0370-</w:t>
        </w:r>
      </w:hyperlink>
      <w:r>
        <w:rPr>
          <w:sz w:val="20"/>
        </w:rPr>
        <w:t> </w:t>
      </w:r>
      <w:hyperlink r:id="rId102">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9"/>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2"/>
          <w:sz w:val="20"/>
        </w:rPr>
        <w:t> </w:t>
      </w:r>
      <w:r>
        <w:rPr>
          <w:sz w:val="20"/>
        </w:rPr>
        <w:t>publicación.</w:t>
      </w:r>
    </w:p>
    <w:p>
      <w:pPr>
        <w:pStyle w:val="BodyText"/>
        <w:spacing w:before="1"/>
        <w:rPr>
          <w:sz w:val="23"/>
        </w:rPr>
      </w:pPr>
    </w:p>
    <w:p>
      <w:pPr>
        <w:pStyle w:val="ListParagraph"/>
        <w:numPr>
          <w:ilvl w:val="0"/>
          <w:numId w:val="9"/>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7"/>
      </w:pPr>
    </w:p>
    <w:p>
      <w:pPr>
        <w:pStyle w:val="ListParagraph"/>
        <w:numPr>
          <w:ilvl w:val="0"/>
          <w:numId w:val="9"/>
        </w:numPr>
        <w:tabs>
          <w:tab w:pos="1800" w:val="left" w:leader="none"/>
          <w:tab w:pos="1801" w:val="left" w:leader="none"/>
        </w:tabs>
        <w:spacing w:line="240" w:lineRule="auto" w:before="0" w:after="0"/>
        <w:ind w:left="1800" w:right="0" w:hanging="584"/>
        <w:jc w:val="left"/>
        <w:rPr>
          <w:b/>
          <w:sz w:val="20"/>
        </w:rPr>
      </w:pPr>
      <w:r>
        <w:rPr>
          <w:b/>
          <w:sz w:val="20"/>
        </w:rPr>
        <w:t>Opiniones</w:t>
      </w:r>
    </w:p>
    <w:p>
      <w:pPr>
        <w:spacing w:before="37"/>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9"/>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2"/>
        <w:ind w:left="1800" w:right="0" w:firstLine="0"/>
        <w:jc w:val="left"/>
        <w:rPr>
          <w:sz w:val="20"/>
        </w:rPr>
      </w:pPr>
      <w:r>
        <w:rPr>
          <w:sz w:val="20"/>
        </w:rPr>
        <w:t>La publicación debe estar estructurada de la siguiente forma:</w:t>
      </w:r>
    </w:p>
    <w:p>
      <w:pPr>
        <w:pStyle w:val="ListParagraph"/>
        <w:numPr>
          <w:ilvl w:val="1"/>
          <w:numId w:val="9"/>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9"/>
        </w:numPr>
        <w:tabs>
          <w:tab w:pos="2161" w:val="left" w:leader="none"/>
        </w:tabs>
        <w:spacing w:line="240" w:lineRule="auto" w:before="33"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9"/>
        </w:numPr>
        <w:tabs>
          <w:tab w:pos="2161" w:val="left" w:leader="none"/>
        </w:tabs>
        <w:spacing w:line="276" w:lineRule="auto" w:before="33" w:after="0"/>
        <w:ind w:left="2160" w:right="1444" w:hanging="360"/>
        <w:jc w:val="left"/>
        <w:rPr>
          <w:sz w:val="20"/>
        </w:rPr>
      </w:pPr>
      <w:r>
        <w:rPr>
          <w:sz w:val="20"/>
        </w:rPr>
        <w:t>Introducción: se debe contestar las preguntas: ¿porque se publica?, ¿que se publica?. Mencionar objetivos primarios y</w:t>
      </w:r>
      <w:r>
        <w:rPr>
          <w:spacing w:val="-4"/>
          <w:sz w:val="20"/>
        </w:rPr>
        <w:t> </w:t>
      </w:r>
      <w:r>
        <w:rPr>
          <w:sz w:val="20"/>
        </w:rPr>
        <w:t>secundarios.</w:t>
      </w:r>
    </w:p>
    <w:p>
      <w:pPr>
        <w:pStyle w:val="ListParagraph"/>
        <w:numPr>
          <w:ilvl w:val="1"/>
          <w:numId w:val="9"/>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1"/>
          <w:numId w:val="9"/>
        </w:numPr>
        <w:tabs>
          <w:tab w:pos="2161" w:val="left" w:leader="none"/>
        </w:tabs>
        <w:spacing w:line="280" w:lineRule="auto" w:before="0" w:after="0"/>
        <w:ind w:left="2160" w:right="1431"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4"/>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7"/>
        <w:rPr>
          <w:sz w:val="25"/>
        </w:rPr>
      </w:pPr>
    </w:p>
    <w:p>
      <w:pPr>
        <w:spacing w:before="0"/>
        <w:ind w:left="1440" w:right="0" w:firstLine="0"/>
        <w:jc w:val="left"/>
        <w:rPr>
          <w:b/>
          <w:sz w:val="20"/>
        </w:rPr>
      </w:pPr>
      <w:r>
        <w:rPr>
          <w:b/>
          <w:sz w:val="20"/>
        </w:rPr>
        <w:t>Presentación del manuscrito</w:t>
      </w:r>
    </w:p>
    <w:p>
      <w:pPr>
        <w:spacing w:line="276" w:lineRule="auto" w:before="38"/>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3"/>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pStyle w:val="BodyText"/>
        <w:spacing w:before="6"/>
        <w:rPr>
          <w:sz w:val="24"/>
        </w:rPr>
      </w:pPr>
      <w:r>
        <w:rPr/>
        <w:pict>
          <v:line style="position:absolute;mso-position-horizontal-relative:page;mso-position-vertical-relative:paragraph;z-index:3400;mso-wrap-distance-left:0;mso-wrap-distance-right:0" from="73.492996pt,16.843632pt" to="539.252996pt,16.843632pt" stroked="true" strokeweight="1.4649pt" strokecolor="#3366cc">
            <v:stroke dashstyle="solid"/>
            <w10:wrap type="topAndBottom"/>
          </v:line>
        </w:pict>
      </w:r>
    </w:p>
    <w:p>
      <w:pPr>
        <w:pStyle w:val="BodyText"/>
        <w:spacing w:before="6"/>
        <w:rPr>
          <w:sz w:val="3"/>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36" o:title=""/>
            </v:shape>
            <v:shape style="position:absolute;left:711;top:80;width:9308;height:320" type="#_x0000_t75" stroked="false">
              <v:imagedata r:id="rId37"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26</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headerReference w:type="default" r:id="rId100"/>
          <w:footerReference w:type="default" r:id="rId101"/>
          <w:pgSz w:w="12240" w:h="15840"/>
          <w:pgMar w:header="723" w:footer="0" w:top="940" w:bottom="28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0"/>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Responsabilidad del</w:t>
      </w:r>
      <w:r>
        <w:rPr>
          <w:b/>
          <w:spacing w:val="2"/>
          <w:sz w:val="20"/>
        </w:rPr>
        <w:t> </w:t>
      </w:r>
      <w:r>
        <w:rPr>
          <w:b/>
          <w:sz w:val="20"/>
        </w:rPr>
        <w:t>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0"/>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476" w:firstLine="0"/>
        <w:jc w:val="left"/>
        <w:rPr>
          <w:sz w:val="20"/>
        </w:rPr>
      </w:pPr>
      <w:r>
        <w:rPr>
          <w:sz w:val="20"/>
        </w:rPr>
        <w:t>Yo “nombre del autor”  soy  autor responsable de  la publicación “título  de  la publicación”  declaro  que la publicación no contiene conflictos de</w:t>
      </w:r>
      <w:r>
        <w:rPr>
          <w:spacing w:val="-2"/>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99">
        <w:r>
          <w:rPr>
            <w:sz w:val="20"/>
          </w:rPr>
          <w:t>www.icmje.org.</w:t>
        </w:r>
      </w:hyperlink>
    </w:p>
    <w:p>
      <w:pPr>
        <w:pStyle w:val="ListParagraph"/>
        <w:numPr>
          <w:ilvl w:val="0"/>
          <w:numId w:val="10"/>
        </w:numPr>
        <w:tabs>
          <w:tab w:pos="1801" w:val="left" w:leader="none"/>
        </w:tabs>
        <w:spacing w:line="222" w:lineRule="exact" w:before="0" w:after="0"/>
        <w:ind w:left="1800" w:right="0" w:hanging="360"/>
        <w:jc w:val="left"/>
        <w:rPr>
          <w:b/>
          <w:sz w:val="20"/>
        </w:rPr>
      </w:pPr>
      <w:r>
        <w:rPr>
          <w:b/>
          <w:sz w:val="20"/>
        </w:rPr>
        <w:t>Principios científicos, éticos, 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1"/>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4">
        <w:r>
          <w:rPr>
            <w:sz w:val="20"/>
          </w:rPr>
          <w:t>revistamedicasinergia@gmail.com </w:t>
        </w:r>
      </w:hyperlink>
      <w:r>
        <w:rPr>
          <w:sz w:val="20"/>
        </w:rPr>
        <w:t>solicitando la disponibilidad </w:t>
      </w:r>
      <w:r>
        <w:rPr>
          <w:spacing w:val="-3"/>
          <w:sz w:val="20"/>
        </w:rPr>
        <w:t>tema </w:t>
      </w:r>
      <w:r>
        <w:rPr>
          <w:sz w:val="20"/>
        </w:rPr>
        <w:t>para poder</w:t>
      </w:r>
      <w:r>
        <w:rPr>
          <w:spacing w:val="3"/>
          <w:sz w:val="20"/>
        </w:rPr>
        <w:t> </w:t>
      </w:r>
      <w:r>
        <w:rPr>
          <w:sz w:val="20"/>
        </w:rPr>
        <w:t>publicar.</w:t>
      </w:r>
    </w:p>
    <w:p>
      <w:pPr>
        <w:pStyle w:val="ListParagraph"/>
        <w:numPr>
          <w:ilvl w:val="0"/>
          <w:numId w:val="11"/>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1"/>
        </w:numPr>
        <w:tabs>
          <w:tab w:pos="1801" w:val="left" w:leader="none"/>
          <w:tab w:pos="3324"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4"/>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1"/>
        </w:numPr>
        <w:tabs>
          <w:tab w:pos="1801" w:val="left" w:leader="none"/>
        </w:tabs>
        <w:spacing w:line="276" w:lineRule="auto" w:before="3" w:after="0"/>
        <w:ind w:left="1800" w:right="1433"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8"/>
          <w:sz w:val="20"/>
        </w:rPr>
        <w:t> </w:t>
      </w:r>
      <w:r>
        <w:rPr>
          <w:sz w:val="20"/>
        </w:rPr>
        <w:t>artículo.</w:t>
      </w:r>
    </w:p>
    <w:p>
      <w:pPr>
        <w:pStyle w:val="ListParagraph"/>
        <w:numPr>
          <w:ilvl w:val="0"/>
          <w:numId w:val="11"/>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1"/>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pStyle w:val="BodyText"/>
        <w:rPr>
          <w:sz w:val="20"/>
        </w:rPr>
      </w:pPr>
    </w:p>
    <w:p>
      <w:pPr>
        <w:pStyle w:val="BodyText"/>
        <w:rPr>
          <w:sz w:val="20"/>
        </w:rPr>
      </w:pPr>
    </w:p>
    <w:p>
      <w:pPr>
        <w:pStyle w:val="BodyText"/>
        <w:spacing w:before="1"/>
        <w:rPr>
          <w:sz w:val="27"/>
        </w:rPr>
      </w:pPr>
      <w:r>
        <w:rPr/>
        <w:pict>
          <v:group style="position:absolute;margin-left:72.199997pt;margin-top:17.527351pt;width:504.3pt;height:25.5pt;mso-position-horizontal-relative:page;mso-position-vertical-relative:paragraph;z-index:3544;mso-wrap-distance-left:0;mso-wrap-distance-right:0" coordorigin="1444,351" coordsize="10086,510">
            <v:shape style="position:absolute;left:10820;top:452;width:660;height:300" type="#_x0000_t75" stroked="false">
              <v:imagedata r:id="rId36" o:title=""/>
            </v:shape>
            <v:rect style="position:absolute;left:1469;top:360;width:9286;height:30" filled="true" fillcolor="#3366cc" stroked="false">
              <v:fill type="solid"/>
            </v:rect>
            <v:rect style="position:absolute;left:1459;top:350;width:9306;height:50" filled="true" fillcolor="#006fc0" stroked="false">
              <v:fill type="solid"/>
            </v:rect>
            <v:shape style="position:absolute;left:1444;top:540;width:9276;height:320" type="#_x0000_t75" stroked="false">
              <v:imagedata r:id="rId50" o:title=""/>
            </v:shape>
            <v:shape style="position:absolute;left:3821;top:547;width:4549;height:224" type="#_x0000_t202" filled="false" stroked="false">
              <v:textbox inset="0,0,0,0">
                <w:txbxContent>
                  <w:p>
                    <w:pPr>
                      <w:spacing w:line="223" w:lineRule="exact" w:before="0"/>
                      <w:ind w:left="0" w:right="0" w:firstLine="0"/>
                      <w:jc w:val="left"/>
                      <w:rPr>
                        <w:i/>
                        <w:sz w:val="20"/>
                      </w:rPr>
                    </w:pPr>
                    <w:r>
                      <w:rPr>
                        <w:i/>
                        <w:color w:val="2E5395"/>
                        <w:sz w:val="20"/>
                      </w:rPr>
                      <w:t>REVISTA MEDICA SINERGIA Vol 1 (4), Abril 2016</w:t>
                    </w:r>
                  </w:p>
                </w:txbxContent>
              </v:textbox>
              <w10:wrap type="none"/>
            </v:shape>
            <v:shape style="position:absolute;left:10790;top:510;width:740;height:280" type="#_x0000_t202" filled="false" stroked="false">
              <v:textbox inset="0,0,0,0">
                <w:txbxContent>
                  <w:p>
                    <w:pPr>
                      <w:tabs>
                        <w:tab w:pos="265" w:val="left" w:leader="none"/>
                      </w:tabs>
                      <w:spacing w:line="280" w:lineRule="exact" w:before="0"/>
                      <w:ind w:left="0" w:right="0" w:firstLine="0"/>
                      <w:jc w:val="left"/>
                      <w:rPr>
                        <w:rFonts w:ascii="Calibri"/>
                        <w:sz w:val="28"/>
                      </w:rPr>
                    </w:pPr>
                    <w:r>
                      <w:rPr>
                        <w:rFonts w:ascii="Calibri"/>
                        <w:color w:val="FFFFFF"/>
                        <w:sz w:val="28"/>
                        <w:shd w:fill="3366CC" w:color="auto" w:val="clear"/>
                      </w:rPr>
                      <w:t> </w:t>
                      <w:tab/>
                      <w:t>27</w:t>
                    </w:r>
                    <w:r>
                      <w:rPr>
                        <w:rFonts w:ascii="Calibri"/>
                        <w:color w:val="FFFFFF"/>
                        <w:spacing w:val="-18"/>
                        <w:sz w:val="28"/>
                        <w:shd w:fill="3366CC" w:color="auto" w:val="clear"/>
                      </w:rPr>
                      <w:t> </w:t>
                    </w:r>
                  </w:p>
                </w:txbxContent>
              </v:textbox>
              <w10:wrap type="none"/>
            </v:shape>
            <w10:wrap type="topAndBottom"/>
          </v:group>
        </w:pict>
      </w:r>
    </w:p>
    <w:p>
      <w:pPr>
        <w:spacing w:after="0"/>
        <w:rPr>
          <w:sz w:val="27"/>
        </w:rPr>
        <w:sectPr>
          <w:headerReference w:type="default" r:id="rId103"/>
          <w:footerReference w:type="default" r:id="rId104"/>
          <w:pgSz w:w="12240" w:h="15840"/>
          <w:pgMar w:header="723" w:footer="0" w:top="940" w:bottom="28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87895">
            <wp:simplePos x="0" y="0"/>
            <wp:positionH relativeFrom="page">
              <wp:posOffset>-3175</wp:posOffset>
            </wp:positionH>
            <wp:positionV relativeFrom="paragraph">
              <wp:posOffset>85137</wp:posOffset>
            </wp:positionV>
            <wp:extent cx="7778750" cy="485775"/>
            <wp:effectExtent l="0" t="0" r="0" b="0"/>
            <wp:wrapNone/>
            <wp:docPr id="27" name="image44.png" descr=""/>
            <wp:cNvGraphicFramePr>
              <a:graphicFrameLocks noChangeAspect="1"/>
            </wp:cNvGraphicFramePr>
            <a:graphic>
              <a:graphicData uri="http://schemas.openxmlformats.org/drawingml/2006/picture">
                <pic:pic>
                  <pic:nvPicPr>
                    <pic:cNvPr id="28" name="image44.png"/>
                    <pic:cNvPicPr/>
                  </pic:nvPicPr>
                  <pic:blipFill>
                    <a:blip r:embed="rId107"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3568">
            <wp:simplePos x="0" y="0"/>
            <wp:positionH relativeFrom="page">
              <wp:posOffset>2643504</wp:posOffset>
            </wp:positionH>
            <wp:positionV relativeFrom="paragraph">
              <wp:posOffset>111927</wp:posOffset>
            </wp:positionV>
            <wp:extent cx="2069862" cy="1859756"/>
            <wp:effectExtent l="0" t="0" r="0" b="0"/>
            <wp:wrapTopAndBottom/>
            <wp:docPr id="29" name="image45.jpeg" descr=""/>
            <wp:cNvGraphicFramePr>
              <a:graphicFrameLocks noChangeAspect="1"/>
            </wp:cNvGraphicFramePr>
            <a:graphic>
              <a:graphicData uri="http://schemas.openxmlformats.org/drawingml/2006/picture">
                <pic:pic>
                  <pic:nvPicPr>
                    <pic:cNvPr id="30" name="image45.jpeg"/>
                    <pic:cNvPicPr/>
                  </pic:nvPicPr>
                  <pic:blipFill>
                    <a:blip r:embed="rId108"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pPr>
      <w:r>
        <w:rPr/>
        <w:t>La publicación de un artículo científico, revisiones bibliográficas, etc. Contribuye al desarrollo de la sociedad y a que otros investigadores acorten sus tiempos de investigación.</w:t>
      </w:r>
    </w:p>
    <w:p>
      <w:pPr>
        <w:spacing w:line="448" w:lineRule="auto" w:before="203"/>
        <w:ind w:left="2776" w:right="2781"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ind w:left="2439"/>
      </w:pPr>
      <w:r>
        <w:rPr/>
        <w:t>E-mail: </w:t>
      </w:r>
      <w:hyperlink r:id="rId24">
        <w:r>
          <w:rPr/>
          <w:t>revistamedicasinergia@gmail.com</w:t>
        </w:r>
      </w:hyperlink>
    </w:p>
    <w:p>
      <w:pPr>
        <w:spacing w:after="0"/>
        <w:sectPr>
          <w:headerReference w:type="default" r:id="rId105"/>
          <w:footerReference w:type="default" r:id="rId106"/>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47536"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111" o:title=""/>
            </v:shape>
            <v:shape style="position:absolute;left:-5;top:2945;width:12214;height:175" type="#_x0000_t75" stroked="false">
              <v:imagedata r:id="rId112" o:title=""/>
            </v:shape>
            <w10:wrap type="none"/>
          </v:group>
        </w:pict>
      </w:r>
      <w:r>
        <w:rPr>
          <w:rFonts w:ascii="Calibri"/>
          <w:color w:val="5B9BD4"/>
          <w:sz w:val="96"/>
        </w:rPr>
        <w:t>Indice</w:t>
      </w:r>
    </w:p>
    <w:p>
      <w:pPr>
        <w:pStyle w:val="BodyText"/>
        <w:rPr>
          <w:rFonts w:ascii="Calibri"/>
          <w:sz w:val="20"/>
        </w:rPr>
      </w:pPr>
    </w:p>
    <w:p>
      <w:pPr>
        <w:pStyle w:val="BodyText"/>
        <w:rPr>
          <w:rFonts w:ascii="Calibri"/>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47"/>
      </w:tblGrid>
      <w:tr>
        <w:trPr>
          <w:trHeight w:val="2685" w:hRule="atLeast"/>
        </w:trPr>
        <w:tc>
          <w:tcPr>
            <w:tcW w:w="8347" w:type="dxa"/>
            <w:shd w:val="clear" w:color="auto" w:fill="DEEAF6"/>
          </w:tcPr>
          <w:p>
            <w:pPr>
              <w:pStyle w:val="TableParagraph"/>
              <w:spacing w:before="8"/>
              <w:ind w:left="0"/>
              <w:rPr>
                <w:rFonts w:ascii="Calibri"/>
                <w:sz w:val="32"/>
              </w:rPr>
            </w:pPr>
          </w:p>
          <w:p>
            <w:pPr>
              <w:pStyle w:val="TableParagraph"/>
              <w:rPr>
                <w:b/>
                <w:sz w:val="28"/>
              </w:rPr>
            </w:pPr>
            <w:r>
              <w:rPr>
                <w:b/>
                <w:sz w:val="28"/>
              </w:rPr>
              <w:t>REVISIONES BIBLIOGRAFICAS</w:t>
            </w:r>
          </w:p>
          <w:p>
            <w:pPr>
              <w:pStyle w:val="TableParagraph"/>
              <w:ind w:left="0"/>
              <w:rPr>
                <w:rFonts w:ascii="Calibri"/>
                <w:sz w:val="30"/>
              </w:rPr>
            </w:pPr>
          </w:p>
          <w:p>
            <w:pPr>
              <w:pStyle w:val="TableParagraph"/>
              <w:spacing w:before="8"/>
              <w:ind w:left="0"/>
              <w:rPr>
                <w:rFonts w:ascii="Calibri"/>
                <w:sz w:val="39"/>
              </w:rPr>
            </w:pPr>
          </w:p>
          <w:p>
            <w:pPr>
              <w:pStyle w:val="TableParagraph"/>
              <w:rPr>
                <w:sz w:val="24"/>
              </w:rPr>
            </w:pPr>
            <w:r>
              <w:rPr>
                <w:sz w:val="24"/>
              </w:rPr>
              <w:t>Disección aortica</w:t>
            </w:r>
          </w:p>
          <w:p>
            <w:pPr>
              <w:pStyle w:val="TableParagraph"/>
              <w:tabs>
                <w:tab w:pos="8140" w:val="right" w:leader="dot"/>
              </w:tabs>
              <w:spacing w:before="38"/>
              <w:rPr>
                <w:sz w:val="22"/>
              </w:rPr>
            </w:pPr>
            <w:r>
              <w:rPr>
                <w:i/>
                <w:sz w:val="20"/>
              </w:rPr>
              <w:t>Aurora</w:t>
            </w:r>
            <w:r>
              <w:rPr>
                <w:i/>
                <w:spacing w:val="-2"/>
                <w:sz w:val="20"/>
              </w:rPr>
              <w:t> </w:t>
            </w:r>
            <w:r>
              <w:rPr>
                <w:i/>
                <w:sz w:val="20"/>
              </w:rPr>
              <w:t>Ugalde Rodríguez</w:t>
              <w:tab/>
            </w:r>
            <w:r>
              <w:rPr>
                <w:sz w:val="22"/>
              </w:rPr>
              <w:t>3</w:t>
            </w:r>
          </w:p>
        </w:tc>
      </w:tr>
      <w:tr>
        <w:trPr>
          <w:trHeight w:val="1566" w:hRule="atLeast"/>
        </w:trPr>
        <w:tc>
          <w:tcPr>
            <w:tcW w:w="8347" w:type="dxa"/>
            <w:shd w:val="clear" w:color="auto" w:fill="DEEAF6"/>
          </w:tcPr>
          <w:p>
            <w:pPr>
              <w:pStyle w:val="TableParagraph"/>
              <w:ind w:left="0"/>
              <w:rPr>
                <w:rFonts w:ascii="Calibri"/>
                <w:sz w:val="26"/>
              </w:rPr>
            </w:pPr>
          </w:p>
          <w:p>
            <w:pPr>
              <w:pStyle w:val="TableParagraph"/>
              <w:spacing w:before="219"/>
              <w:rPr>
                <w:sz w:val="24"/>
              </w:rPr>
            </w:pPr>
            <w:r>
              <w:rPr>
                <w:sz w:val="24"/>
              </w:rPr>
              <w:t>Arteritis séptica posterior a plastia de ligamento cruzado anterior</w:t>
            </w:r>
          </w:p>
          <w:p>
            <w:pPr>
              <w:pStyle w:val="TableParagraph"/>
              <w:tabs>
                <w:tab w:pos="8120" w:val="right" w:leader="dot"/>
              </w:tabs>
              <w:spacing w:before="38"/>
              <w:rPr>
                <w:sz w:val="22"/>
              </w:rPr>
            </w:pPr>
            <w:r>
              <w:rPr>
                <w:i/>
                <w:sz w:val="20"/>
              </w:rPr>
              <w:t>Andy</w:t>
            </w:r>
            <w:r>
              <w:rPr>
                <w:i/>
                <w:spacing w:val="-1"/>
                <w:sz w:val="20"/>
              </w:rPr>
              <w:t> </w:t>
            </w:r>
            <w:r>
              <w:rPr>
                <w:i/>
                <w:sz w:val="20"/>
              </w:rPr>
              <w:t>Vactory</w:t>
            </w:r>
            <w:r>
              <w:rPr>
                <w:i/>
                <w:spacing w:val="3"/>
                <w:sz w:val="20"/>
              </w:rPr>
              <w:t> </w:t>
            </w:r>
            <w:r>
              <w:rPr>
                <w:i/>
                <w:sz w:val="20"/>
              </w:rPr>
              <w:t>Myers</w:t>
              <w:tab/>
            </w:r>
            <w:r>
              <w:rPr>
                <w:sz w:val="22"/>
              </w:rPr>
              <w:t>9</w:t>
            </w:r>
          </w:p>
        </w:tc>
      </w:tr>
      <w:tr>
        <w:trPr>
          <w:trHeight w:val="2975" w:hRule="atLeast"/>
        </w:trPr>
        <w:tc>
          <w:tcPr>
            <w:tcW w:w="8347" w:type="dxa"/>
            <w:shd w:val="clear" w:color="auto" w:fill="DEEAF6"/>
          </w:tcPr>
          <w:p>
            <w:pPr>
              <w:pStyle w:val="TableParagraph"/>
              <w:spacing w:before="2"/>
              <w:ind w:left="0"/>
              <w:rPr>
                <w:rFonts w:ascii="Calibri"/>
                <w:sz w:val="37"/>
              </w:rPr>
            </w:pPr>
          </w:p>
          <w:p>
            <w:pPr>
              <w:pStyle w:val="TableParagraph"/>
              <w:spacing w:before="1"/>
              <w:rPr>
                <w:sz w:val="24"/>
              </w:rPr>
            </w:pPr>
            <w:r>
              <w:rPr>
                <w:sz w:val="24"/>
              </w:rPr>
              <w:t>Aturdimiento miocárdico neurogénico</w:t>
            </w:r>
          </w:p>
          <w:p>
            <w:pPr>
              <w:pStyle w:val="TableParagraph"/>
              <w:tabs>
                <w:tab w:pos="8138" w:val="right" w:leader="dot"/>
              </w:tabs>
              <w:spacing w:before="39"/>
              <w:rPr>
                <w:sz w:val="22"/>
              </w:rPr>
            </w:pPr>
            <w:r>
              <w:rPr>
                <w:i/>
                <w:sz w:val="20"/>
              </w:rPr>
              <w:t>Jeinny Maroto</w:t>
            </w:r>
            <w:r>
              <w:rPr>
                <w:i/>
                <w:spacing w:val="0"/>
                <w:sz w:val="20"/>
              </w:rPr>
              <w:t> </w:t>
            </w:r>
            <w:r>
              <w:rPr>
                <w:i/>
                <w:sz w:val="20"/>
              </w:rPr>
              <w:t>Fernández</w:t>
              <w:tab/>
            </w:r>
            <w:r>
              <w:rPr>
                <w:sz w:val="22"/>
              </w:rPr>
              <w:t>13</w:t>
            </w:r>
          </w:p>
          <w:p>
            <w:pPr>
              <w:pStyle w:val="TableParagraph"/>
              <w:ind w:left="0"/>
              <w:rPr>
                <w:rFonts w:ascii="Calibri"/>
                <w:sz w:val="24"/>
              </w:rPr>
            </w:pPr>
          </w:p>
          <w:p>
            <w:pPr>
              <w:pStyle w:val="TableParagraph"/>
              <w:ind w:left="0"/>
              <w:rPr>
                <w:rFonts w:ascii="Calibri"/>
                <w:sz w:val="24"/>
              </w:rPr>
            </w:pPr>
          </w:p>
          <w:p>
            <w:pPr>
              <w:pStyle w:val="TableParagraph"/>
              <w:spacing w:before="6"/>
              <w:ind w:left="0"/>
              <w:rPr>
                <w:rFonts w:ascii="Calibri"/>
                <w:sz w:val="20"/>
              </w:rPr>
            </w:pPr>
          </w:p>
          <w:p>
            <w:pPr>
              <w:pStyle w:val="TableParagraph"/>
              <w:rPr>
                <w:sz w:val="24"/>
              </w:rPr>
            </w:pPr>
            <w:r>
              <w:rPr>
                <w:sz w:val="24"/>
              </w:rPr>
              <w:t>Delirio en el adulto mayor</w:t>
            </w:r>
          </w:p>
          <w:p>
            <w:pPr>
              <w:pStyle w:val="TableParagraph"/>
              <w:tabs>
                <w:tab w:pos="8146" w:val="right" w:leader="dot"/>
              </w:tabs>
              <w:spacing w:before="46"/>
              <w:rPr>
                <w:sz w:val="22"/>
              </w:rPr>
            </w:pPr>
            <w:r>
              <w:rPr>
                <w:i/>
                <w:sz w:val="20"/>
              </w:rPr>
              <w:t>Karen</w:t>
            </w:r>
            <w:r>
              <w:rPr>
                <w:i/>
                <w:spacing w:val="0"/>
                <w:sz w:val="20"/>
              </w:rPr>
              <w:t> </w:t>
            </w:r>
            <w:r>
              <w:rPr>
                <w:i/>
                <w:sz w:val="20"/>
              </w:rPr>
              <w:t>Meza</w:t>
            </w:r>
            <w:r>
              <w:rPr>
                <w:i/>
                <w:spacing w:val="3"/>
                <w:sz w:val="20"/>
              </w:rPr>
              <w:t> </w:t>
            </w:r>
            <w:r>
              <w:rPr>
                <w:i/>
                <w:sz w:val="20"/>
              </w:rPr>
              <w:t>Elizondo</w:t>
              <w:tab/>
            </w:r>
            <w:r>
              <w:rPr>
                <w:sz w:val="22"/>
              </w:rPr>
              <w:t>17</w:t>
            </w:r>
          </w:p>
        </w:tc>
      </w:tr>
      <w:tr>
        <w:trPr>
          <w:trHeight w:val="1912" w:hRule="atLeast"/>
        </w:trPr>
        <w:tc>
          <w:tcPr>
            <w:tcW w:w="8347" w:type="dxa"/>
            <w:shd w:val="clear" w:color="auto" w:fill="DEEAF6"/>
          </w:tcPr>
          <w:p>
            <w:pPr>
              <w:pStyle w:val="TableParagraph"/>
              <w:ind w:left="0"/>
              <w:rPr>
                <w:rFonts w:ascii="Calibri"/>
                <w:sz w:val="26"/>
              </w:rPr>
            </w:pPr>
          </w:p>
          <w:p>
            <w:pPr>
              <w:pStyle w:val="TableParagraph"/>
              <w:spacing w:before="215"/>
              <w:rPr>
                <w:sz w:val="24"/>
              </w:rPr>
            </w:pPr>
            <w:r>
              <w:rPr>
                <w:sz w:val="24"/>
              </w:rPr>
              <w:t>Trastorno de ansiedad social (fobia social)</w:t>
            </w:r>
          </w:p>
          <w:p>
            <w:pPr>
              <w:pStyle w:val="TableParagraph"/>
              <w:tabs>
                <w:tab w:pos="8110" w:val="right" w:leader="dot"/>
              </w:tabs>
              <w:spacing w:before="42"/>
              <w:rPr>
                <w:sz w:val="22"/>
              </w:rPr>
            </w:pPr>
            <w:r>
              <w:rPr>
                <w:i/>
                <w:sz w:val="20"/>
              </w:rPr>
              <w:t>Yerlin</w:t>
            </w:r>
            <w:r>
              <w:rPr>
                <w:i/>
                <w:spacing w:val="-1"/>
                <w:sz w:val="20"/>
              </w:rPr>
              <w:t> </w:t>
            </w:r>
            <w:r>
              <w:rPr>
                <w:i/>
                <w:sz w:val="20"/>
              </w:rPr>
              <w:t>Elizondo</w:t>
            </w:r>
            <w:r>
              <w:rPr>
                <w:i/>
                <w:spacing w:val="1"/>
                <w:sz w:val="20"/>
              </w:rPr>
              <w:t> </w:t>
            </w:r>
            <w:r>
              <w:rPr>
                <w:i/>
                <w:sz w:val="20"/>
              </w:rPr>
              <w:t>Arias</w:t>
              <w:tab/>
            </w:r>
            <w:r>
              <w:rPr>
                <w:sz w:val="22"/>
              </w:rPr>
              <w:t>20</w:t>
            </w:r>
          </w:p>
        </w:tc>
      </w:tr>
      <w:tr>
        <w:trPr>
          <w:trHeight w:val="1076" w:hRule="atLeast"/>
        </w:trPr>
        <w:tc>
          <w:tcPr>
            <w:tcW w:w="8347" w:type="dxa"/>
            <w:shd w:val="clear" w:color="auto" w:fill="DEEAF6"/>
          </w:tcPr>
          <w:p>
            <w:pPr>
              <w:pStyle w:val="TableParagraph"/>
              <w:tabs>
                <w:tab w:pos="8118" w:val="right" w:leader="dot"/>
              </w:tabs>
              <w:spacing w:line="256" w:lineRule="exact" w:before="800"/>
              <w:rPr>
                <w:sz w:val="22"/>
              </w:rPr>
            </w:pPr>
            <w:r>
              <w:rPr>
                <w:sz w:val="24"/>
              </w:rPr>
              <w:t>Instrucciones</w:t>
            </w:r>
            <w:r>
              <w:rPr>
                <w:spacing w:val="3"/>
                <w:sz w:val="24"/>
              </w:rPr>
              <w:t> </w:t>
            </w:r>
            <w:r>
              <w:rPr>
                <w:sz w:val="24"/>
              </w:rPr>
              <w:t>de</w:t>
            </w:r>
            <w:r>
              <w:rPr>
                <w:spacing w:val="-4"/>
                <w:sz w:val="24"/>
              </w:rPr>
              <w:t> </w:t>
            </w:r>
            <w:r>
              <w:rPr>
                <w:sz w:val="24"/>
              </w:rPr>
              <w:t>publicación</w:t>
              <w:tab/>
            </w:r>
            <w:r>
              <w:rPr>
                <w:sz w:val="22"/>
              </w:rPr>
              <w:t>25</w:t>
            </w:r>
          </w:p>
        </w:tc>
      </w:tr>
    </w:tbl>
    <w:sectPr>
      <w:headerReference w:type="default" r:id="rId109"/>
      <w:footerReference w:type="default" r:id="rId110"/>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5327">
          <wp:simplePos x="0" y="0"/>
          <wp:positionH relativeFrom="page">
            <wp:posOffset>916939</wp:posOffset>
          </wp:positionH>
          <wp:positionV relativeFrom="page">
            <wp:posOffset>9441180</wp:posOffset>
          </wp:positionV>
          <wp:extent cx="5890260" cy="203200"/>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5351">
          <wp:simplePos x="0" y="0"/>
          <wp:positionH relativeFrom="page">
            <wp:posOffset>6870700</wp:posOffset>
          </wp:positionH>
          <wp:positionV relativeFrom="page">
            <wp:posOffset>9385300</wp:posOffset>
          </wp:positionV>
          <wp:extent cx="419100" cy="190500"/>
          <wp:effectExtent l="0" t="0" r="0" b="0"/>
          <wp:wrapNone/>
          <wp:docPr id="5" name="image22.png" descr=""/>
          <wp:cNvGraphicFramePr>
            <a:graphicFrameLocks noChangeAspect="1"/>
          </wp:cNvGraphicFramePr>
          <a:graphic>
            <a:graphicData uri="http://schemas.openxmlformats.org/drawingml/2006/picture">
              <pic:pic>
                <pic:nvPicPr>
                  <pic:cNvPr id="6"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5008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8pt;height:16pt;mso-position-horizontal-relative:page;mso-position-vertical-relative:page;z-index:-5005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t>1</w:t>
                </w:r>
                <w:r>
                  <w:rPr>
                    <w:rFonts w:ascii="Calibri"/>
                    <w:color w:val="FFFFFF"/>
                    <w:spacing w:val="-22"/>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50032" type="#_x0000_t202" filled="false" stroked="false">
          <v:textbox inset="0,0,0,0">
            <w:txbxContent>
              <w:p>
                <w:pPr>
                  <w:spacing w:before="13"/>
                  <w:ind w:left="20" w:right="0" w:firstLine="0"/>
                  <w:jc w:val="left"/>
                  <w:rPr>
                    <w:i/>
                    <w:sz w:val="20"/>
                  </w:rPr>
                </w:pPr>
                <w:r>
                  <w:rPr>
                    <w:i/>
                    <w:color w:val="2E5395"/>
                    <w:sz w:val="20"/>
                  </w:rPr>
                  <w:t>REVISTA MEDICA SINERGIA Vol 1 (4), Abril 2016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5447">
          <wp:simplePos x="0" y="0"/>
          <wp:positionH relativeFrom="page">
            <wp:posOffset>916939</wp:posOffset>
          </wp:positionH>
          <wp:positionV relativeFrom="page">
            <wp:posOffset>9441180</wp:posOffset>
          </wp:positionV>
          <wp:extent cx="5890260" cy="203200"/>
          <wp:effectExtent l="0" t="0" r="0" b="0"/>
          <wp:wrapNone/>
          <wp:docPr id="13" name="image21.png" descr=""/>
          <wp:cNvGraphicFramePr>
            <a:graphicFrameLocks noChangeAspect="1"/>
          </wp:cNvGraphicFramePr>
          <a:graphic>
            <a:graphicData uri="http://schemas.openxmlformats.org/drawingml/2006/picture">
              <pic:pic>
                <pic:nvPicPr>
                  <pic:cNvPr id="14" name="image2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5471">
          <wp:simplePos x="0" y="0"/>
          <wp:positionH relativeFrom="page">
            <wp:posOffset>6870700</wp:posOffset>
          </wp:positionH>
          <wp:positionV relativeFrom="page">
            <wp:posOffset>9385300</wp:posOffset>
          </wp:positionV>
          <wp:extent cx="419100" cy="190500"/>
          <wp:effectExtent l="0" t="0" r="0" b="0"/>
          <wp:wrapNone/>
          <wp:docPr id="15" name="image22.png" descr=""/>
          <wp:cNvGraphicFramePr>
            <a:graphicFrameLocks noChangeAspect="1"/>
          </wp:cNvGraphicFramePr>
          <a:graphic>
            <a:graphicData uri="http://schemas.openxmlformats.org/drawingml/2006/picture">
              <pic:pic>
                <pic:nvPicPr>
                  <pic:cNvPr id="16"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996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8pt;height:16pt;mso-position-horizontal-relative:page;mso-position-vertical-relative:page;z-index:-4993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t>3</w:t>
                </w:r>
                <w:r>
                  <w:rPr>
                    <w:rFonts w:ascii="Calibri"/>
                    <w:color w:val="FFFFFF"/>
                    <w:spacing w:val="-22"/>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49912" type="#_x0000_t202" filled="false" stroked="false">
          <v:textbox inset="0,0,0,0">
            <w:txbxContent>
              <w:p>
                <w:pPr>
                  <w:spacing w:before="13"/>
                  <w:ind w:left="20" w:right="0" w:firstLine="0"/>
                  <w:jc w:val="left"/>
                  <w:rPr>
                    <w:i/>
                    <w:sz w:val="20"/>
                  </w:rPr>
                </w:pPr>
                <w:r>
                  <w:rPr>
                    <w:i/>
                    <w:color w:val="2E5395"/>
                    <w:sz w:val="20"/>
                  </w:rPr>
                  <w:t>REVISTA MEDICA SINERGIA Vol 1 (4), Abril 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5591">
          <wp:simplePos x="0" y="0"/>
          <wp:positionH relativeFrom="page">
            <wp:posOffset>916939</wp:posOffset>
          </wp:positionH>
          <wp:positionV relativeFrom="page">
            <wp:posOffset>9441180</wp:posOffset>
          </wp:positionV>
          <wp:extent cx="5890260" cy="203200"/>
          <wp:effectExtent l="0" t="0" r="0" b="0"/>
          <wp:wrapNone/>
          <wp:docPr id="17" name="image21.png" descr=""/>
          <wp:cNvGraphicFramePr>
            <a:graphicFrameLocks noChangeAspect="1"/>
          </wp:cNvGraphicFramePr>
          <a:graphic>
            <a:graphicData uri="http://schemas.openxmlformats.org/drawingml/2006/picture">
              <pic:pic>
                <pic:nvPicPr>
                  <pic:cNvPr id="18" name="image21.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5615">
          <wp:simplePos x="0" y="0"/>
          <wp:positionH relativeFrom="page">
            <wp:posOffset>6870700</wp:posOffset>
          </wp:positionH>
          <wp:positionV relativeFrom="page">
            <wp:posOffset>9385300</wp:posOffset>
          </wp:positionV>
          <wp:extent cx="419100" cy="190500"/>
          <wp:effectExtent l="0" t="0" r="0" b="0"/>
          <wp:wrapNone/>
          <wp:docPr id="19" name="image22.png" descr=""/>
          <wp:cNvGraphicFramePr>
            <a:graphicFrameLocks noChangeAspect="1"/>
          </wp:cNvGraphicFramePr>
          <a:graphic>
            <a:graphicData uri="http://schemas.openxmlformats.org/drawingml/2006/picture">
              <pic:pic>
                <pic:nvPicPr>
                  <pic:cNvPr id="20" name="image22.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981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8pt;height:16pt;mso-position-horizontal-relative:page;mso-position-vertical-relative:page;z-index:-49792"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t>5</w:t>
                </w:r>
                <w:r>
                  <w:rPr>
                    <w:rFonts w:ascii="Calibri"/>
                    <w:color w:val="FFFFFF"/>
                    <w:spacing w:val="-22"/>
                    <w:sz w:val="28"/>
                    <w:shd w:fill="3366CC" w:color="auto" w:val="clear"/>
                  </w:rPr>
                  <w:t> </w:t>
                </w:r>
              </w:p>
            </w:txbxContent>
          </v:textbox>
          <w10:wrap type="none"/>
        </v:shape>
      </w:pict>
    </w:r>
    <w:r>
      <w:rPr/>
      <w:pict>
        <v:shape style="position:absolute;margin-left:190.080002pt;margin-top:742.747253pt;width:228.45pt;height:13.2pt;mso-position-horizontal-relative:page;mso-position-vertical-relative:page;z-index:-49768" type="#_x0000_t202" filled="false" stroked="false">
          <v:textbox inset="0,0,0,0">
            <w:txbxContent>
              <w:p>
                <w:pPr>
                  <w:spacing w:before="13"/>
                  <w:ind w:left="20" w:right="0" w:firstLine="0"/>
                  <w:jc w:val="left"/>
                  <w:rPr>
                    <w:i/>
                    <w:sz w:val="20"/>
                  </w:rPr>
                </w:pPr>
                <w:r>
                  <w:rPr>
                    <w:i/>
                    <w:color w:val="2E5395"/>
                    <w:sz w:val="20"/>
                  </w:rPr>
                  <w:t>REVISTA MEDICA SINERGIA Vol 1 (4), Abril 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00012pt;margin-top:34.547264pt;width:229.3pt;height:13.2pt;mso-position-horizontal-relative:page;mso-position-vertical-relative:page;z-index:-49888" type="#_x0000_t202" filled="false" stroked="false">
          <v:textbox inset="0,0,0,0">
            <w:txbxContent>
              <w:p>
                <w:pPr>
                  <w:spacing w:before="13"/>
                  <w:ind w:left="20" w:right="0" w:firstLine="0"/>
                  <w:jc w:val="left"/>
                  <w:rPr>
                    <w:i/>
                    <w:sz w:val="20"/>
                  </w:rPr>
                </w:pPr>
                <w:r>
                  <w:rPr>
                    <w:i/>
                    <w:color w:val="2D74B5"/>
                    <w:sz w:val="20"/>
                  </w:rPr>
                  <w:t>DISECCION AORTICA – Aurora Ugalde Rodríguez</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6.080002pt;margin-top:41.166718pt;width:345.15pt;height:15.45pt;mso-position-horizontal-relative:page;mso-position-vertical-relative:page;z-index:-49624" type="#_x0000_t202" filled="false" stroked="false">
          <v:textbox inset="0,0,0,0">
            <w:txbxContent>
              <w:p>
                <w:pPr>
                  <w:spacing w:before="12"/>
                  <w:ind w:left="20" w:right="0" w:firstLine="0"/>
                  <w:jc w:val="left"/>
                  <w:rPr>
                    <w:i/>
                    <w:sz w:val="20"/>
                  </w:rPr>
                </w:pPr>
                <w:r>
                  <w:rPr>
                    <w:i/>
                    <w:color w:val="2D74B5"/>
                    <w:sz w:val="20"/>
                  </w:rPr>
                  <w:t>ATURDIMIENTO MIOCARDICO NEUROGENICO</w:t>
                </w:r>
                <w:r>
                  <w:rPr>
                    <w:i/>
                    <w:color w:val="2D74B5"/>
                    <w:sz w:val="24"/>
                  </w:rPr>
                  <w:t>- </w:t>
                </w:r>
                <w:r>
                  <w:rPr>
                    <w:i/>
                    <w:color w:val="2D74B5"/>
                    <w:sz w:val="20"/>
                  </w:rPr>
                  <w:t>Jeinny Maroto Fernández</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6.080002pt;margin-top:41.166718pt;width:345.15pt;height:15.45pt;mso-position-horizontal-relative:page;mso-position-vertical-relative:page;z-index:-49600" type="#_x0000_t202" filled="false" stroked="false">
          <v:textbox inset="0,0,0,0">
            <w:txbxContent>
              <w:p>
                <w:pPr>
                  <w:spacing w:before="12"/>
                  <w:ind w:left="20" w:right="0" w:firstLine="0"/>
                  <w:jc w:val="left"/>
                  <w:rPr>
                    <w:i/>
                    <w:sz w:val="20"/>
                  </w:rPr>
                </w:pPr>
                <w:r>
                  <w:rPr>
                    <w:i/>
                    <w:color w:val="2D74B5"/>
                    <w:sz w:val="20"/>
                  </w:rPr>
                  <w:t>ATURDIMIENTO MIOCARDICO NEUROGENICO</w:t>
                </w:r>
                <w:r>
                  <w:rPr>
                    <w:i/>
                    <w:color w:val="2D74B5"/>
                    <w:sz w:val="24"/>
                  </w:rPr>
                  <w:t>- </w:t>
                </w:r>
                <w:r>
                  <w:rPr>
                    <w:i/>
                    <w:color w:val="2D74B5"/>
                    <w:sz w:val="20"/>
                  </w:rPr>
                  <w:t>Jeinny Maroto Fernández</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6.080002pt;margin-top:41.166718pt;width:345.15pt;height:15.45pt;mso-position-horizontal-relative:page;mso-position-vertical-relative:page;z-index:-49576" type="#_x0000_t202" filled="false" stroked="false">
          <v:textbox inset="0,0,0,0">
            <w:txbxContent>
              <w:p>
                <w:pPr>
                  <w:spacing w:before="12"/>
                  <w:ind w:left="20" w:right="0" w:firstLine="0"/>
                  <w:jc w:val="left"/>
                  <w:rPr>
                    <w:i/>
                    <w:sz w:val="20"/>
                  </w:rPr>
                </w:pPr>
                <w:r>
                  <w:rPr>
                    <w:i/>
                    <w:color w:val="2D74B5"/>
                    <w:sz w:val="20"/>
                  </w:rPr>
                  <w:t>ATURDIMIENTO MIOCARDICO NEUROGENICO</w:t>
                </w:r>
                <w:r>
                  <w:rPr>
                    <w:i/>
                    <w:color w:val="2D74B5"/>
                    <w:sz w:val="24"/>
                  </w:rPr>
                  <w:t>- </w:t>
                </w:r>
                <w:r>
                  <w:rPr>
                    <w:i/>
                    <w:color w:val="2D74B5"/>
                    <w:sz w:val="20"/>
                  </w:rPr>
                  <w:t>Jeinny Maroto Fernández</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pt;margin-top:35.147266pt;width:257.55pt;height:13.2pt;mso-position-horizontal-relative:page;mso-position-vertical-relative:page;z-index:-49552" type="#_x0000_t202" filled="false" stroked="false">
          <v:textbox inset="0,0,0,0">
            <w:txbxContent>
              <w:p>
                <w:pPr>
                  <w:spacing w:before="13"/>
                  <w:ind w:left="20" w:right="0" w:firstLine="0"/>
                  <w:jc w:val="left"/>
                  <w:rPr>
                    <w:i/>
                    <w:sz w:val="20"/>
                  </w:rPr>
                </w:pPr>
                <w:r>
                  <w:rPr>
                    <w:i/>
                    <w:color w:val="2D74B5"/>
                    <w:sz w:val="20"/>
                  </w:rPr>
                  <w:t>DELIRIO EN EL ADULTO MAYOR- Karen Meza Elizondo</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pt;margin-top:35.147266pt;width:257.55pt;height:13.2pt;mso-position-horizontal-relative:page;mso-position-vertical-relative:page;z-index:-49528" type="#_x0000_t202" filled="false" stroked="false">
          <v:textbox inset="0,0,0,0">
            <w:txbxContent>
              <w:p>
                <w:pPr>
                  <w:spacing w:before="13"/>
                  <w:ind w:left="20" w:right="0" w:firstLine="0"/>
                  <w:jc w:val="left"/>
                  <w:rPr>
                    <w:i/>
                    <w:sz w:val="20"/>
                  </w:rPr>
                </w:pPr>
                <w:r>
                  <w:rPr>
                    <w:i/>
                    <w:color w:val="2D74B5"/>
                    <w:sz w:val="20"/>
                  </w:rPr>
                  <w:t>DELIRIO EN EL ADULTO MAYOR- Karen Meza Elizondo</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25pt;margin-top:35.147266pt;width:354.6pt;height:13.2pt;mso-position-horizontal-relative:page;mso-position-vertical-relative:page;z-index:-49504" type="#_x0000_t202" filled="false" stroked="false">
          <v:textbox inset="0,0,0,0">
            <w:txbxContent>
              <w:p>
                <w:pPr>
                  <w:spacing w:before="13"/>
                  <w:ind w:left="20" w:right="0" w:firstLine="0"/>
                  <w:jc w:val="left"/>
                  <w:rPr>
                    <w:i/>
                    <w:sz w:val="20"/>
                  </w:rPr>
                </w:pPr>
                <w:r>
                  <w:rPr>
                    <w:i/>
                    <w:color w:val="2D74B5"/>
                    <w:sz w:val="20"/>
                  </w:rPr>
                  <w:t>TRASTORNO DE ANSIEDAD SOCIAL (FOBIA SOCIAL) - Yerlin Elizondo Arias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25pt;margin-top:35.147266pt;width:354.6pt;height:13.2pt;mso-position-horizontal-relative:page;mso-position-vertical-relative:page;z-index:-49480" type="#_x0000_t202" filled="false" stroked="false">
          <v:textbox inset="0,0,0,0">
            <w:txbxContent>
              <w:p>
                <w:pPr>
                  <w:spacing w:before="13"/>
                  <w:ind w:left="20" w:right="0" w:firstLine="0"/>
                  <w:jc w:val="left"/>
                  <w:rPr>
                    <w:i/>
                    <w:sz w:val="20"/>
                  </w:rPr>
                </w:pPr>
                <w:r>
                  <w:rPr>
                    <w:i/>
                    <w:color w:val="2D74B5"/>
                    <w:sz w:val="20"/>
                  </w:rPr>
                  <w:t>TRASTORNO DE ANSIEDAD SOCIAL (FOBIA SOCIAL) - Yerlin Elizondo Arias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25pt;margin-top:35.147266pt;width:354.65pt;height:13.2pt;mso-position-horizontal-relative:page;mso-position-vertical-relative:page;z-index:-49456" type="#_x0000_t202" filled="false" stroked="false">
          <v:textbox inset="0,0,0,0">
            <w:txbxContent>
              <w:p>
                <w:pPr>
                  <w:spacing w:before="13"/>
                  <w:ind w:left="20" w:right="0" w:firstLine="0"/>
                  <w:jc w:val="left"/>
                  <w:rPr>
                    <w:i/>
                    <w:sz w:val="20"/>
                  </w:rPr>
                </w:pPr>
                <w:r>
                  <w:rPr>
                    <w:i/>
                    <w:color w:val="2D74B5"/>
                    <w:sz w:val="20"/>
                  </w:rPr>
                  <w:t>TRASTORNO DE ANSIEDAD SOCIAL (FOBIA SOCIAL) - Yerlin Elizondo Arias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25pt;margin-top:35.147266pt;width:354.6pt;height:13.2pt;mso-position-horizontal-relative:page;mso-position-vertical-relative:page;z-index:-49432" type="#_x0000_t202" filled="false" stroked="false">
          <v:textbox inset="0,0,0,0">
            <w:txbxContent>
              <w:p>
                <w:pPr>
                  <w:spacing w:before="13"/>
                  <w:ind w:left="20" w:right="0" w:firstLine="0"/>
                  <w:jc w:val="left"/>
                  <w:rPr>
                    <w:i/>
                    <w:sz w:val="20"/>
                  </w:rPr>
                </w:pPr>
                <w:r>
                  <w:rPr>
                    <w:i/>
                    <w:color w:val="2D74B5"/>
                    <w:sz w:val="20"/>
                  </w:rPr>
                  <w:t>TRASTORNO DE ANSIEDAD SOCIAL (FOBIA SOCIAL) - Yerlin Elizondo Arias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49408"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49384"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49360"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899994pt;margin-top:35.147266pt;width:229.35pt;height:13.2pt;mso-position-horizontal-relative:page;mso-position-vertical-relative:page;z-index:-49744" type="#_x0000_t202" filled="false" stroked="false">
          <v:textbox inset="0,0,0,0">
            <w:txbxContent>
              <w:p>
                <w:pPr>
                  <w:spacing w:before="13"/>
                  <w:ind w:left="20" w:right="0" w:firstLine="0"/>
                  <w:jc w:val="left"/>
                  <w:rPr>
                    <w:i/>
                    <w:sz w:val="20"/>
                  </w:rPr>
                </w:pPr>
                <w:r>
                  <w:rPr>
                    <w:i/>
                    <w:color w:val="2D74B5"/>
                    <w:sz w:val="20"/>
                  </w:rPr>
                  <w:t>DISECCION AORTICA – Aurora Ugalde Rodríguez</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899994pt;margin-top:35.147266pt;width:229.35pt;height:13.2pt;mso-position-horizontal-relative:page;mso-position-vertical-relative:page;z-index:-49720" type="#_x0000_t202" filled="false" stroked="false">
          <v:textbox inset="0,0,0,0">
            <w:txbxContent>
              <w:p>
                <w:pPr>
                  <w:spacing w:before="13"/>
                  <w:ind w:left="20" w:right="0" w:firstLine="0"/>
                  <w:jc w:val="left"/>
                  <w:rPr>
                    <w:i/>
                    <w:sz w:val="20"/>
                  </w:rPr>
                </w:pPr>
                <w:r>
                  <w:rPr>
                    <w:i/>
                    <w:color w:val="2D74B5"/>
                    <w:sz w:val="20"/>
                  </w:rPr>
                  <w:t>DISECCION AORTICA – Aurora Ugalde Rodríguez</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34.852539pt;width:444.8pt;height:12.1pt;mso-position-horizontal-relative:page;mso-position-vertical-relative:page;z-index:-49696" type="#_x0000_t202" filled="false" stroked="false">
          <v:textbox inset="0,0,0,0">
            <w:txbxContent>
              <w:p>
                <w:pPr>
                  <w:spacing w:before="14"/>
                  <w:ind w:left="20" w:right="0" w:firstLine="0"/>
                  <w:jc w:val="left"/>
                  <w:rPr>
                    <w:i/>
                    <w:sz w:val="18"/>
                  </w:rPr>
                </w:pPr>
                <w:r>
                  <w:rPr>
                    <w:i/>
                    <w:color w:val="2D74B5"/>
                    <w:sz w:val="18"/>
                  </w:rPr>
                  <w:t>ARTRITIS SEPTICA POSTERIOR A PLASTIA DE LIGAMENTO CRUZADO ANTERIOR – Andy Vactory Myers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34.852539pt;width:444.8pt;height:12.1pt;mso-position-horizontal-relative:page;mso-position-vertical-relative:page;z-index:-49672" type="#_x0000_t202" filled="false" stroked="false">
          <v:textbox inset="0,0,0,0">
            <w:txbxContent>
              <w:p>
                <w:pPr>
                  <w:spacing w:before="14"/>
                  <w:ind w:left="20" w:right="0" w:firstLine="0"/>
                  <w:jc w:val="left"/>
                  <w:rPr>
                    <w:i/>
                    <w:sz w:val="18"/>
                  </w:rPr>
                </w:pPr>
                <w:r>
                  <w:rPr>
                    <w:i/>
                    <w:color w:val="2D74B5"/>
                    <w:sz w:val="18"/>
                  </w:rPr>
                  <w:t>ARTRITIS SEPTICA POSTERIOR A PLASTIA DE LIGAMENTO CRUZADO ANTERIOR – Andy Vactory Myers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34.852539pt;width:444.8pt;height:12.1pt;mso-position-horizontal-relative:page;mso-position-vertical-relative:page;z-index:-49648" type="#_x0000_t202" filled="false" stroked="false">
          <v:textbox inset="0,0,0,0">
            <w:txbxContent>
              <w:p>
                <w:pPr>
                  <w:spacing w:before="14"/>
                  <w:ind w:left="20" w:right="0" w:firstLine="0"/>
                  <w:jc w:val="left"/>
                  <w:rPr>
                    <w:i/>
                    <w:sz w:val="18"/>
                  </w:rPr>
                </w:pPr>
                <w:r>
                  <w:rPr>
                    <w:i/>
                    <w:color w:val="2D74B5"/>
                    <w:sz w:val="18"/>
                  </w:rPr>
                  <w:t>ARTRITIS SEPTICA POSTERIOR A PLASTIA DE LIGAMENTO CRUZADO ANTERIOR – Andy Vactory Myers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9">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8">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7">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6">
    <w:multiLevelType w:val="hybridMultilevel"/>
    <w:lvl w:ilvl="0">
      <w:start w:val="1"/>
      <w:numFmt w:val="upperLetter"/>
      <w:lvlText w:val="%1."/>
      <w:lvlJc w:val="left"/>
      <w:pPr>
        <w:ind w:left="1181" w:hanging="361"/>
        <w:jc w:val="right"/>
      </w:pPr>
      <w:rPr>
        <w:rFonts w:hint="default" w:ascii="Arial" w:hAnsi="Arial" w:eastAsia="Arial" w:cs="Arial"/>
        <w:spacing w:val="0"/>
        <w:w w:val="100"/>
        <w:sz w:val="22"/>
        <w:szCs w:val="22"/>
      </w:rPr>
    </w:lvl>
    <w:lvl w:ilvl="1">
      <w:start w:val="0"/>
      <w:numFmt w:val="bullet"/>
      <w:lvlText w:val="•"/>
      <w:lvlJc w:val="left"/>
      <w:pPr>
        <w:ind w:left="1705" w:hanging="361"/>
      </w:pPr>
      <w:rPr>
        <w:rFonts w:hint="default"/>
      </w:rPr>
    </w:lvl>
    <w:lvl w:ilvl="2">
      <w:start w:val="0"/>
      <w:numFmt w:val="bullet"/>
      <w:lvlText w:val="•"/>
      <w:lvlJc w:val="left"/>
      <w:pPr>
        <w:ind w:left="2230" w:hanging="361"/>
      </w:pPr>
      <w:rPr>
        <w:rFonts w:hint="default"/>
      </w:rPr>
    </w:lvl>
    <w:lvl w:ilvl="3">
      <w:start w:val="0"/>
      <w:numFmt w:val="bullet"/>
      <w:lvlText w:val="•"/>
      <w:lvlJc w:val="left"/>
      <w:pPr>
        <w:ind w:left="2756" w:hanging="361"/>
      </w:pPr>
      <w:rPr>
        <w:rFonts w:hint="default"/>
      </w:rPr>
    </w:lvl>
    <w:lvl w:ilvl="4">
      <w:start w:val="0"/>
      <w:numFmt w:val="bullet"/>
      <w:lvlText w:val="•"/>
      <w:lvlJc w:val="left"/>
      <w:pPr>
        <w:ind w:left="3281" w:hanging="361"/>
      </w:pPr>
      <w:rPr>
        <w:rFonts w:hint="default"/>
      </w:rPr>
    </w:lvl>
    <w:lvl w:ilvl="5">
      <w:start w:val="0"/>
      <w:numFmt w:val="bullet"/>
      <w:lvlText w:val="•"/>
      <w:lvlJc w:val="left"/>
      <w:pPr>
        <w:ind w:left="3807" w:hanging="361"/>
      </w:pPr>
      <w:rPr>
        <w:rFonts w:hint="default"/>
      </w:rPr>
    </w:lvl>
    <w:lvl w:ilvl="6">
      <w:start w:val="0"/>
      <w:numFmt w:val="bullet"/>
      <w:lvlText w:val="•"/>
      <w:lvlJc w:val="left"/>
      <w:pPr>
        <w:ind w:left="4332" w:hanging="361"/>
      </w:pPr>
      <w:rPr>
        <w:rFonts w:hint="default"/>
      </w:rPr>
    </w:lvl>
    <w:lvl w:ilvl="7">
      <w:start w:val="0"/>
      <w:numFmt w:val="bullet"/>
      <w:lvlText w:val="•"/>
      <w:lvlJc w:val="left"/>
      <w:pPr>
        <w:ind w:left="4858" w:hanging="361"/>
      </w:pPr>
      <w:rPr>
        <w:rFonts w:hint="default"/>
      </w:rPr>
    </w:lvl>
    <w:lvl w:ilvl="8">
      <w:start w:val="0"/>
      <w:numFmt w:val="bullet"/>
      <w:lvlText w:val="•"/>
      <w:lvlJc w:val="left"/>
      <w:pPr>
        <w:ind w:left="5383" w:hanging="361"/>
      </w:pPr>
      <w:rPr>
        <w:rFonts w:hint="default"/>
      </w:rPr>
    </w:lvl>
  </w:abstractNum>
  <w:abstractNum w:abstractNumId="5">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4">
    <w:multiLevelType w:val="hybridMultilevel"/>
    <w:lvl w:ilvl="0">
      <w:start w:val="0"/>
      <w:numFmt w:val="bullet"/>
      <w:lvlText w:val="•"/>
      <w:lvlJc w:val="left"/>
      <w:pPr>
        <w:ind w:left="1397" w:hanging="361"/>
      </w:pPr>
      <w:rPr>
        <w:rFonts w:hint="default" w:ascii="Arial" w:hAnsi="Arial" w:eastAsia="Arial" w:cs="Arial"/>
        <w:spacing w:val="-7"/>
        <w:w w:val="99"/>
        <w:sz w:val="22"/>
        <w:szCs w:val="22"/>
      </w:rPr>
    </w:lvl>
    <w:lvl w:ilvl="1">
      <w:start w:val="0"/>
      <w:numFmt w:val="bullet"/>
      <w:lvlText w:val="•"/>
      <w:lvlJc w:val="left"/>
      <w:pPr>
        <w:ind w:left="2160" w:hanging="360"/>
      </w:pPr>
      <w:rPr>
        <w:rFonts w:hint="default" w:ascii="Arial" w:hAnsi="Arial" w:eastAsia="Arial" w:cs="Arial"/>
        <w:spacing w:val="-29"/>
        <w:w w:val="99"/>
        <w:sz w:val="22"/>
        <w:szCs w:val="22"/>
      </w:rPr>
    </w:lvl>
    <w:lvl w:ilvl="2">
      <w:start w:val="0"/>
      <w:numFmt w:val="bullet"/>
      <w:lvlText w:val="•"/>
      <w:lvlJc w:val="left"/>
      <w:pPr>
        <w:ind w:left="2521" w:hanging="361"/>
      </w:pPr>
      <w:rPr>
        <w:rFonts w:hint="default" w:ascii="Arial" w:hAnsi="Arial" w:eastAsia="Arial" w:cs="Arial"/>
        <w:spacing w:val="-5"/>
        <w:w w:val="99"/>
        <w:sz w:val="22"/>
        <w:szCs w:val="22"/>
      </w:rPr>
    </w:lvl>
    <w:lvl w:ilvl="3">
      <w:start w:val="0"/>
      <w:numFmt w:val="bullet"/>
      <w:lvlText w:val="•"/>
      <w:lvlJc w:val="left"/>
      <w:pPr>
        <w:ind w:left="2199" w:hanging="361"/>
      </w:pPr>
      <w:rPr>
        <w:rFonts w:hint="default"/>
      </w:rPr>
    </w:lvl>
    <w:lvl w:ilvl="4">
      <w:start w:val="0"/>
      <w:numFmt w:val="bullet"/>
      <w:lvlText w:val="•"/>
      <w:lvlJc w:val="left"/>
      <w:pPr>
        <w:ind w:left="1879" w:hanging="361"/>
      </w:pPr>
      <w:rPr>
        <w:rFonts w:hint="default"/>
      </w:rPr>
    </w:lvl>
    <w:lvl w:ilvl="5">
      <w:start w:val="0"/>
      <w:numFmt w:val="bullet"/>
      <w:lvlText w:val="•"/>
      <w:lvlJc w:val="left"/>
      <w:pPr>
        <w:ind w:left="1558" w:hanging="361"/>
      </w:pPr>
      <w:rPr>
        <w:rFonts w:hint="default"/>
      </w:rPr>
    </w:lvl>
    <w:lvl w:ilvl="6">
      <w:start w:val="0"/>
      <w:numFmt w:val="bullet"/>
      <w:lvlText w:val="•"/>
      <w:lvlJc w:val="left"/>
      <w:pPr>
        <w:ind w:left="1238" w:hanging="361"/>
      </w:pPr>
      <w:rPr>
        <w:rFonts w:hint="default"/>
      </w:rPr>
    </w:lvl>
    <w:lvl w:ilvl="7">
      <w:start w:val="0"/>
      <w:numFmt w:val="bullet"/>
      <w:lvlText w:val="•"/>
      <w:lvlJc w:val="left"/>
      <w:pPr>
        <w:ind w:left="917" w:hanging="361"/>
      </w:pPr>
      <w:rPr>
        <w:rFonts w:hint="default"/>
      </w:rPr>
    </w:lvl>
    <w:lvl w:ilvl="8">
      <w:start w:val="0"/>
      <w:numFmt w:val="bullet"/>
      <w:lvlText w:val="•"/>
      <w:lvlJc w:val="left"/>
      <w:pPr>
        <w:ind w:left="597" w:hanging="361"/>
      </w:pPr>
      <w:rPr>
        <w:rFonts w:hint="default"/>
      </w:rPr>
    </w:lvl>
  </w:abstractNum>
  <w:abstractNum w:abstractNumId="3">
    <w:multiLevelType w:val="hybridMultilevel"/>
    <w:lvl w:ilvl="0">
      <w:start w:val="1"/>
      <w:numFmt w:val="upperLetter"/>
      <w:lvlText w:val="%1."/>
      <w:lvlJc w:val="left"/>
      <w:pPr>
        <w:ind w:left="678" w:hanging="392"/>
        <w:jc w:val="left"/>
      </w:pPr>
      <w:rPr>
        <w:rFonts w:hint="default" w:ascii="Arial" w:hAnsi="Arial" w:eastAsia="Arial" w:cs="Arial"/>
        <w:b/>
        <w:bCs/>
        <w:i/>
        <w:spacing w:val="-28"/>
        <w:w w:val="99"/>
        <w:sz w:val="22"/>
        <w:szCs w:val="22"/>
      </w:rPr>
    </w:lvl>
    <w:lvl w:ilvl="1">
      <w:start w:val="0"/>
      <w:numFmt w:val="bullet"/>
      <w:lvlText w:val=""/>
      <w:lvlJc w:val="left"/>
      <w:pPr>
        <w:ind w:left="1800" w:hanging="360"/>
      </w:pPr>
      <w:rPr>
        <w:rFonts w:hint="default"/>
        <w:w w:val="100"/>
      </w:rPr>
    </w:lvl>
    <w:lvl w:ilvl="2">
      <w:start w:val="0"/>
      <w:numFmt w:val="bullet"/>
      <w:lvlText w:val="•"/>
      <w:lvlJc w:val="left"/>
      <w:pPr>
        <w:ind w:left="2315" w:hanging="360"/>
      </w:pPr>
      <w:rPr>
        <w:rFonts w:hint="default"/>
      </w:rPr>
    </w:lvl>
    <w:lvl w:ilvl="3">
      <w:start w:val="0"/>
      <w:numFmt w:val="bullet"/>
      <w:lvlText w:val="•"/>
      <w:lvlJc w:val="left"/>
      <w:pPr>
        <w:ind w:left="2830" w:hanging="360"/>
      </w:pPr>
      <w:rPr>
        <w:rFonts w:hint="default"/>
      </w:rPr>
    </w:lvl>
    <w:lvl w:ilvl="4">
      <w:start w:val="0"/>
      <w:numFmt w:val="bullet"/>
      <w:lvlText w:val="•"/>
      <w:lvlJc w:val="left"/>
      <w:pPr>
        <w:ind w:left="3345" w:hanging="360"/>
      </w:pPr>
      <w:rPr>
        <w:rFonts w:hint="default"/>
      </w:rPr>
    </w:lvl>
    <w:lvl w:ilvl="5">
      <w:start w:val="0"/>
      <w:numFmt w:val="bullet"/>
      <w:lvlText w:val="•"/>
      <w:lvlJc w:val="left"/>
      <w:pPr>
        <w:ind w:left="3860" w:hanging="360"/>
      </w:pPr>
      <w:rPr>
        <w:rFonts w:hint="default"/>
      </w:rPr>
    </w:lvl>
    <w:lvl w:ilvl="6">
      <w:start w:val="0"/>
      <w:numFmt w:val="bullet"/>
      <w:lvlText w:val="•"/>
      <w:lvlJc w:val="left"/>
      <w:pPr>
        <w:ind w:left="4375" w:hanging="360"/>
      </w:pPr>
      <w:rPr>
        <w:rFonts w:hint="default"/>
      </w:rPr>
    </w:lvl>
    <w:lvl w:ilvl="7">
      <w:start w:val="0"/>
      <w:numFmt w:val="bullet"/>
      <w:lvlText w:val="•"/>
      <w:lvlJc w:val="left"/>
      <w:pPr>
        <w:ind w:left="4891" w:hanging="360"/>
      </w:pPr>
      <w:rPr>
        <w:rFonts w:hint="default"/>
      </w:rPr>
    </w:lvl>
    <w:lvl w:ilvl="8">
      <w:start w:val="0"/>
      <w:numFmt w:val="bullet"/>
      <w:lvlText w:val="•"/>
      <w:lvlJc w:val="left"/>
      <w:pPr>
        <w:ind w:left="5406" w:hanging="360"/>
      </w:pPr>
      <w:rPr>
        <w:rFonts w:hint="default"/>
      </w:rPr>
    </w:lvl>
  </w:abstractNum>
  <w:abstractNum w:abstractNumId="2">
    <w:multiLevelType w:val="hybridMultilevel"/>
    <w:lvl w:ilvl="0">
      <w:start w:val="0"/>
      <w:numFmt w:val="bullet"/>
      <w:lvlText w:val="•"/>
      <w:lvlJc w:val="left"/>
      <w:pPr>
        <w:ind w:left="678" w:hanging="244"/>
      </w:pPr>
      <w:rPr>
        <w:rFonts w:hint="default" w:ascii="Arial" w:hAnsi="Arial" w:eastAsia="Arial" w:cs="Arial"/>
        <w:b/>
        <w:bCs/>
        <w:spacing w:val="-21"/>
        <w:w w:val="99"/>
        <w:sz w:val="22"/>
        <w:szCs w:val="22"/>
      </w:rPr>
    </w:lvl>
    <w:lvl w:ilvl="1">
      <w:start w:val="0"/>
      <w:numFmt w:val="bullet"/>
      <w:lvlText w:val="•"/>
      <w:lvlJc w:val="left"/>
      <w:pPr>
        <w:ind w:left="1255" w:hanging="244"/>
      </w:pPr>
      <w:rPr>
        <w:rFonts w:hint="default"/>
      </w:rPr>
    </w:lvl>
    <w:lvl w:ilvl="2">
      <w:start w:val="0"/>
      <w:numFmt w:val="bullet"/>
      <w:lvlText w:val="•"/>
      <w:lvlJc w:val="left"/>
      <w:pPr>
        <w:ind w:left="1831" w:hanging="244"/>
      </w:pPr>
      <w:rPr>
        <w:rFonts w:hint="default"/>
      </w:rPr>
    </w:lvl>
    <w:lvl w:ilvl="3">
      <w:start w:val="0"/>
      <w:numFmt w:val="bullet"/>
      <w:lvlText w:val="•"/>
      <w:lvlJc w:val="left"/>
      <w:pPr>
        <w:ind w:left="2406" w:hanging="244"/>
      </w:pPr>
      <w:rPr>
        <w:rFonts w:hint="default"/>
      </w:rPr>
    </w:lvl>
    <w:lvl w:ilvl="4">
      <w:start w:val="0"/>
      <w:numFmt w:val="bullet"/>
      <w:lvlText w:val="•"/>
      <w:lvlJc w:val="left"/>
      <w:pPr>
        <w:ind w:left="2982" w:hanging="244"/>
      </w:pPr>
      <w:rPr>
        <w:rFonts w:hint="default"/>
      </w:rPr>
    </w:lvl>
    <w:lvl w:ilvl="5">
      <w:start w:val="0"/>
      <w:numFmt w:val="bullet"/>
      <w:lvlText w:val="•"/>
      <w:lvlJc w:val="left"/>
      <w:pPr>
        <w:ind w:left="3558" w:hanging="244"/>
      </w:pPr>
      <w:rPr>
        <w:rFonts w:hint="default"/>
      </w:rPr>
    </w:lvl>
    <w:lvl w:ilvl="6">
      <w:start w:val="0"/>
      <w:numFmt w:val="bullet"/>
      <w:lvlText w:val="•"/>
      <w:lvlJc w:val="left"/>
      <w:pPr>
        <w:ind w:left="4133" w:hanging="244"/>
      </w:pPr>
      <w:rPr>
        <w:rFonts w:hint="default"/>
      </w:rPr>
    </w:lvl>
    <w:lvl w:ilvl="7">
      <w:start w:val="0"/>
      <w:numFmt w:val="bullet"/>
      <w:lvlText w:val="•"/>
      <w:lvlJc w:val="left"/>
      <w:pPr>
        <w:ind w:left="4709" w:hanging="244"/>
      </w:pPr>
      <w:rPr>
        <w:rFonts w:hint="default"/>
      </w:rPr>
    </w:lvl>
    <w:lvl w:ilvl="8">
      <w:start w:val="0"/>
      <w:numFmt w:val="bullet"/>
      <w:lvlText w:val="•"/>
      <w:lvlJc w:val="left"/>
      <w:pPr>
        <w:ind w:left="5285" w:hanging="244"/>
      </w:pPr>
      <w:rPr>
        <w:rFonts w:hint="default"/>
      </w:rPr>
    </w:lvl>
  </w:abstractNum>
  <w:abstractNum w:abstractNumId="1">
    <w:multiLevelType w:val="hybridMultilevel"/>
    <w:lvl w:ilvl="0">
      <w:start w:val="0"/>
      <w:numFmt w:val="bullet"/>
      <w:lvlText w:val=""/>
      <w:lvlJc w:val="left"/>
      <w:pPr>
        <w:ind w:left="548" w:hanging="361"/>
      </w:pPr>
      <w:rPr>
        <w:rFonts w:hint="default" w:ascii="Symbol" w:hAnsi="Symbol" w:eastAsia="Symbol" w:cs="Symbol"/>
        <w:w w:val="100"/>
        <w:sz w:val="24"/>
        <w:szCs w:val="24"/>
      </w:rPr>
    </w:lvl>
    <w:lvl w:ilvl="1">
      <w:start w:val="0"/>
      <w:numFmt w:val="bullet"/>
      <w:lvlText w:val="•"/>
      <w:lvlJc w:val="left"/>
      <w:pPr>
        <w:ind w:left="958" w:hanging="361"/>
      </w:pPr>
      <w:rPr>
        <w:rFonts w:hint="default"/>
      </w:rPr>
    </w:lvl>
    <w:lvl w:ilvl="2">
      <w:start w:val="0"/>
      <w:numFmt w:val="bullet"/>
      <w:lvlText w:val="•"/>
      <w:lvlJc w:val="left"/>
      <w:pPr>
        <w:ind w:left="1376" w:hanging="361"/>
      </w:pPr>
      <w:rPr>
        <w:rFonts w:hint="default"/>
      </w:rPr>
    </w:lvl>
    <w:lvl w:ilvl="3">
      <w:start w:val="0"/>
      <w:numFmt w:val="bullet"/>
      <w:lvlText w:val="•"/>
      <w:lvlJc w:val="left"/>
      <w:pPr>
        <w:ind w:left="1794" w:hanging="361"/>
      </w:pPr>
      <w:rPr>
        <w:rFonts w:hint="default"/>
      </w:rPr>
    </w:lvl>
    <w:lvl w:ilvl="4">
      <w:start w:val="0"/>
      <w:numFmt w:val="bullet"/>
      <w:lvlText w:val="•"/>
      <w:lvlJc w:val="left"/>
      <w:pPr>
        <w:ind w:left="2212" w:hanging="361"/>
      </w:pPr>
      <w:rPr>
        <w:rFonts w:hint="default"/>
      </w:rPr>
    </w:lvl>
    <w:lvl w:ilvl="5">
      <w:start w:val="0"/>
      <w:numFmt w:val="bullet"/>
      <w:lvlText w:val="•"/>
      <w:lvlJc w:val="left"/>
      <w:pPr>
        <w:ind w:left="2631" w:hanging="361"/>
      </w:pPr>
      <w:rPr>
        <w:rFonts w:hint="default"/>
      </w:rPr>
    </w:lvl>
    <w:lvl w:ilvl="6">
      <w:start w:val="0"/>
      <w:numFmt w:val="bullet"/>
      <w:lvlText w:val="•"/>
      <w:lvlJc w:val="left"/>
      <w:pPr>
        <w:ind w:left="3049" w:hanging="361"/>
      </w:pPr>
      <w:rPr>
        <w:rFonts w:hint="default"/>
      </w:rPr>
    </w:lvl>
    <w:lvl w:ilvl="7">
      <w:start w:val="0"/>
      <w:numFmt w:val="bullet"/>
      <w:lvlText w:val="•"/>
      <w:lvlJc w:val="left"/>
      <w:pPr>
        <w:ind w:left="3467" w:hanging="361"/>
      </w:pPr>
      <w:rPr>
        <w:rFonts w:hint="default"/>
      </w:rPr>
    </w:lvl>
    <w:lvl w:ilvl="8">
      <w:start w:val="0"/>
      <w:numFmt w:val="bullet"/>
      <w:lvlText w:val="•"/>
      <w:lvlJc w:val="left"/>
      <w:pPr>
        <w:ind w:left="3885"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76" w:hanging="361"/>
      </w:pPr>
      <w:rPr>
        <w:rFonts w:hint="default"/>
      </w:rPr>
    </w:lvl>
    <w:lvl w:ilvl="2">
      <w:start w:val="0"/>
      <w:numFmt w:val="bullet"/>
      <w:lvlText w:val="•"/>
      <w:lvlJc w:val="left"/>
      <w:pPr>
        <w:ind w:left="1392" w:hanging="361"/>
      </w:pPr>
      <w:rPr>
        <w:rFonts w:hint="default"/>
      </w:rPr>
    </w:lvl>
    <w:lvl w:ilvl="3">
      <w:start w:val="0"/>
      <w:numFmt w:val="bullet"/>
      <w:lvlText w:val="•"/>
      <w:lvlJc w:val="left"/>
      <w:pPr>
        <w:ind w:left="1808" w:hanging="361"/>
      </w:pPr>
      <w:rPr>
        <w:rFonts w:hint="default"/>
      </w:rPr>
    </w:lvl>
    <w:lvl w:ilvl="4">
      <w:start w:val="0"/>
      <w:numFmt w:val="bullet"/>
      <w:lvlText w:val="•"/>
      <w:lvlJc w:val="left"/>
      <w:pPr>
        <w:ind w:left="2224" w:hanging="361"/>
      </w:pPr>
      <w:rPr>
        <w:rFonts w:hint="default"/>
      </w:rPr>
    </w:lvl>
    <w:lvl w:ilvl="5">
      <w:start w:val="0"/>
      <w:numFmt w:val="bullet"/>
      <w:lvlText w:val="•"/>
      <w:lvlJc w:val="left"/>
      <w:pPr>
        <w:ind w:left="2641" w:hanging="361"/>
      </w:pPr>
      <w:rPr>
        <w:rFonts w:hint="default"/>
      </w:rPr>
    </w:lvl>
    <w:lvl w:ilvl="6">
      <w:start w:val="0"/>
      <w:numFmt w:val="bullet"/>
      <w:lvlText w:val="•"/>
      <w:lvlJc w:val="left"/>
      <w:pPr>
        <w:ind w:left="3057" w:hanging="361"/>
      </w:pPr>
      <w:rPr>
        <w:rFonts w:hint="default"/>
      </w:rPr>
    </w:lvl>
    <w:lvl w:ilvl="7">
      <w:start w:val="0"/>
      <w:numFmt w:val="bullet"/>
      <w:lvlText w:val="•"/>
      <w:lvlJc w:val="left"/>
      <w:pPr>
        <w:ind w:left="3473" w:hanging="361"/>
      </w:pPr>
      <w:rPr>
        <w:rFonts w:hint="default"/>
      </w:rPr>
    </w:lvl>
    <w:lvl w:ilvl="8">
      <w:start w:val="0"/>
      <w:numFmt w:val="bullet"/>
      <w:lvlText w:val="•"/>
      <w:lvlJc w:val="left"/>
      <w:pPr>
        <w:ind w:left="3889" w:hanging="361"/>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70"/>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332" w:right="515"/>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spacing w:before="6"/>
      <w:ind w:left="1721" w:right="1732"/>
      <w:jc w:val="center"/>
      <w:outlineLvl w:val="5"/>
    </w:pPr>
    <w:rPr>
      <w:rFonts w:ascii="Arial" w:hAnsi="Arial" w:eastAsia="Arial" w:cs="Arial"/>
      <w:sz w:val="24"/>
      <w:szCs w:val="24"/>
    </w:rPr>
  </w:style>
  <w:style w:styleId="Heading6" w:type="paragraph">
    <w:name w:val="Heading 6"/>
    <w:basedOn w:val="Normal"/>
    <w:uiPriority w:val="1"/>
    <w:qFormat/>
    <w:pPr>
      <w:ind w:left="2160" w:hanging="360"/>
      <w:outlineLvl w:val="6"/>
    </w:pPr>
    <w:rPr>
      <w:rFonts w:ascii="Arial" w:hAnsi="Arial" w:eastAsia="Arial" w:cs="Arial"/>
      <w:b/>
      <w:bCs/>
      <w:sz w:val="22"/>
      <w:szCs w:val="22"/>
    </w:rPr>
  </w:style>
  <w:style w:styleId="ListParagraph" w:type="paragraph">
    <w:name w:val="List Paragraph"/>
    <w:basedOn w:val="Normal"/>
    <w:uiPriority w:val="1"/>
    <w:qFormat/>
    <w:pPr>
      <w:ind w:left="1800" w:hanging="360"/>
      <w:jc w:val="both"/>
    </w:pPr>
    <w:rPr>
      <w:rFonts w:ascii="Arial" w:hAnsi="Arial" w:eastAsia="Arial" w:cs="Arial"/>
    </w:rPr>
  </w:style>
  <w:style w:styleId="TableParagraph" w:type="paragraph">
    <w:name w:val="Table Paragraph"/>
    <w:basedOn w:val="Normal"/>
    <w:uiPriority w:val="1"/>
    <w:qFormat/>
    <w:pPr>
      <w:ind w:left="2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revistamedicasinergia@gmail.com" TargetMode="External"/><Relationship Id="rId25" Type="http://schemas.openxmlformats.org/officeDocument/2006/relationships/hyperlink" Target="mailto:Sociedaddemedicosdeamerica@hotmail.com" TargetMode="External"/><Relationship Id="rId26" Type="http://schemas.openxmlformats.org/officeDocument/2006/relationships/image" Target="media/image20.png"/><Relationship Id="rId27" Type="http://schemas.openxmlformats.org/officeDocument/2006/relationships/footer" Target="footer1.xml"/><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footer" Target="footer2.xml"/><Relationship Id="rId35" Type="http://schemas.openxmlformats.org/officeDocument/2006/relationships/image" Target="media/image29.png"/><Relationship Id="rId36" Type="http://schemas.openxmlformats.org/officeDocument/2006/relationships/image" Target="media/image22.png"/><Relationship Id="rId37" Type="http://schemas.openxmlformats.org/officeDocument/2006/relationships/image" Target="media/image30.png"/><Relationship Id="rId38" Type="http://schemas.openxmlformats.org/officeDocument/2006/relationships/footer" Target="footer3.xml"/><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header" Target="header1.xml"/><Relationship Id="rId42" Type="http://schemas.openxmlformats.org/officeDocument/2006/relationships/footer" Target="footer4.xml"/><Relationship Id="rId43" Type="http://schemas.openxmlformats.org/officeDocument/2006/relationships/image" Target="media/image33.png"/><Relationship Id="rId44" Type="http://schemas.openxmlformats.org/officeDocument/2006/relationships/footer" Target="footer5.xml"/><Relationship Id="rId45" Type="http://schemas.openxmlformats.org/officeDocument/2006/relationships/image" Target="media/image34.jpeg"/><Relationship Id="rId46" Type="http://schemas.openxmlformats.org/officeDocument/2006/relationships/header" Target="header2.xml"/><Relationship Id="rId47" Type="http://schemas.openxmlformats.org/officeDocument/2006/relationships/footer" Target="footer6.xml"/><Relationship Id="rId48" Type="http://schemas.openxmlformats.org/officeDocument/2006/relationships/header" Target="header3.xml"/><Relationship Id="rId49" Type="http://schemas.openxmlformats.org/officeDocument/2006/relationships/footer" Target="footer7.xml"/><Relationship Id="rId50" Type="http://schemas.openxmlformats.org/officeDocument/2006/relationships/image" Target="media/image21.png"/><Relationship Id="rId51" Type="http://schemas.openxmlformats.org/officeDocument/2006/relationships/header" Target="header4.xml"/><Relationship Id="rId52" Type="http://schemas.openxmlformats.org/officeDocument/2006/relationships/footer" Target="footer8.xml"/><Relationship Id="rId53" Type="http://schemas.openxmlformats.org/officeDocument/2006/relationships/image" Target="media/image35.jpeg"/><Relationship Id="rId54" Type="http://schemas.openxmlformats.org/officeDocument/2006/relationships/header" Target="header5.xml"/><Relationship Id="rId55" Type="http://schemas.openxmlformats.org/officeDocument/2006/relationships/footer" Target="footer9.xml"/><Relationship Id="rId56" Type="http://schemas.openxmlformats.org/officeDocument/2006/relationships/image" Target="media/image36.png"/><Relationship Id="rId57" Type="http://schemas.openxmlformats.org/officeDocument/2006/relationships/image" Target="media/image37.png"/><Relationship Id="rId58" Type="http://schemas.openxmlformats.org/officeDocument/2006/relationships/header" Target="header6.xml"/><Relationship Id="rId59" Type="http://schemas.openxmlformats.org/officeDocument/2006/relationships/footer" Target="footer10.xml"/><Relationship Id="rId60" Type="http://schemas.openxmlformats.org/officeDocument/2006/relationships/header" Target="header7.xml"/><Relationship Id="rId61" Type="http://schemas.openxmlformats.org/officeDocument/2006/relationships/footer" Target="footer11.xml"/><Relationship Id="rId62" Type="http://schemas.openxmlformats.org/officeDocument/2006/relationships/header" Target="header8.xml"/><Relationship Id="rId63" Type="http://schemas.openxmlformats.org/officeDocument/2006/relationships/footer" Target="footer12.xml"/><Relationship Id="rId64" Type="http://schemas.openxmlformats.org/officeDocument/2006/relationships/header" Target="header9.xml"/><Relationship Id="rId65" Type="http://schemas.openxmlformats.org/officeDocument/2006/relationships/footer" Target="footer13.xml"/><Relationship Id="rId66" Type="http://schemas.openxmlformats.org/officeDocument/2006/relationships/image" Target="media/image38.png"/><Relationship Id="rId67" Type="http://schemas.openxmlformats.org/officeDocument/2006/relationships/hyperlink" Target="mailto:jeinnymaro@hotmail.com" TargetMode="External"/><Relationship Id="rId68" Type="http://schemas.openxmlformats.org/officeDocument/2006/relationships/image" Target="media/image39.png"/><Relationship Id="rId69" Type="http://schemas.openxmlformats.org/officeDocument/2006/relationships/header" Target="header10.xml"/><Relationship Id="rId70" Type="http://schemas.openxmlformats.org/officeDocument/2006/relationships/footer" Target="footer14.xml"/><Relationship Id="rId71" Type="http://schemas.openxmlformats.org/officeDocument/2006/relationships/header" Target="header11.xml"/><Relationship Id="rId72" Type="http://schemas.openxmlformats.org/officeDocument/2006/relationships/footer" Target="footer15.xml"/><Relationship Id="rId73" Type="http://schemas.openxmlformats.org/officeDocument/2006/relationships/header" Target="header12.xml"/><Relationship Id="rId74" Type="http://schemas.openxmlformats.org/officeDocument/2006/relationships/footer" Target="footer16.xml"/><Relationship Id="rId75" Type="http://schemas.openxmlformats.org/officeDocument/2006/relationships/header" Target="header13.xml"/><Relationship Id="rId76" Type="http://schemas.openxmlformats.org/officeDocument/2006/relationships/footer" Target="footer17.xml"/><Relationship Id="rId77" Type="http://schemas.openxmlformats.org/officeDocument/2006/relationships/image" Target="media/image40.png"/><Relationship Id="rId78" Type="http://schemas.openxmlformats.org/officeDocument/2006/relationships/image" Target="media/image41.png"/><Relationship Id="rId79" Type="http://schemas.openxmlformats.org/officeDocument/2006/relationships/hyperlink" Target="https://www.google.com/url?sa=t&amp;amp;rct=j&amp;amp;q&amp;amp;esrc=s&amp;amp;source=web&amp;amp;cd=1&amp;amp;cad=rja&amp;amp;uact=8&amp;amp;ved=0ahUKEwj4usSEoNXMAhUCqx4KHZITBxMQFgghMAA&amp;amp;url=http%3A%2F%2Fwww.nejm.org%2Fdoi%2Ffull%2F10.1056%2FNEJMra052321&amp;amp;usg=AFQjCNGoCEbLioOMdS4kAd9HWJQvWRYeng&amp;amp;sig2=_4IhDrQ-WS11eRvQNsGwLA&amp;amp;bvm=bv.121658157%2Cd.dmo" TargetMode="External"/><Relationship Id="rId80" Type="http://schemas.openxmlformats.org/officeDocument/2006/relationships/hyperlink" Target="mailto:kavanessa3@hotmail.com" TargetMode="External"/><Relationship Id="rId81" Type="http://schemas.openxmlformats.org/officeDocument/2006/relationships/header" Target="header14.xml"/><Relationship Id="rId82" Type="http://schemas.openxmlformats.org/officeDocument/2006/relationships/footer" Target="footer18.xml"/><Relationship Id="rId83" Type="http://schemas.openxmlformats.org/officeDocument/2006/relationships/header" Target="header15.xml"/><Relationship Id="rId84" Type="http://schemas.openxmlformats.org/officeDocument/2006/relationships/footer" Target="footer19.xml"/><Relationship Id="rId85" Type="http://schemas.openxmlformats.org/officeDocument/2006/relationships/header" Target="header16.xml"/><Relationship Id="rId86" Type="http://schemas.openxmlformats.org/officeDocument/2006/relationships/footer" Target="footer20.xml"/><Relationship Id="rId87" Type="http://schemas.openxmlformats.org/officeDocument/2006/relationships/image" Target="media/image42.png"/><Relationship Id="rId88" Type="http://schemas.openxmlformats.org/officeDocument/2006/relationships/image" Target="media/image43.png"/><Relationship Id="rId89" Type="http://schemas.openxmlformats.org/officeDocument/2006/relationships/header" Target="header17.xml"/><Relationship Id="rId90" Type="http://schemas.openxmlformats.org/officeDocument/2006/relationships/footer" Target="footer21.xml"/><Relationship Id="rId91" Type="http://schemas.openxmlformats.org/officeDocument/2006/relationships/header" Target="header18.xml"/><Relationship Id="rId92" Type="http://schemas.openxmlformats.org/officeDocument/2006/relationships/footer" Target="footer22.xml"/><Relationship Id="rId93" Type="http://schemas.openxmlformats.org/officeDocument/2006/relationships/header" Target="header19.xml"/><Relationship Id="rId94" Type="http://schemas.openxmlformats.org/officeDocument/2006/relationships/footer" Target="footer23.xml"/><Relationship Id="rId95" Type="http://schemas.openxmlformats.org/officeDocument/2006/relationships/header" Target="header20.xml"/><Relationship Id="rId96" Type="http://schemas.openxmlformats.org/officeDocument/2006/relationships/footer" Target="footer24.xml"/><Relationship Id="rId97" Type="http://schemas.openxmlformats.org/officeDocument/2006/relationships/header" Target="header21.xml"/><Relationship Id="rId98" Type="http://schemas.openxmlformats.org/officeDocument/2006/relationships/footer" Target="footer25.xml"/><Relationship Id="rId99" Type="http://schemas.openxmlformats.org/officeDocument/2006/relationships/hyperlink" Target="http://www.icmje.org/" TargetMode="External"/><Relationship Id="rId100" Type="http://schemas.openxmlformats.org/officeDocument/2006/relationships/header" Target="header22.xml"/><Relationship Id="rId101" Type="http://schemas.openxmlformats.org/officeDocument/2006/relationships/footer" Target="footer26.xml"/><Relationship Id="rId102" Type="http://schemas.openxmlformats.org/officeDocument/2006/relationships/hyperlink" Target="http://www.scielo.cl/scielo.php?script=sci_arttext&amp;amp;pid=S0370-41062013000400012&amp;amp;lng=es&amp;amp;tlng=es" TargetMode="External"/><Relationship Id="rId103" Type="http://schemas.openxmlformats.org/officeDocument/2006/relationships/header" Target="header23.xml"/><Relationship Id="rId104" Type="http://schemas.openxmlformats.org/officeDocument/2006/relationships/footer" Target="footer27.xml"/><Relationship Id="rId105" Type="http://schemas.openxmlformats.org/officeDocument/2006/relationships/header" Target="header24.xml"/><Relationship Id="rId106" Type="http://schemas.openxmlformats.org/officeDocument/2006/relationships/footer" Target="footer28.xml"/><Relationship Id="rId107" Type="http://schemas.openxmlformats.org/officeDocument/2006/relationships/image" Target="media/image44.png"/><Relationship Id="rId108" Type="http://schemas.openxmlformats.org/officeDocument/2006/relationships/image" Target="media/image45.jpeg"/><Relationship Id="rId109" Type="http://schemas.openxmlformats.org/officeDocument/2006/relationships/header" Target="header25.xml"/><Relationship Id="rId110" Type="http://schemas.openxmlformats.org/officeDocument/2006/relationships/footer" Target="footer29.xml"/><Relationship Id="rId111" Type="http://schemas.openxmlformats.org/officeDocument/2006/relationships/image" Target="media/image46.png"/><Relationship Id="rId112" Type="http://schemas.openxmlformats.org/officeDocument/2006/relationships/image" Target="media/image47.png"/><Relationship Id="rId1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s>

</file>

<file path=word/_rels/footer3.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s>

</file>

<file path=word/_rels/footer5.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2018-03-26T21:01:43Z</dcterms:created>
  <dcterms:modified xsi:type="dcterms:W3CDTF">2018-03-26T21:01:43Z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