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21.xml" ContentType="application/vnd.openxmlformats-officedocument.wordprocessingml.footer+xml"/>
  <Override PartName="/word/header19.xml" ContentType="application/vnd.openxmlformats-officedocument.wordprocessingml.header+xml"/>
  <Override PartName="/word/footer22.xml" ContentType="application/vnd.openxmlformats-officedocument.wordprocessingml.footer+xml"/>
  <Default Extension="jpeg" ContentType="image/jpeg"/>
  <Override PartName="/word/header20.xml" ContentType="application/vnd.openxmlformats-officedocument.wordprocessingml.header+xml"/>
  <Override PartName="/word/footer2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ind w:left="1732"/>
      </w:pPr>
      <w:r>
        <w:rPr/>
        <w:pict>
          <v:group style="position:absolute;margin-left:-.25pt;margin-top:0pt;width:612.5pt;height:792pt;mso-position-horizontal-relative:page;mso-position-vertical-relative:page;z-index:-65152" coordorigin="-5,0" coordsize="12250,15840">
            <v:rect style="position:absolute;left:0;top:0;width:11908;height:4680" filled="true" fillcolor="#deeaf6" stroked="false">
              <v:fill type="solid"/>
            </v:rect>
            <v:shape style="position:absolute;left:2160;top:1116;width:8140;height:2152" type="#_x0000_t75" stroked="false">
              <v:imagedata r:id="rId5" o:title=""/>
            </v:shape>
            <v:shape style="position:absolute;left:3636;top:2480;width:5752;height:2152" type="#_x0000_t75" stroked="false">
              <v:imagedata r:id="rId6" o:title=""/>
            </v:shape>
            <v:rect style="position:absolute;left:0;top:5250;width:11908;height:10590" filled="true" fillcolor="#deeaf6" stroked="false">
              <v:fill type="solid"/>
            </v:rect>
            <v:shape style="position:absolute;left:1384;top:12628;width:3156;height:1092" type="#_x0000_t75" stroked="false">
              <v:imagedata r:id="rId7" o:title=""/>
            </v:shape>
            <v:shape style="position:absolute;left:6092;top:5512;width:5112;height:5612" type="#_x0000_t75" stroked="false">
              <v:imagedata r:id="rId8" o:title=""/>
            </v:shape>
            <v:shape style="position:absolute;left:11473;top:5460;width:673;height:10380" coordorigin="11474,5460" coordsize="673,10380" path="m12146,5460l11474,5460,11694,11477,11479,15840,12146,15840,12146,5460xe" filled="true" fillcolor="#5b9bd4" stroked="false">
              <v:path arrowok="t"/>
              <v:fill type="solid"/>
            </v:shape>
            <v:shape style="position:absolute;left:11295;top:5265;width:945;height:10560" type="#_x0000_t75" stroked="false">
              <v:imagedata r:id="rId9" o:title=""/>
            </v:shape>
            <v:shape style="position:absolute;left:584;top:6668;width:5064;height:4660" type="#_x0000_t75" stroked="false">
              <v:imagedata r:id="rId10" o:title=""/>
            </v:shape>
            <v:shape style="position:absolute;left:-5;top:4675;width:12250;height:580" type="#_x0000_t75" stroked="false">
              <v:imagedata r:id="rId11" o:title=""/>
            </v:shape>
            <v:shape style="position:absolute;left:6;top:15130;width:12076;height:513" coordorigin="6,15130" coordsize="12076,513" path="m11849,15130l6,15130,6,15643,11849,15643,12082,15387,11849,15130xe" filled="true" fillcolor="#2e5496" stroked="false">
              <v:path arrowok="t"/>
              <v:fill type="solid"/>
            </v:shape>
            <v:shape style="position:absolute;left:6;top:15130;width:12076;height:513" coordorigin="6,15130" coordsize="12076,513" path="m6,15130l11849,15130,12082,15387,11849,15643,6,15643,6,15130xe" filled="false" stroked="true" strokeweight=".75pt" strokecolor="#1f4e79">
              <v:path arrowok="t"/>
              <v:stroke dashstyle="solid"/>
            </v:shape>
            <v:shape style="position:absolute;left:8;top:15204;width:11956;height:368" type="#_x0000_t75" stroked="false">
              <v:imagedata r:id="rId12" o:title=""/>
            </v:shape>
            <v:shape style="position:absolute;left:8;top:15204;width:11064;height:368" type="#_x0000_t75" stroked="false">
              <v:imagedata r:id="rId13" o:title=""/>
            </v:shape>
            <v:shape style="position:absolute;left:7802;top:12252;width:1714;height:1714" type="#_x0000_t75" stroked="false">
              <v:imagedata r:id="rId14" o:title=""/>
            </v:shape>
            <w10:wrap type="none"/>
          </v:group>
        </w:pict>
      </w:r>
      <w:r>
        <w:rPr>
          <w:color w:val="5B9BD4"/>
        </w:rPr>
        <w:t>REVISTA MEDICA</w:t>
      </w:r>
    </w:p>
    <w:p>
      <w:pPr>
        <w:spacing w:before="192"/>
        <w:ind w:left="1731" w:right="1732" w:firstLine="0"/>
        <w:jc w:val="center"/>
        <w:rPr>
          <w:rFonts w:ascii="Calibri"/>
          <w:sz w:val="96"/>
        </w:rPr>
      </w:pPr>
      <w:r>
        <w:rPr>
          <w:rFonts w:ascii="Calibri"/>
          <w:color w:val="5B9BD4"/>
          <w:sz w:val="96"/>
        </w:rPr>
        <w:t>SINERGIA</w:t>
      </w:r>
    </w:p>
    <w:p>
      <w:pPr>
        <w:pStyle w:val="BodyText"/>
        <w:rPr>
          <w:rFonts w:ascii="Calibri"/>
          <w:sz w:val="20"/>
        </w:rPr>
      </w:pPr>
    </w:p>
    <w:p>
      <w:pPr>
        <w:pStyle w:val="BodyText"/>
        <w:rPr>
          <w:rFonts w:ascii="Calibri"/>
          <w:sz w:val="20"/>
        </w:rPr>
      </w:pPr>
    </w:p>
    <w:p>
      <w:pPr>
        <w:pStyle w:val="BodyText"/>
        <w:rPr>
          <w:rFonts w:ascii="Calibri"/>
          <w:sz w:val="17"/>
        </w:rPr>
      </w:pPr>
    </w:p>
    <w:p>
      <w:pPr>
        <w:tabs>
          <w:tab w:pos="7810" w:val="left" w:leader="none"/>
        </w:tabs>
        <w:spacing w:before="88"/>
        <w:ind w:left="1608" w:right="0" w:firstLine="0"/>
        <w:jc w:val="left"/>
        <w:rPr>
          <w:b/>
          <w:sz w:val="36"/>
        </w:rPr>
      </w:pPr>
      <w:r>
        <w:rPr>
          <w:b/>
          <w:i/>
          <w:color w:val="FFFFFF"/>
          <w:sz w:val="36"/>
        </w:rPr>
        <w:t>Publicación</w:t>
      </w:r>
      <w:r>
        <w:rPr>
          <w:b/>
          <w:i/>
          <w:color w:val="FFFFFF"/>
          <w:spacing w:val="-2"/>
          <w:sz w:val="36"/>
        </w:rPr>
        <w:t> </w:t>
      </w:r>
      <w:r>
        <w:rPr>
          <w:b/>
          <w:i/>
          <w:color w:val="FFFFFF"/>
          <w:sz w:val="36"/>
        </w:rPr>
        <w:t>Medica</w:t>
      </w:r>
      <w:r>
        <w:rPr>
          <w:b/>
          <w:i/>
          <w:color w:val="FFFFFF"/>
          <w:spacing w:val="-3"/>
          <w:sz w:val="36"/>
        </w:rPr>
        <w:t> </w:t>
      </w:r>
      <w:r>
        <w:rPr>
          <w:b/>
          <w:i/>
          <w:color w:val="FFFFFF"/>
          <w:sz w:val="36"/>
        </w:rPr>
        <w:t>Mensual</w:t>
        <w:tab/>
      </w:r>
      <w:r>
        <w:rPr>
          <w:b/>
          <w:color w:val="FFFFFF"/>
          <w:sz w:val="36"/>
        </w:rPr>
        <w:t>ISSN:</w:t>
      </w:r>
      <w:r>
        <w:rPr>
          <w:b/>
          <w:color w:val="FFFFFF"/>
          <w:spacing w:val="-1"/>
          <w:sz w:val="36"/>
        </w:rPr>
        <w:t> </w:t>
      </w:r>
      <w:r>
        <w:rPr>
          <w:b/>
          <w:color w:val="FFFFFF"/>
          <w:sz w:val="36"/>
        </w:rPr>
        <w:t>2215-4523</w:t>
      </w:r>
    </w:p>
    <w:p>
      <w:pPr>
        <w:pStyle w:val="BodyText"/>
        <w:rPr>
          <w:b/>
          <w:sz w:val="20"/>
        </w:rPr>
      </w:pPr>
    </w:p>
    <w:p>
      <w:pPr>
        <w:pStyle w:val="BodyText"/>
        <w:rPr>
          <w:b/>
          <w:sz w:val="20"/>
        </w:rPr>
      </w:pPr>
    </w:p>
    <w:p>
      <w:pPr>
        <w:pStyle w:val="BodyText"/>
        <w:rPr>
          <w:b/>
          <w:sz w:val="20"/>
        </w:rPr>
      </w:pPr>
    </w:p>
    <w:p>
      <w:pPr>
        <w:pStyle w:val="BodyText"/>
        <w:spacing w:before="8"/>
        <w:rPr>
          <w:b/>
          <w:sz w:val="26"/>
        </w:rPr>
      </w:pPr>
    </w:p>
    <w:p>
      <w:pPr>
        <w:pStyle w:val="Heading2"/>
        <w:ind w:left="7598"/>
      </w:pPr>
      <w:r>
        <w:rPr>
          <w:color w:val="3A3838"/>
        </w:rPr>
        <w:t>ARTICULOS</w:t>
      </w:r>
    </w:p>
    <w:p>
      <w:pPr>
        <w:pStyle w:val="BodyText"/>
        <w:rPr>
          <w:b/>
          <w:sz w:val="20"/>
        </w:rPr>
      </w:pPr>
    </w:p>
    <w:p>
      <w:pPr>
        <w:pStyle w:val="BodyText"/>
        <w:rPr>
          <w:b/>
          <w:sz w:val="20"/>
        </w:rPr>
      </w:pPr>
    </w:p>
    <w:p>
      <w:pPr>
        <w:pStyle w:val="BodyText"/>
        <w:spacing w:before="3" w:after="1"/>
        <w:rPr>
          <w:b/>
          <w:sz w:val="10"/>
        </w:rPr>
      </w:pPr>
    </w:p>
    <w:tbl>
      <w:tblPr>
        <w:tblW w:w="0" w:type="auto"/>
        <w:jc w:val="left"/>
        <w:tblInd w:w="6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94"/>
      </w:tblGrid>
      <w:tr>
        <w:trPr>
          <w:trHeight w:val="818" w:hRule="atLeast"/>
        </w:trPr>
        <w:tc>
          <w:tcPr>
            <w:tcW w:w="3794" w:type="dxa"/>
            <w:shd w:val="clear" w:color="auto" w:fill="DEEAF6"/>
          </w:tcPr>
          <w:p>
            <w:pPr>
              <w:pStyle w:val="TableParagraph"/>
              <w:numPr>
                <w:ilvl w:val="0"/>
                <w:numId w:val="1"/>
              </w:numPr>
              <w:tabs>
                <w:tab w:pos="560" w:val="left" w:leader="none"/>
                <w:tab w:pos="561" w:val="left" w:leader="none"/>
              </w:tabs>
              <w:spacing w:line="271" w:lineRule="auto" w:before="0" w:after="0"/>
              <w:ind w:left="560" w:right="197" w:hanging="360"/>
              <w:jc w:val="left"/>
              <w:rPr>
                <w:sz w:val="24"/>
              </w:rPr>
            </w:pPr>
            <w:r>
              <w:rPr>
                <w:sz w:val="24"/>
              </w:rPr>
              <w:t>Actualización de los</w:t>
            </w:r>
            <w:r>
              <w:rPr>
                <w:spacing w:val="-20"/>
                <w:sz w:val="24"/>
              </w:rPr>
              <w:t> </w:t>
            </w:r>
            <w:r>
              <w:rPr>
                <w:sz w:val="24"/>
              </w:rPr>
              <w:t>factores de riesgo</w:t>
            </w:r>
            <w:r>
              <w:rPr>
                <w:spacing w:val="-6"/>
                <w:sz w:val="24"/>
              </w:rPr>
              <w:t> </w:t>
            </w:r>
            <w:r>
              <w:rPr>
                <w:sz w:val="24"/>
              </w:rPr>
              <w:t>cardiovascular</w:t>
            </w:r>
          </w:p>
        </w:tc>
      </w:tr>
      <w:tr>
        <w:trPr>
          <w:trHeight w:val="675" w:hRule="atLeast"/>
        </w:trPr>
        <w:tc>
          <w:tcPr>
            <w:tcW w:w="3794" w:type="dxa"/>
            <w:shd w:val="clear" w:color="auto" w:fill="DEEAF6"/>
          </w:tcPr>
          <w:p>
            <w:pPr>
              <w:pStyle w:val="TableParagraph"/>
              <w:numPr>
                <w:ilvl w:val="0"/>
                <w:numId w:val="2"/>
              </w:numPr>
              <w:tabs>
                <w:tab w:pos="560" w:val="left" w:leader="none"/>
                <w:tab w:pos="561" w:val="left" w:leader="none"/>
              </w:tabs>
              <w:spacing w:line="240" w:lineRule="auto" w:before="210" w:after="0"/>
              <w:ind w:left="560" w:right="0" w:hanging="360"/>
              <w:jc w:val="left"/>
              <w:rPr>
                <w:sz w:val="24"/>
              </w:rPr>
            </w:pPr>
            <w:r>
              <w:rPr>
                <w:sz w:val="24"/>
              </w:rPr>
              <w:t>Cáncer de</w:t>
            </w:r>
            <w:r>
              <w:rPr>
                <w:spacing w:val="-1"/>
                <w:sz w:val="24"/>
              </w:rPr>
              <w:t> </w:t>
            </w:r>
            <w:r>
              <w:rPr>
                <w:sz w:val="24"/>
              </w:rPr>
              <w:t>mama</w:t>
            </w:r>
          </w:p>
        </w:tc>
      </w:tr>
      <w:tr>
        <w:trPr>
          <w:trHeight w:val="662" w:hRule="atLeast"/>
        </w:trPr>
        <w:tc>
          <w:tcPr>
            <w:tcW w:w="3794" w:type="dxa"/>
            <w:shd w:val="clear" w:color="auto" w:fill="DEEAF6"/>
          </w:tcPr>
          <w:p>
            <w:pPr>
              <w:pStyle w:val="TableParagraph"/>
              <w:numPr>
                <w:ilvl w:val="0"/>
                <w:numId w:val="3"/>
              </w:numPr>
              <w:tabs>
                <w:tab w:pos="560" w:val="left" w:leader="none"/>
                <w:tab w:pos="561" w:val="left" w:leader="none"/>
              </w:tabs>
              <w:spacing w:line="240" w:lineRule="auto" w:before="171" w:after="0"/>
              <w:ind w:left="560" w:right="0" w:hanging="360"/>
              <w:jc w:val="left"/>
              <w:rPr>
                <w:sz w:val="24"/>
              </w:rPr>
            </w:pPr>
            <w:r>
              <w:rPr>
                <w:sz w:val="24"/>
              </w:rPr>
              <w:t>Adenocarcinoma</w:t>
            </w:r>
            <w:r>
              <w:rPr>
                <w:spacing w:val="-3"/>
                <w:sz w:val="24"/>
              </w:rPr>
              <w:t> </w:t>
            </w:r>
            <w:r>
              <w:rPr>
                <w:sz w:val="24"/>
              </w:rPr>
              <w:t>gástrico</w:t>
            </w:r>
          </w:p>
        </w:tc>
      </w:tr>
      <w:tr>
        <w:trPr>
          <w:trHeight w:val="670" w:hRule="atLeast"/>
        </w:trPr>
        <w:tc>
          <w:tcPr>
            <w:tcW w:w="3794" w:type="dxa"/>
            <w:shd w:val="clear" w:color="auto" w:fill="DEEAF6"/>
          </w:tcPr>
          <w:p>
            <w:pPr>
              <w:pStyle w:val="TableParagraph"/>
              <w:numPr>
                <w:ilvl w:val="0"/>
                <w:numId w:val="4"/>
              </w:numPr>
              <w:tabs>
                <w:tab w:pos="560" w:val="left" w:leader="none"/>
                <w:tab w:pos="561" w:val="left" w:leader="none"/>
              </w:tabs>
              <w:spacing w:line="240" w:lineRule="auto" w:before="197" w:after="0"/>
              <w:ind w:left="560" w:right="0" w:hanging="360"/>
              <w:jc w:val="left"/>
              <w:rPr>
                <w:sz w:val="24"/>
              </w:rPr>
            </w:pPr>
            <w:r>
              <w:rPr>
                <w:sz w:val="24"/>
              </w:rPr>
              <w:t>Artritis séptica</w:t>
            </w:r>
          </w:p>
        </w:tc>
      </w:tr>
      <w:tr>
        <w:trPr>
          <w:trHeight w:val="473" w:hRule="atLeast"/>
        </w:trPr>
        <w:tc>
          <w:tcPr>
            <w:tcW w:w="3794" w:type="dxa"/>
            <w:shd w:val="clear" w:color="auto" w:fill="DEEAF6"/>
          </w:tcPr>
          <w:p>
            <w:pPr>
              <w:pStyle w:val="TableParagraph"/>
              <w:numPr>
                <w:ilvl w:val="0"/>
                <w:numId w:val="5"/>
              </w:numPr>
              <w:tabs>
                <w:tab w:pos="560" w:val="left" w:leader="none"/>
                <w:tab w:pos="561" w:val="left" w:leader="none"/>
              </w:tabs>
              <w:spacing w:line="274" w:lineRule="exact" w:before="179" w:after="0"/>
              <w:ind w:left="560" w:right="0" w:hanging="360"/>
              <w:jc w:val="left"/>
              <w:rPr>
                <w:sz w:val="24"/>
              </w:rPr>
            </w:pPr>
            <w:r>
              <w:rPr>
                <w:sz w:val="24"/>
              </w:rPr>
              <w:t>Prostatitis</w:t>
            </w: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9"/>
        <w:rPr>
          <w:b/>
          <w:sz w:val="15"/>
        </w:rPr>
      </w:pPr>
    </w:p>
    <w:p>
      <w:pPr>
        <w:spacing w:before="4"/>
        <w:ind w:left="2457" w:right="0" w:firstLine="0"/>
        <w:jc w:val="left"/>
        <w:rPr>
          <w:rFonts w:ascii="Calibri"/>
          <w:sz w:val="48"/>
        </w:rPr>
      </w:pPr>
      <w:r>
        <w:rPr>
          <w:rFonts w:ascii="Calibri"/>
          <w:color w:val="2D74B5"/>
          <w:sz w:val="48"/>
        </w:rPr>
        <w:t>SOMEA</w:t>
      </w:r>
    </w:p>
    <w:p>
      <w:pPr>
        <w:spacing w:before="33"/>
        <w:ind w:left="1700" w:right="0" w:firstLine="0"/>
        <w:jc w:val="left"/>
        <w:rPr>
          <w:rFonts w:ascii="Calibri"/>
          <w:i/>
          <w:sz w:val="22"/>
        </w:rPr>
      </w:pPr>
      <w:r>
        <w:rPr>
          <w:rFonts w:ascii="Calibri"/>
          <w:i/>
          <w:color w:val="2D74B5"/>
          <w:sz w:val="22"/>
        </w:rPr>
        <w:t>SOCIEDAD DE MEDICOS DE AMERICA</w:t>
      </w:r>
    </w:p>
    <w:p>
      <w:pPr>
        <w:pStyle w:val="BodyText"/>
        <w:rPr>
          <w:rFonts w:ascii="Calibri"/>
          <w:i/>
          <w:sz w:val="20"/>
        </w:rPr>
      </w:pPr>
    </w:p>
    <w:p>
      <w:pPr>
        <w:pStyle w:val="BodyText"/>
        <w:rPr>
          <w:rFonts w:ascii="Calibri"/>
          <w:i/>
          <w:sz w:val="20"/>
        </w:rPr>
      </w:pPr>
    </w:p>
    <w:p>
      <w:pPr>
        <w:pStyle w:val="BodyText"/>
        <w:rPr>
          <w:rFonts w:ascii="Calibri"/>
          <w:i/>
          <w:sz w:val="20"/>
        </w:rPr>
      </w:pPr>
    </w:p>
    <w:p>
      <w:pPr>
        <w:pStyle w:val="BodyText"/>
        <w:rPr>
          <w:rFonts w:ascii="Calibri"/>
          <w:i/>
          <w:sz w:val="20"/>
        </w:rPr>
      </w:pPr>
    </w:p>
    <w:p>
      <w:pPr>
        <w:pStyle w:val="BodyText"/>
        <w:rPr>
          <w:rFonts w:ascii="Calibri"/>
          <w:i/>
          <w:sz w:val="20"/>
        </w:rPr>
      </w:pPr>
    </w:p>
    <w:p>
      <w:pPr>
        <w:pStyle w:val="BodyText"/>
        <w:spacing w:before="7"/>
        <w:rPr>
          <w:rFonts w:ascii="Calibri"/>
          <w:i/>
          <w:sz w:val="21"/>
        </w:rPr>
      </w:pPr>
    </w:p>
    <w:p>
      <w:pPr>
        <w:tabs>
          <w:tab w:pos="3620" w:val="left" w:leader="none"/>
          <w:tab w:pos="5133" w:val="left" w:leader="none"/>
          <w:tab w:pos="7922" w:val="left" w:leader="none"/>
          <w:tab w:pos="9102" w:val="left" w:leader="none"/>
        </w:tabs>
        <w:spacing w:before="36"/>
        <w:ind w:left="648" w:right="0" w:firstLine="0"/>
        <w:jc w:val="left"/>
        <w:rPr>
          <w:rFonts w:ascii="Calibri" w:hAnsi="Calibri"/>
          <w:b/>
          <w:sz w:val="32"/>
        </w:rPr>
      </w:pPr>
      <w:r>
        <w:rPr>
          <w:rFonts w:ascii="Calibri" w:hAnsi="Calibri"/>
          <w:b/>
          <w:color w:val="FFFFFF"/>
          <w:spacing w:val="6"/>
          <w:sz w:val="32"/>
        </w:rPr>
        <w:t>ENERO</w:t>
      </w:r>
      <w:r>
        <w:rPr>
          <w:rFonts w:ascii="Calibri" w:hAnsi="Calibri"/>
          <w:b/>
          <w:color w:val="FFFFFF"/>
          <w:spacing w:val="20"/>
          <w:sz w:val="32"/>
        </w:rPr>
        <w:t> </w:t>
      </w:r>
      <w:r>
        <w:rPr>
          <w:rFonts w:ascii="Calibri" w:hAnsi="Calibri"/>
          <w:b/>
          <w:color w:val="FFFFFF"/>
          <w:spacing w:val="5"/>
          <w:sz w:val="32"/>
        </w:rPr>
        <w:t>2017</w:t>
        <w:tab/>
      </w:r>
      <w:r>
        <w:rPr>
          <w:rFonts w:ascii="Calibri" w:hAnsi="Calibri"/>
          <w:b/>
          <w:color w:val="FFFFFF"/>
          <w:sz w:val="32"/>
        </w:rPr>
        <w:t>-</w:t>
        <w:tab/>
      </w:r>
      <w:r>
        <w:rPr>
          <w:rFonts w:ascii="Calibri" w:hAnsi="Calibri"/>
          <w:b/>
          <w:color w:val="FFFFFF"/>
          <w:spacing w:val="6"/>
          <w:sz w:val="32"/>
        </w:rPr>
        <w:t>VOLUMEN</w:t>
      </w:r>
      <w:r>
        <w:rPr>
          <w:rFonts w:ascii="Calibri" w:hAnsi="Calibri"/>
          <w:b/>
          <w:color w:val="FFFFFF"/>
          <w:spacing w:val="22"/>
          <w:sz w:val="32"/>
        </w:rPr>
        <w:t> </w:t>
      </w:r>
      <w:r>
        <w:rPr>
          <w:rFonts w:ascii="Calibri" w:hAnsi="Calibri"/>
          <w:b/>
          <w:color w:val="FFFFFF"/>
          <w:sz w:val="32"/>
        </w:rPr>
        <w:t>2</w:t>
        <w:tab/>
        <w:t>-</w:t>
        <w:tab/>
      </w:r>
      <w:r>
        <w:rPr>
          <w:rFonts w:ascii="Calibri" w:hAnsi="Calibri"/>
          <w:b/>
          <w:color w:val="FFFFFF"/>
          <w:spacing w:val="6"/>
          <w:sz w:val="32"/>
        </w:rPr>
        <w:t>NÚMERO</w:t>
      </w:r>
      <w:r>
        <w:rPr>
          <w:rFonts w:ascii="Calibri" w:hAnsi="Calibri"/>
          <w:b/>
          <w:color w:val="FFFFFF"/>
          <w:spacing w:val="17"/>
          <w:sz w:val="32"/>
        </w:rPr>
        <w:t> </w:t>
      </w:r>
      <w:r>
        <w:rPr>
          <w:rFonts w:ascii="Calibri" w:hAnsi="Calibri"/>
          <w:b/>
          <w:color w:val="FFFFFF"/>
          <w:sz w:val="32"/>
        </w:rPr>
        <w:t>1</w:t>
      </w:r>
    </w:p>
    <w:p>
      <w:pPr>
        <w:spacing w:after="0"/>
        <w:jc w:val="left"/>
        <w:rPr>
          <w:rFonts w:ascii="Calibri" w:hAnsi="Calibri"/>
          <w:sz w:val="32"/>
        </w:rPr>
        <w:sectPr>
          <w:type w:val="continuous"/>
          <w:pgSz w:w="12240" w:h="15840"/>
          <w:pgMar w:top="1500" w:bottom="0" w:left="0" w:right="0"/>
        </w:sectPr>
      </w:pPr>
    </w:p>
    <w:p>
      <w:pPr>
        <w:pStyle w:val="BodyText"/>
        <w:ind w:left="1080"/>
        <w:rPr>
          <w:rFonts w:ascii="Calibri"/>
          <w:sz w:val="20"/>
        </w:rPr>
      </w:pPr>
      <w:r>
        <w:rPr>
          <w:rFonts w:ascii="Calibri"/>
          <w:sz w:val="20"/>
        </w:rPr>
        <w:pict>
          <v:group style="width:521.2pt;height:277.5pt;mso-position-horizontal-relative:char;mso-position-vertical-relative:line" coordorigin="0,0" coordsize="10424,5550">
            <v:shape style="position:absolute;left:372;top:30;width:4748;height:5445" type="#_x0000_t75" stroked="false">
              <v:imagedata r:id="rId15" o:title=""/>
            </v:shape>
            <v:shape style="position:absolute;left:376;top:1474;width:4740;height:3708" type="#_x0000_t75" stroked="false">
              <v:imagedata r:id="rId16" o:title=""/>
            </v:shape>
            <v:rect style="position:absolute;left:0;top:15;width:373;height:5490" filled="true" fillcolor="#44536a" stroked="false">
              <v:fill type="solid"/>
            </v:rect>
            <v:shape style="position:absolute;left:0;top:294;width:5024;height:465" coordorigin="0,294" coordsize="5024,465" path="m4791,294l0,294,0,759,4791,759,5023,527,4791,294xe" filled="true" fillcolor="#5b9bd4" stroked="false">
              <v:path arrowok="t"/>
              <v:fill type="solid"/>
            </v:shape>
            <v:shape style="position:absolute;left:12;top:306;width:4884;height:444" type="#_x0000_t75" stroked="false">
              <v:imagedata r:id="rId17" o:title=""/>
            </v:shape>
            <v:shape style="position:absolute;left:5535;top:31;width:4889;height:5489" type="#_x0000_t75" stroked="false">
              <v:imagedata r:id="rId18" o:title=""/>
            </v:shape>
            <v:shape style="position:absolute;left:5540;top:1478;width:4880;height:3748" type="#_x0000_t75" stroked="false">
              <v:imagedata r:id="rId19" o:title=""/>
            </v:shape>
            <v:rect style="position:absolute;left:5205;top:0;width:330;height:5550" filled="true" fillcolor="#44536a" stroked="false">
              <v:fill type="solid"/>
            </v:rect>
            <v:shape style="position:absolute;left:5175;top:294;width:5140;height:478" coordorigin="5175,294" coordsize="5140,478" path="m10076,294l5175,294,5175,772,10076,772,10315,533,10076,294xe" filled="true" fillcolor="#5b9bd4" stroked="false">
              <v:path arrowok="t"/>
              <v:fill type="solid"/>
            </v:shape>
            <v:shape style="position:absolute;left:5184;top:306;width:5004;height:456" type="#_x0000_t75" stroked="false">
              <v:imagedata r:id="rId20" o:title=""/>
            </v:shape>
            <v:shapetype id="_x0000_t202" o:spt="202" coordsize="21600,21600" path="m,l,21600r21600,l21600,xe">
              <v:stroke joinstyle="miter"/>
              <v:path gradientshapeok="t" o:connecttype="rect"/>
            </v:shapetype>
            <v:shape style="position:absolute;left:1453;top:405;width:2310;height:269" type="#_x0000_t202" filled="false" stroked="false">
              <v:textbox inset="0,0,0,0">
                <w:txbxContent>
                  <w:p>
                    <w:pPr>
                      <w:spacing w:line="268" w:lineRule="exact" w:before="0"/>
                      <w:ind w:left="0" w:right="0" w:firstLine="0"/>
                      <w:jc w:val="left"/>
                      <w:rPr>
                        <w:b/>
                        <w:sz w:val="24"/>
                      </w:rPr>
                    </w:pPr>
                    <w:r>
                      <w:rPr>
                        <w:b/>
                        <w:color w:val="FFFFFF"/>
                        <w:sz w:val="24"/>
                      </w:rPr>
                      <w:t>COMITE EDITORIAL</w:t>
                    </w:r>
                  </w:p>
                </w:txbxContent>
              </v:textbox>
              <w10:wrap type="none"/>
            </v:shape>
            <v:shape style="position:absolute;left:664;top:1477;width:4092;height:3665" type="#_x0000_t202" filled="false" stroked="false">
              <v:textbox inset="0,0,0,0">
                <w:txbxContent>
                  <w:p>
                    <w:pPr>
                      <w:spacing w:line="223" w:lineRule="exact" w:before="0"/>
                      <w:ind w:left="0" w:right="0" w:firstLine="0"/>
                      <w:jc w:val="left"/>
                      <w:rPr>
                        <w:sz w:val="20"/>
                      </w:rPr>
                    </w:pPr>
                    <w:r>
                      <w:rPr>
                        <w:color w:val="585858"/>
                        <w:sz w:val="20"/>
                      </w:rPr>
                      <w:t>Dr. Esteban Sánchez Gaitán</w:t>
                    </w:r>
                  </w:p>
                  <w:p>
                    <w:pPr>
                      <w:spacing w:line="276" w:lineRule="auto" w:before="34"/>
                      <w:ind w:left="0" w:right="570" w:firstLine="0"/>
                      <w:jc w:val="left"/>
                      <w:rPr>
                        <w:sz w:val="20"/>
                      </w:rPr>
                    </w:pPr>
                    <w:r>
                      <w:rPr>
                        <w:color w:val="585858"/>
                        <w:sz w:val="20"/>
                      </w:rPr>
                      <w:t>Editor en Jefe, Universidad de Ciencias Médicas – Costa Rica</w:t>
                    </w:r>
                  </w:p>
                  <w:p>
                    <w:pPr>
                      <w:spacing w:line="240" w:lineRule="auto" w:before="12"/>
                      <w:rPr>
                        <w:rFonts w:ascii="Calibri"/>
                        <w:b/>
                        <w:sz w:val="21"/>
                      </w:rPr>
                    </w:pPr>
                  </w:p>
                  <w:p>
                    <w:pPr>
                      <w:spacing w:before="0"/>
                      <w:ind w:left="0" w:right="0" w:firstLine="0"/>
                      <w:jc w:val="left"/>
                      <w:rPr>
                        <w:sz w:val="20"/>
                      </w:rPr>
                    </w:pPr>
                    <w:r>
                      <w:rPr>
                        <w:color w:val="585858"/>
                        <w:sz w:val="20"/>
                      </w:rPr>
                      <w:t>Lic. Margarita Ampudia Matos</w:t>
                    </w:r>
                  </w:p>
                  <w:p>
                    <w:pPr>
                      <w:spacing w:line="276" w:lineRule="auto" w:before="34"/>
                      <w:ind w:left="0" w:right="2" w:firstLine="0"/>
                      <w:jc w:val="left"/>
                      <w:rPr>
                        <w:sz w:val="20"/>
                      </w:rPr>
                    </w:pPr>
                    <w:r>
                      <w:rPr>
                        <w:color w:val="585858"/>
                        <w:sz w:val="20"/>
                      </w:rPr>
                      <w:t>Facultad de Tecnología Médica, especialista en Laboratorio Clínico y Anatomía Patológica. Universidad Nacional Villareal. Hospital de Emergencia Grau-EsSalud. Lima, Perú</w:t>
                    </w:r>
                  </w:p>
                  <w:p>
                    <w:pPr>
                      <w:spacing w:line="240" w:lineRule="auto" w:before="8"/>
                      <w:rPr>
                        <w:rFonts w:ascii="Calibri"/>
                        <w:b/>
                        <w:sz w:val="21"/>
                      </w:rPr>
                    </w:pPr>
                  </w:p>
                  <w:p>
                    <w:pPr>
                      <w:spacing w:line="280" w:lineRule="auto" w:before="0"/>
                      <w:ind w:left="0" w:right="914" w:firstLine="0"/>
                      <w:jc w:val="left"/>
                      <w:rPr>
                        <w:sz w:val="20"/>
                      </w:rPr>
                    </w:pPr>
                    <w:r>
                      <w:rPr>
                        <w:color w:val="585858"/>
                        <w:sz w:val="20"/>
                      </w:rPr>
                      <w:t>Ing. Jorge Malpartida Toribio Telefónica del Perú, especialista en</w:t>
                    </w:r>
                  </w:p>
                  <w:p>
                    <w:pPr>
                      <w:spacing w:line="226" w:lineRule="exact" w:before="0"/>
                      <w:ind w:left="0" w:right="0" w:firstLine="0"/>
                      <w:jc w:val="left"/>
                      <w:rPr>
                        <w:sz w:val="20"/>
                      </w:rPr>
                    </w:pPr>
                    <w:r>
                      <w:rPr>
                        <w:color w:val="585858"/>
                        <w:sz w:val="20"/>
                      </w:rPr>
                      <w:t>Telecomunicaciones. Universidad Nacional</w:t>
                    </w:r>
                  </w:p>
                  <w:p>
                    <w:pPr>
                      <w:spacing w:before="34"/>
                      <w:ind w:left="0" w:right="0" w:firstLine="0"/>
                      <w:jc w:val="left"/>
                      <w:rPr>
                        <w:sz w:val="20"/>
                      </w:rPr>
                    </w:pPr>
                    <w:r>
                      <w:rPr>
                        <w:color w:val="585858"/>
                        <w:sz w:val="20"/>
                      </w:rPr>
                      <w:t>Mayor de San Marcos .Lima-Peru</w:t>
                    </w:r>
                  </w:p>
                </w:txbxContent>
              </v:textbox>
              <w10:wrap type="none"/>
            </v:shape>
            <v:shape style="position:absolute;left:6822;top:409;width:2030;height:269" type="#_x0000_t202" filled="false" stroked="false">
              <v:textbox inset="0,0,0,0">
                <w:txbxContent>
                  <w:p>
                    <w:pPr>
                      <w:spacing w:line="268" w:lineRule="exact" w:before="0"/>
                      <w:ind w:left="0" w:right="0" w:firstLine="0"/>
                      <w:jc w:val="left"/>
                      <w:rPr>
                        <w:b/>
                        <w:sz w:val="24"/>
                      </w:rPr>
                    </w:pPr>
                    <w:r>
                      <w:rPr>
                        <w:b/>
                        <w:color w:val="FFFFFF"/>
                        <w:sz w:val="24"/>
                      </w:rPr>
                      <w:t>COMITE ASESOR</w:t>
                    </w:r>
                  </w:p>
                </w:txbxContent>
              </v:textbox>
              <w10:wrap type="none"/>
            </v:shape>
            <v:shape style="position:absolute;left:5830;top:1481;width:4168;height:3661" type="#_x0000_t202" filled="false" stroked="false">
              <v:textbox inset="0,0,0,0">
                <w:txbxContent>
                  <w:p>
                    <w:pPr>
                      <w:spacing w:line="276" w:lineRule="auto" w:before="0"/>
                      <w:ind w:left="0" w:right="557" w:firstLine="0"/>
                      <w:jc w:val="left"/>
                      <w:rPr>
                        <w:sz w:val="20"/>
                      </w:rPr>
                    </w:pPr>
                    <w:r>
                      <w:rPr>
                        <w:color w:val="585858"/>
                        <w:sz w:val="20"/>
                      </w:rPr>
                      <w:t>Dr. Gilberto Malpartida Toribio Especialista en Neumología Universidad Nacional Mayor de San Marcos – Perú</w:t>
                    </w:r>
                  </w:p>
                  <w:p>
                    <w:pPr>
                      <w:spacing w:line="240" w:lineRule="auto" w:before="2"/>
                      <w:rPr>
                        <w:rFonts w:ascii="Calibri"/>
                        <w:b/>
                        <w:sz w:val="22"/>
                      </w:rPr>
                    </w:pPr>
                  </w:p>
                  <w:p>
                    <w:pPr>
                      <w:spacing w:before="0"/>
                      <w:ind w:left="0" w:right="0" w:firstLine="0"/>
                      <w:jc w:val="left"/>
                      <w:rPr>
                        <w:sz w:val="20"/>
                      </w:rPr>
                    </w:pPr>
                    <w:r>
                      <w:rPr>
                        <w:color w:val="585858"/>
                        <w:sz w:val="20"/>
                      </w:rPr>
                      <w:t>Dra. Patricia Santos Carlín</w:t>
                    </w:r>
                  </w:p>
                  <w:p>
                    <w:pPr>
                      <w:spacing w:line="276" w:lineRule="auto" w:before="33"/>
                      <w:ind w:left="0" w:right="27" w:firstLine="0"/>
                      <w:jc w:val="left"/>
                      <w:rPr>
                        <w:sz w:val="20"/>
                      </w:rPr>
                    </w:pPr>
                    <w:r>
                      <w:rPr>
                        <w:color w:val="585858"/>
                        <w:sz w:val="20"/>
                      </w:rPr>
                      <w:t>Especialista Cirugía General. Universidad San Martin de Porras. Hospital Nacional Casimiro Ulloa-MINSA. Lima- Perú</w:t>
                    </w:r>
                  </w:p>
                  <w:p>
                    <w:pPr>
                      <w:spacing w:line="240" w:lineRule="auto" w:before="12"/>
                      <w:rPr>
                        <w:rFonts w:ascii="Calibri"/>
                        <w:b/>
                        <w:sz w:val="21"/>
                      </w:rPr>
                    </w:pPr>
                  </w:p>
                  <w:p>
                    <w:pPr>
                      <w:spacing w:line="276" w:lineRule="auto" w:before="0"/>
                      <w:ind w:left="0" w:right="1511" w:firstLine="0"/>
                      <w:jc w:val="left"/>
                      <w:rPr>
                        <w:sz w:val="20"/>
                      </w:rPr>
                    </w:pPr>
                    <w:r>
                      <w:rPr>
                        <w:color w:val="585858"/>
                        <w:sz w:val="20"/>
                      </w:rPr>
                      <w:t>Dra. Anais  López Especialista Medicina Interna Universidad Nacional</w:t>
                    </w:r>
                    <w:r>
                      <w:rPr>
                        <w:color w:val="585858"/>
                        <w:spacing w:val="-11"/>
                        <w:sz w:val="20"/>
                      </w:rPr>
                      <w:t> </w:t>
                    </w:r>
                    <w:r>
                      <w:rPr>
                        <w:color w:val="585858"/>
                        <w:sz w:val="20"/>
                      </w:rPr>
                      <w:t>Villareal</w:t>
                    </w:r>
                  </w:p>
                  <w:p>
                    <w:pPr>
                      <w:spacing w:before="0"/>
                      <w:ind w:left="0" w:right="0" w:firstLine="0"/>
                      <w:jc w:val="left"/>
                      <w:rPr>
                        <w:sz w:val="20"/>
                      </w:rPr>
                    </w:pPr>
                    <w:r>
                      <w:rPr>
                        <w:color w:val="585858"/>
                        <w:sz w:val="20"/>
                      </w:rPr>
                      <w:t>Hospital Nacional Edgardo Rebagliati Martins -</w:t>
                    </w:r>
                  </w:p>
                  <w:p>
                    <w:pPr>
                      <w:spacing w:before="34"/>
                      <w:ind w:left="0" w:right="0" w:firstLine="0"/>
                      <w:jc w:val="left"/>
                      <w:rPr>
                        <w:sz w:val="20"/>
                      </w:rPr>
                    </w:pPr>
                    <w:r>
                      <w:rPr>
                        <w:color w:val="585858"/>
                        <w:sz w:val="20"/>
                      </w:rPr>
                      <w:t>EsSalud. Lima- Perú</w:t>
                    </w:r>
                  </w:p>
                </w:txbxContent>
              </v:textbox>
              <w10:wrap type="none"/>
            </v:shape>
          </v:group>
        </w:pict>
      </w:r>
      <w:r>
        <w:rPr>
          <w:rFonts w:ascii="Calibri"/>
          <w:sz w:val="20"/>
        </w:rPr>
      </w:r>
    </w:p>
    <w:p>
      <w:pPr>
        <w:pStyle w:val="BodyText"/>
        <w:spacing w:before="1"/>
        <w:rPr>
          <w:rFonts w:ascii="Calibri"/>
          <w:b/>
          <w:sz w:val="20"/>
        </w:rPr>
      </w:pPr>
      <w:r>
        <w:rPr/>
        <w:pict>
          <v:group style="position:absolute;margin-left:198.75pt;margin-top:14.25pt;width:243.1pt;height:124.95pt;mso-position-horizontal-relative:page;mso-position-vertical-relative:paragraph;z-index:1216;mso-wrap-distance-left:0;mso-wrap-distance-right:0" coordorigin="3975,285" coordsize="4862,2499">
            <v:shape style="position:absolute;left:4335;top:285;width:4350;height:2499" type="#_x0000_t75" stroked="false">
              <v:imagedata r:id="rId21" o:title=""/>
            </v:shape>
            <v:shape style="position:absolute;left:4340;top:1729;width:4340;height:764" type="#_x0000_t75" stroked="false">
              <v:imagedata r:id="rId22" o:title=""/>
            </v:shape>
            <v:rect style="position:absolute;left:3975;top:285;width:361;height:2499" filled="true" fillcolor="#44536a" stroked="false">
              <v:fill type="solid"/>
            </v:rect>
            <v:shape style="position:absolute;left:3975;top:392;width:4862;height:432" coordorigin="3975,392" coordsize="4862,432" path="m8621,392l3975,392,3975,824,8621,824,8837,608,8621,392xe" filled="true" fillcolor="#5b9bd4" stroked="false">
              <v:path arrowok="t"/>
              <v:fill type="solid"/>
            </v:shape>
            <v:shape style="position:absolute;left:3984;top:401;width:4736;height:412" type="#_x0000_t75" stroked="false">
              <v:imagedata r:id="rId23" o:title=""/>
            </v:shape>
            <v:shape style="position:absolute;left:4849;top:481;width:3308;height:269" type="#_x0000_t202" filled="false" stroked="false">
              <v:textbox inset="0,0,0,0">
                <w:txbxContent>
                  <w:p>
                    <w:pPr>
                      <w:spacing w:line="268" w:lineRule="exact" w:before="0"/>
                      <w:ind w:left="0" w:right="0" w:firstLine="0"/>
                      <w:jc w:val="left"/>
                      <w:rPr>
                        <w:b/>
                        <w:sz w:val="24"/>
                      </w:rPr>
                    </w:pPr>
                    <w:r>
                      <w:rPr>
                        <w:b/>
                        <w:color w:val="FFFFFF"/>
                        <w:sz w:val="24"/>
                      </w:rPr>
                      <w:t>GERENTE ADMINISTRATIVO</w:t>
                    </w:r>
                  </w:p>
                </w:txbxContent>
              </v:textbox>
              <w10:wrap type="none"/>
            </v:shape>
            <v:shape style="position:absolute;left:4629;top:1733;width:3654;height:721" type="#_x0000_t202" filled="false" stroked="false">
              <v:textbox inset="0,0,0,0">
                <w:txbxContent>
                  <w:p>
                    <w:pPr>
                      <w:spacing w:line="224" w:lineRule="exact" w:before="0"/>
                      <w:ind w:left="0" w:right="0" w:firstLine="0"/>
                      <w:jc w:val="left"/>
                      <w:rPr>
                        <w:sz w:val="20"/>
                      </w:rPr>
                    </w:pPr>
                    <w:r>
                      <w:rPr>
                        <w:color w:val="585858"/>
                        <w:sz w:val="20"/>
                      </w:rPr>
                      <w:t>Dra. Margarita Karol Malpartida Ampudia</w:t>
                    </w:r>
                  </w:p>
                  <w:p>
                    <w:pPr>
                      <w:spacing w:before="2"/>
                      <w:ind w:left="0" w:right="0" w:firstLine="0"/>
                      <w:jc w:val="left"/>
                      <w:rPr>
                        <w:sz w:val="20"/>
                      </w:rPr>
                    </w:pPr>
                    <w:r>
                      <w:rPr>
                        <w:color w:val="585858"/>
                        <w:sz w:val="20"/>
                      </w:rPr>
                      <w:t>Universidad de Iberoamérica</w:t>
                    </w:r>
                  </w:p>
                  <w:p>
                    <w:pPr>
                      <w:spacing w:before="33"/>
                      <w:ind w:left="0" w:right="0" w:firstLine="0"/>
                      <w:jc w:val="left"/>
                      <w:rPr>
                        <w:sz w:val="20"/>
                      </w:rPr>
                    </w:pPr>
                    <w:r>
                      <w:rPr>
                        <w:color w:val="585858"/>
                        <w:sz w:val="20"/>
                      </w:rPr>
                      <w:t>Costa Rica – San José</w:t>
                    </w:r>
                  </w:p>
                </w:txbxContent>
              </v:textbox>
              <w10:wrap type="none"/>
            </v:shape>
            <w10:wrap type="topAndBottom"/>
          </v:group>
        </w:pict>
      </w:r>
    </w:p>
    <w:p>
      <w:pPr>
        <w:pStyle w:val="BodyText"/>
        <w:rPr>
          <w:rFonts w:ascii="Calibri"/>
          <w:b/>
          <w:sz w:val="20"/>
        </w:rPr>
      </w:pPr>
    </w:p>
    <w:p>
      <w:pPr>
        <w:pStyle w:val="BodyText"/>
        <w:spacing w:before="12"/>
        <w:rPr>
          <w:rFonts w:ascii="Calibri"/>
          <w:b/>
          <w:sz w:val="25"/>
        </w:rPr>
      </w:pPr>
    </w:p>
    <w:tbl>
      <w:tblPr>
        <w:tblW w:w="0" w:type="auto"/>
        <w:jc w:val="left"/>
        <w:tblInd w:w="1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36"/>
        <w:gridCol w:w="4623"/>
      </w:tblGrid>
      <w:tr>
        <w:trPr>
          <w:trHeight w:val="2662" w:hRule="atLeast"/>
        </w:trPr>
        <w:tc>
          <w:tcPr>
            <w:tcW w:w="3936" w:type="dxa"/>
          </w:tcPr>
          <w:p>
            <w:pPr>
              <w:pStyle w:val="TableParagraph"/>
              <w:spacing w:line="224" w:lineRule="exact"/>
              <w:ind w:left="200"/>
              <w:rPr>
                <w:rFonts w:ascii="Calibri" w:hAnsi="Calibri"/>
                <w:sz w:val="22"/>
              </w:rPr>
            </w:pPr>
            <w:r>
              <w:rPr>
                <w:rFonts w:ascii="Calibri" w:hAnsi="Calibri"/>
                <w:sz w:val="22"/>
                <w:shd w:fill="D2D2D2" w:color="auto" w:val="clear"/>
              </w:rPr>
              <w:t>Departamento de publicación:</w:t>
            </w:r>
          </w:p>
          <w:p>
            <w:pPr>
              <w:pStyle w:val="TableParagraph"/>
              <w:spacing w:line="268" w:lineRule="exact" w:after="43"/>
              <w:ind w:left="200"/>
              <w:rPr>
                <w:rFonts w:ascii="Calibri"/>
                <w:sz w:val="22"/>
              </w:rPr>
            </w:pPr>
            <w:r>
              <w:rPr>
                <w:rFonts w:ascii="Calibri"/>
                <w:sz w:val="22"/>
              </w:rPr>
              <w:t>Editorial Esculapio</w:t>
            </w:r>
          </w:p>
          <w:p>
            <w:pPr>
              <w:pStyle w:val="TableParagraph"/>
              <w:ind w:left="824"/>
              <w:rPr>
                <w:rFonts w:ascii="Calibri"/>
                <w:sz w:val="20"/>
              </w:rPr>
            </w:pPr>
            <w:r>
              <w:rPr>
                <w:rFonts w:ascii="Calibri"/>
                <w:sz w:val="20"/>
              </w:rPr>
              <w:drawing>
                <wp:inline distT="0" distB="0" distL="0" distR="0">
                  <wp:extent cx="758951" cy="758951"/>
                  <wp:effectExtent l="0" t="0" r="0" b="0"/>
                  <wp:docPr id="1" name="image20.png" descr=""/>
                  <wp:cNvGraphicFramePr>
                    <a:graphicFrameLocks noChangeAspect="1"/>
                  </wp:cNvGraphicFramePr>
                  <a:graphic>
                    <a:graphicData uri="http://schemas.openxmlformats.org/drawingml/2006/picture">
                      <pic:pic>
                        <pic:nvPicPr>
                          <pic:cNvPr id="2" name="image20.png"/>
                          <pic:cNvPicPr/>
                        </pic:nvPicPr>
                        <pic:blipFill>
                          <a:blip r:embed="rId24" cstate="print"/>
                          <a:stretch>
                            <a:fillRect/>
                          </a:stretch>
                        </pic:blipFill>
                        <pic:spPr>
                          <a:xfrm>
                            <a:off x="0" y="0"/>
                            <a:ext cx="758951" cy="758951"/>
                          </a:xfrm>
                          <a:prstGeom prst="rect">
                            <a:avLst/>
                          </a:prstGeom>
                        </pic:spPr>
                      </pic:pic>
                    </a:graphicData>
                  </a:graphic>
                </wp:inline>
              </w:drawing>
            </w:r>
            <w:r>
              <w:rPr>
                <w:rFonts w:ascii="Calibri"/>
                <w:sz w:val="20"/>
              </w:rPr>
            </w:r>
          </w:p>
          <w:p>
            <w:pPr>
              <w:pStyle w:val="TableParagraph"/>
              <w:spacing w:before="55"/>
              <w:ind w:left="200" w:right="1397"/>
              <w:rPr>
                <w:rFonts w:ascii="Calibri" w:hAnsi="Calibri"/>
                <w:sz w:val="18"/>
              </w:rPr>
            </w:pPr>
            <w:r>
              <w:rPr>
                <w:rFonts w:ascii="Calibri" w:hAnsi="Calibri"/>
                <w:sz w:val="18"/>
              </w:rPr>
              <w:t>50 metros norte de UCIMED, Sabana Sur, San José-Costa Rica Teléfono: 8668002</w:t>
            </w:r>
          </w:p>
          <w:p>
            <w:pPr>
              <w:pStyle w:val="TableParagraph"/>
              <w:spacing w:line="196" w:lineRule="exact" w:before="1"/>
              <w:ind w:left="200"/>
              <w:rPr>
                <w:rFonts w:ascii="Calibri"/>
                <w:sz w:val="18"/>
              </w:rPr>
            </w:pPr>
            <w:r>
              <w:rPr>
                <w:rFonts w:ascii="Calibri"/>
                <w:sz w:val="18"/>
              </w:rPr>
              <w:t>E-mail: </w:t>
            </w:r>
            <w:hyperlink r:id="rId25">
              <w:r>
                <w:rPr>
                  <w:rFonts w:ascii="Calibri"/>
                  <w:sz w:val="18"/>
                </w:rPr>
                <w:t>revistamedicasinergia@gmail.com</w:t>
              </w:r>
            </w:hyperlink>
          </w:p>
        </w:tc>
        <w:tc>
          <w:tcPr>
            <w:tcW w:w="4623" w:type="dxa"/>
          </w:tcPr>
          <w:p>
            <w:pPr>
              <w:pStyle w:val="TableParagraph"/>
              <w:spacing w:line="224" w:lineRule="exact"/>
              <w:ind w:left="681"/>
              <w:rPr>
                <w:rFonts w:ascii="Calibri" w:hAnsi="Calibri"/>
                <w:sz w:val="22"/>
              </w:rPr>
            </w:pPr>
            <w:r>
              <w:rPr>
                <w:rFonts w:ascii="Calibri" w:hAnsi="Calibri"/>
                <w:sz w:val="22"/>
                <w:shd w:fill="D2D2D2" w:color="auto" w:val="clear"/>
              </w:rPr>
              <w:t>Departamento de edición:</w:t>
            </w:r>
          </w:p>
          <w:p>
            <w:pPr>
              <w:pStyle w:val="TableParagraph"/>
              <w:spacing w:before="23"/>
              <w:ind w:left="681"/>
              <w:rPr>
                <w:rFonts w:ascii="Calibri"/>
                <w:sz w:val="22"/>
              </w:rPr>
            </w:pPr>
            <w:r>
              <w:rPr>
                <w:rFonts w:ascii="Calibri"/>
                <w:sz w:val="22"/>
              </w:rPr>
              <w:t>Entidad editora:</w:t>
            </w:r>
          </w:p>
          <w:p>
            <w:pPr>
              <w:pStyle w:val="TableParagraph"/>
              <w:spacing w:before="39"/>
              <w:ind w:left="1113" w:right="176"/>
              <w:jc w:val="center"/>
              <w:rPr>
                <w:rFonts w:ascii="Calibri"/>
                <w:sz w:val="48"/>
              </w:rPr>
            </w:pPr>
            <w:r>
              <w:rPr>
                <w:rFonts w:ascii="Calibri"/>
                <w:sz w:val="48"/>
              </w:rPr>
              <w:t>SOMEA</w:t>
            </w:r>
          </w:p>
          <w:p>
            <w:pPr>
              <w:pStyle w:val="TableParagraph"/>
              <w:spacing w:before="37"/>
              <w:ind w:left="1113" w:right="181"/>
              <w:jc w:val="center"/>
              <w:rPr>
                <w:rFonts w:ascii="Calibri"/>
                <w:i/>
                <w:sz w:val="22"/>
              </w:rPr>
            </w:pPr>
            <w:r>
              <w:rPr>
                <w:rFonts w:ascii="Calibri"/>
                <w:i/>
                <w:sz w:val="22"/>
              </w:rPr>
              <w:t>SOCIEDAD DE MEDICOS DE AMERICA</w:t>
            </w:r>
          </w:p>
          <w:p>
            <w:pPr>
              <w:pStyle w:val="TableParagraph"/>
              <w:spacing w:before="4"/>
              <w:ind w:left="0"/>
              <w:rPr>
                <w:rFonts w:ascii="Calibri"/>
                <w:b/>
                <w:sz w:val="23"/>
              </w:rPr>
            </w:pPr>
          </w:p>
          <w:p>
            <w:pPr>
              <w:pStyle w:val="TableParagraph"/>
              <w:ind w:left="681" w:right="1603"/>
              <w:rPr>
                <w:rFonts w:ascii="Calibri" w:hAnsi="Calibri"/>
                <w:sz w:val="18"/>
              </w:rPr>
            </w:pPr>
            <w:r>
              <w:rPr>
                <w:rFonts w:ascii="Calibri" w:hAnsi="Calibri"/>
                <w:sz w:val="18"/>
              </w:rPr>
              <w:t>50 metros norte de UCIMED, Sabana Sur, San José-Costa Rica Teléfono: 8668002</w:t>
            </w:r>
          </w:p>
          <w:p>
            <w:pPr>
              <w:pStyle w:val="TableParagraph"/>
              <w:spacing w:before="3"/>
              <w:ind w:left="681"/>
              <w:rPr>
                <w:rFonts w:ascii="Calibri"/>
                <w:sz w:val="18"/>
              </w:rPr>
            </w:pPr>
            <w:hyperlink r:id="rId26">
              <w:r>
                <w:rPr>
                  <w:rFonts w:ascii="Calibri"/>
                  <w:sz w:val="18"/>
                </w:rPr>
                <w:t>Sociedaddemedicosdeamerica@hotmail.com</w:t>
              </w:r>
            </w:hyperlink>
          </w:p>
        </w:tc>
      </w:tr>
    </w:tbl>
    <w:p>
      <w:pPr>
        <w:pStyle w:val="BodyText"/>
        <w:rPr>
          <w:rFonts w:ascii="Calibri"/>
          <w:b/>
          <w:sz w:val="16"/>
        </w:rPr>
      </w:pPr>
    </w:p>
    <w:p>
      <w:pPr>
        <w:spacing w:line="276" w:lineRule="auto" w:before="95"/>
        <w:ind w:left="1700" w:right="1820" w:firstLine="0"/>
        <w:jc w:val="left"/>
        <w:rPr>
          <w:sz w:val="18"/>
        </w:rPr>
      </w:pPr>
      <w:r>
        <w:rPr/>
        <w:drawing>
          <wp:anchor distT="0" distB="0" distL="0" distR="0" allowOverlap="1" layoutInCell="1" locked="0" behindDoc="1" simplePos="0" relativeHeight="268370519">
            <wp:simplePos x="0" y="0"/>
            <wp:positionH relativeFrom="page">
              <wp:posOffset>4551679</wp:posOffset>
            </wp:positionH>
            <wp:positionV relativeFrom="paragraph">
              <wp:posOffset>-1569568</wp:posOffset>
            </wp:positionV>
            <wp:extent cx="1524803" cy="694944"/>
            <wp:effectExtent l="0" t="0" r="0" b="0"/>
            <wp:wrapNone/>
            <wp:docPr id="3" name="image21.png" descr=""/>
            <wp:cNvGraphicFramePr>
              <a:graphicFrameLocks noChangeAspect="1"/>
            </wp:cNvGraphicFramePr>
            <a:graphic>
              <a:graphicData uri="http://schemas.openxmlformats.org/drawingml/2006/picture">
                <pic:pic>
                  <pic:nvPicPr>
                    <pic:cNvPr id="4" name="image21.png"/>
                    <pic:cNvPicPr/>
                  </pic:nvPicPr>
                  <pic:blipFill>
                    <a:blip r:embed="rId27" cstate="print"/>
                    <a:stretch>
                      <a:fillRect/>
                    </a:stretch>
                  </pic:blipFill>
                  <pic:spPr>
                    <a:xfrm>
                      <a:off x="0" y="0"/>
                      <a:ext cx="1524803" cy="694944"/>
                    </a:xfrm>
                    <a:prstGeom prst="rect">
                      <a:avLst/>
                    </a:prstGeom>
                  </pic:spPr>
                </pic:pic>
              </a:graphicData>
            </a:graphic>
          </wp:anchor>
        </w:drawing>
      </w:r>
      <w:r>
        <w:rPr>
          <w:sz w:val="18"/>
          <w:shd w:fill="D2D2D2" w:color="auto" w:val="clear"/>
        </w:rPr>
        <w:t>Nota:</w:t>
      </w:r>
      <w:r>
        <w:rPr>
          <w:sz w:val="18"/>
        </w:rPr>
        <w:t> Las opiniones emitidas en artículos científicos, literarios, revisiones bibliográficas, son de responsabilidad exclusiva de sus autores. Está totalmente prohibida su reproducción de REVISTA MEDICA SINERGIA sin previa autorización</w:t>
      </w:r>
    </w:p>
    <w:p>
      <w:pPr>
        <w:spacing w:after="0" w:line="276" w:lineRule="auto"/>
        <w:jc w:val="left"/>
        <w:rPr>
          <w:sz w:val="18"/>
        </w:rPr>
        <w:sectPr>
          <w:pgSz w:w="12240" w:h="15840"/>
          <w:pgMar w:top="1400" w:bottom="280" w:left="0" w:right="0"/>
        </w:sectPr>
      </w:pPr>
    </w:p>
    <w:p>
      <w:pPr>
        <w:pStyle w:val="BodyText"/>
        <w:rPr>
          <w:sz w:val="20"/>
        </w:rPr>
      </w:pPr>
    </w:p>
    <w:p>
      <w:pPr>
        <w:pStyle w:val="BodyText"/>
        <w:spacing w:before="8"/>
        <w:rPr>
          <w:sz w:val="13"/>
        </w:rPr>
      </w:pPr>
    </w:p>
    <w:p>
      <w:pPr>
        <w:pStyle w:val="BodyText"/>
        <w:ind w:left="3812"/>
        <w:rPr>
          <w:sz w:val="20"/>
        </w:rPr>
      </w:pPr>
      <w:r>
        <w:rPr>
          <w:sz w:val="20"/>
        </w:rPr>
        <w:pict>
          <v:group style="width:253.6pt;height:130.4pt;mso-position-horizontal-relative:char;mso-position-vertical-relative:line" coordorigin="0,0" coordsize="5072,2608">
            <v:shape style="position:absolute;left:0;top:0;width:5072;height:976" type="#_x0000_t75" stroked="false">
              <v:imagedata r:id="rId28" o:title=""/>
            </v:shape>
            <v:shape style="position:absolute;left:289;top:213;width:4081;height:366" type="#_x0000_t75" stroked="false">
              <v:imagedata r:id="rId29" o:title=""/>
            </v:shape>
            <v:shape style="position:absolute;left:892;top:856;width:3284;height:976" type="#_x0000_t75" stroked="false">
              <v:imagedata r:id="rId30" o:title=""/>
            </v:shape>
            <v:shape style="position:absolute;left:1164;top:1069;width:2322;height:366" type="#_x0000_t75" stroked="false">
              <v:imagedata r:id="rId31" o:title=""/>
            </v:shape>
            <v:shape style="position:absolute;left:2048;top:1632;width:832;height:976" type="#_x0000_t75" stroked="false">
              <v:imagedata r:id="rId32" o:title=""/>
            </v:shape>
          </v:group>
        </w:pict>
      </w:r>
      <w:r>
        <w:rPr>
          <w:sz w:val="20"/>
        </w:rPr>
      </w:r>
    </w:p>
    <w:p>
      <w:pPr>
        <w:pStyle w:val="BodyText"/>
        <w:spacing w:before="7"/>
        <w:rPr>
          <w:sz w:val="25"/>
        </w:rPr>
      </w:pPr>
      <w:r>
        <w:rPr/>
        <w:drawing>
          <wp:anchor distT="0" distB="0" distL="0" distR="0" allowOverlap="1" layoutInCell="1" locked="0" behindDoc="0" simplePos="0" relativeHeight="1288">
            <wp:simplePos x="0" y="0"/>
            <wp:positionH relativeFrom="page">
              <wp:posOffset>2278379</wp:posOffset>
            </wp:positionH>
            <wp:positionV relativeFrom="paragraph">
              <wp:posOffset>212090</wp:posOffset>
            </wp:positionV>
            <wp:extent cx="3219838" cy="2958083"/>
            <wp:effectExtent l="0" t="0" r="0" b="0"/>
            <wp:wrapTopAndBottom/>
            <wp:docPr id="5" name="image27.png" descr=""/>
            <wp:cNvGraphicFramePr>
              <a:graphicFrameLocks noChangeAspect="1"/>
            </wp:cNvGraphicFramePr>
            <a:graphic>
              <a:graphicData uri="http://schemas.openxmlformats.org/drawingml/2006/picture">
                <pic:pic>
                  <pic:nvPicPr>
                    <pic:cNvPr id="6" name="image27.png"/>
                    <pic:cNvPicPr/>
                  </pic:nvPicPr>
                  <pic:blipFill>
                    <a:blip r:embed="rId33" cstate="print"/>
                    <a:stretch>
                      <a:fillRect/>
                    </a:stretch>
                  </pic:blipFill>
                  <pic:spPr>
                    <a:xfrm>
                      <a:off x="0" y="0"/>
                      <a:ext cx="3219838" cy="2958083"/>
                    </a:xfrm>
                    <a:prstGeom prst="rect">
                      <a:avLst/>
                    </a:prstGeom>
                  </pic:spPr>
                </pic:pic>
              </a:graphicData>
            </a:graphic>
          </wp:anchor>
        </w:drawing>
      </w:r>
    </w:p>
    <w:p>
      <w:pPr>
        <w:pStyle w:val="BodyText"/>
        <w:rPr>
          <w:sz w:val="20"/>
        </w:rPr>
      </w:pPr>
    </w:p>
    <w:p>
      <w:pPr>
        <w:pStyle w:val="BodyText"/>
        <w:spacing w:before="3"/>
        <w:rPr>
          <w:sz w:val="26"/>
        </w:rPr>
      </w:pPr>
    </w:p>
    <w:p>
      <w:pPr>
        <w:spacing w:before="94"/>
        <w:ind w:left="1734" w:right="1732" w:firstLine="0"/>
        <w:jc w:val="center"/>
        <w:rPr>
          <w:sz w:val="18"/>
        </w:rPr>
      </w:pPr>
      <w:r>
        <w:rPr>
          <w:sz w:val="18"/>
          <w:shd w:fill="D2D2D2" w:color="auto" w:val="clear"/>
        </w:rPr>
        <w:t>Publicación Mensua</w:t>
      </w:r>
      <w:r>
        <w:rPr>
          <w:sz w:val="18"/>
        </w:rPr>
        <w:t>l</w:t>
      </w:r>
    </w:p>
    <w:p>
      <w:pPr>
        <w:pStyle w:val="BodyText"/>
        <w:spacing w:before="7"/>
        <w:rPr>
          <w:sz w:val="20"/>
        </w:rPr>
      </w:pPr>
    </w:p>
    <w:p>
      <w:pPr>
        <w:tabs>
          <w:tab w:pos="5737" w:val="left" w:leader="none"/>
          <w:tab w:pos="6089" w:val="left" w:leader="none"/>
        </w:tabs>
        <w:spacing w:line="259" w:lineRule="auto" w:before="0"/>
        <w:ind w:left="4673" w:right="4671" w:firstLine="0"/>
        <w:jc w:val="center"/>
        <w:rPr>
          <w:sz w:val="18"/>
        </w:rPr>
      </w:pPr>
      <w:r>
        <w:rPr>
          <w:sz w:val="18"/>
        </w:rPr>
        <w:t>Fecha de publicación: ENERO</w:t>
      </w:r>
      <w:r>
        <w:rPr>
          <w:spacing w:val="-5"/>
          <w:sz w:val="18"/>
        </w:rPr>
        <w:t> </w:t>
      </w:r>
      <w:r>
        <w:rPr>
          <w:sz w:val="18"/>
        </w:rPr>
        <w:t>2017 Volumen:2</w:t>
        <w:tab/>
        <w:t>–</w:t>
        <w:tab/>
        <w:t>Numero:1</w:t>
      </w:r>
    </w:p>
    <w:p>
      <w:pPr>
        <w:spacing w:line="259" w:lineRule="auto" w:before="1"/>
        <w:ind w:left="4245" w:right="4103" w:firstLine="300"/>
        <w:jc w:val="left"/>
        <w:rPr>
          <w:sz w:val="18"/>
        </w:rPr>
      </w:pPr>
      <w:r>
        <w:rPr>
          <w:sz w:val="18"/>
        </w:rPr>
        <w:t>Nombre de editorial: Editorial Esculapio Lugar de edición: 50 metros norte de UCIMED,</w:t>
      </w:r>
    </w:p>
    <w:p>
      <w:pPr>
        <w:spacing w:line="259" w:lineRule="auto" w:before="1"/>
        <w:ind w:left="4673" w:right="4668" w:firstLine="0"/>
        <w:jc w:val="center"/>
        <w:rPr>
          <w:sz w:val="18"/>
        </w:rPr>
      </w:pPr>
      <w:r>
        <w:rPr>
          <w:sz w:val="18"/>
        </w:rPr>
        <w:t>Sabana Sur, San José-Costa Rica Teléfono: 8668002</w:t>
      </w:r>
    </w:p>
    <w:p>
      <w:pPr>
        <w:spacing w:before="13"/>
        <w:ind w:left="1735" w:right="1732" w:firstLine="0"/>
        <w:jc w:val="center"/>
        <w:rPr>
          <w:sz w:val="18"/>
        </w:rPr>
      </w:pPr>
      <w:r>
        <w:rPr>
          <w:sz w:val="18"/>
        </w:rPr>
        <w:t>E-mail: </w:t>
      </w:r>
      <w:hyperlink r:id="rId25">
        <w:r>
          <w:rPr>
            <w:sz w:val="18"/>
          </w:rPr>
          <w:t>revistamedicasinergia@gmail.com</w:t>
        </w:r>
      </w:hyperlink>
    </w:p>
    <w:p>
      <w:pPr>
        <w:pStyle w:val="BodyText"/>
        <w:rPr>
          <w:sz w:val="20"/>
        </w:rPr>
      </w:pPr>
    </w:p>
    <w:p>
      <w:pPr>
        <w:pStyle w:val="BodyText"/>
        <w:rPr>
          <w:sz w:val="20"/>
        </w:rPr>
      </w:pPr>
    </w:p>
    <w:p>
      <w:pPr>
        <w:pStyle w:val="BodyText"/>
        <w:spacing w:before="8"/>
        <w:rPr>
          <w:sz w:val="16"/>
        </w:rPr>
      </w:pPr>
      <w:r>
        <w:rPr/>
        <w:drawing>
          <wp:anchor distT="0" distB="0" distL="0" distR="0" allowOverlap="1" layoutInCell="1" locked="0" behindDoc="0" simplePos="0" relativeHeight="1312">
            <wp:simplePos x="0" y="0"/>
            <wp:positionH relativeFrom="page">
              <wp:posOffset>3721100</wp:posOffset>
            </wp:positionH>
            <wp:positionV relativeFrom="paragraph">
              <wp:posOffset>146681</wp:posOffset>
            </wp:positionV>
            <wp:extent cx="519009" cy="608838"/>
            <wp:effectExtent l="0" t="0" r="0" b="0"/>
            <wp:wrapTopAndBottom/>
            <wp:docPr id="7" name="image26.png" descr=""/>
            <wp:cNvGraphicFramePr>
              <a:graphicFrameLocks noChangeAspect="1"/>
            </wp:cNvGraphicFramePr>
            <a:graphic>
              <a:graphicData uri="http://schemas.openxmlformats.org/drawingml/2006/picture">
                <pic:pic>
                  <pic:nvPicPr>
                    <pic:cNvPr id="8" name="image26.png"/>
                    <pic:cNvPicPr/>
                  </pic:nvPicPr>
                  <pic:blipFill>
                    <a:blip r:embed="rId32" cstate="print"/>
                    <a:stretch>
                      <a:fillRect/>
                    </a:stretch>
                  </pic:blipFill>
                  <pic:spPr>
                    <a:xfrm>
                      <a:off x="0" y="0"/>
                      <a:ext cx="519009" cy="608838"/>
                    </a:xfrm>
                    <a:prstGeom prst="rect">
                      <a:avLst/>
                    </a:prstGeom>
                  </pic:spPr>
                </pic:pic>
              </a:graphicData>
            </a:graphic>
          </wp:anchor>
        </w:drawing>
      </w:r>
    </w:p>
    <w:p>
      <w:pPr>
        <w:spacing w:after="0"/>
        <w:rPr>
          <w:sz w:val="16"/>
        </w:rPr>
        <w:sectPr>
          <w:pgSz w:w="12240" w:h="15840"/>
          <w:pgMar w:top="1500" w:bottom="280" w:left="0" w:right="0"/>
        </w:sectPr>
      </w:pPr>
    </w:p>
    <w:p>
      <w:pPr>
        <w:pStyle w:val="BodyText"/>
        <w:rPr>
          <w:sz w:val="20"/>
        </w:rPr>
      </w:pPr>
    </w:p>
    <w:p>
      <w:pPr>
        <w:pStyle w:val="BodyText"/>
        <w:rPr>
          <w:sz w:val="20"/>
        </w:rPr>
      </w:pPr>
    </w:p>
    <w:p>
      <w:pPr>
        <w:pStyle w:val="BodyText"/>
        <w:rPr>
          <w:sz w:val="20"/>
        </w:rPr>
      </w:pPr>
    </w:p>
    <w:p>
      <w:pPr>
        <w:pStyle w:val="Heading2"/>
        <w:spacing w:before="236"/>
        <w:ind w:right="1732"/>
        <w:jc w:val="center"/>
      </w:pPr>
      <w:r>
        <w:rPr/>
        <w:pict>
          <v:group style="position:absolute;margin-left:-.25pt;margin-top:-34.736183pt;width:610.65pt;height:81.1pt;mso-position-horizontal-relative:page;mso-position-vertical-relative:paragraph;z-index:-64840" coordorigin="-5,-695" coordsize="12213,1622">
            <v:shape style="position:absolute;left:5860;top:-695;width:832;height:976" type="#_x0000_t75" stroked="false">
              <v:imagedata r:id="rId32" o:title=""/>
            </v:shape>
            <v:shape style="position:absolute;left:-5;top:161;width:12213;height:765" type="#_x0000_t75" stroked="false">
              <v:imagedata r:id="rId36" o:title=""/>
            </v:shape>
            <w10:wrap type="none"/>
          </v:group>
        </w:pict>
      </w:r>
      <w:r>
        <w:rPr/>
        <w:t>AUTORES</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4"/>
        <w:rPr>
          <w:b/>
          <w:sz w:val="23"/>
        </w:rPr>
      </w:pPr>
    </w:p>
    <w:p>
      <w:pPr>
        <w:pStyle w:val="BodyText"/>
        <w:spacing w:before="1"/>
        <w:ind w:left="1440"/>
      </w:pPr>
      <w:r>
        <w:rPr/>
        <w:t>Randall Quirós Fallas</w:t>
      </w:r>
    </w:p>
    <w:p>
      <w:pPr>
        <w:pStyle w:val="BodyText"/>
        <w:spacing w:before="127"/>
        <w:ind w:left="1440"/>
      </w:pPr>
      <w:r>
        <w:rPr/>
        <w:t>Médico General. Universidad de Iberoamérica. San José - Costa Rica</w:t>
      </w:r>
    </w:p>
    <w:p>
      <w:pPr>
        <w:pStyle w:val="BodyText"/>
        <w:rPr>
          <w:sz w:val="24"/>
        </w:rPr>
      </w:pPr>
    </w:p>
    <w:p>
      <w:pPr>
        <w:pStyle w:val="BodyText"/>
        <w:rPr>
          <w:sz w:val="24"/>
        </w:rPr>
      </w:pPr>
    </w:p>
    <w:p>
      <w:pPr>
        <w:pStyle w:val="BodyText"/>
        <w:rPr>
          <w:sz w:val="34"/>
        </w:rPr>
      </w:pPr>
    </w:p>
    <w:p>
      <w:pPr>
        <w:pStyle w:val="BodyText"/>
        <w:ind w:left="1440"/>
      </w:pPr>
      <w:r>
        <w:rPr/>
        <w:t>Mariangela Espinosa Ramírez</w:t>
      </w:r>
    </w:p>
    <w:p>
      <w:pPr>
        <w:pStyle w:val="BodyText"/>
        <w:spacing w:before="126"/>
        <w:ind w:left="1440"/>
      </w:pPr>
      <w:r>
        <w:rPr/>
        <w:t>Médico General. Universidad de Ciencias Médicas. San José – Costa Rica.</w:t>
      </w: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163"/>
        <w:ind w:left="1440"/>
      </w:pPr>
      <w:r>
        <w:rPr/>
        <w:t>Esteban Sánchez Gaitán</w:t>
      </w:r>
    </w:p>
    <w:p>
      <w:pPr>
        <w:pStyle w:val="BodyText"/>
        <w:spacing w:before="123"/>
        <w:ind w:left="1440"/>
      </w:pPr>
      <w:r>
        <w:rPr/>
        <w:t>Médico General. Universidad de Ciencias Médicas. San José – Costa Rica</w:t>
      </w:r>
    </w:p>
    <w:p>
      <w:pPr>
        <w:pStyle w:val="BodyText"/>
        <w:rPr>
          <w:sz w:val="24"/>
        </w:rPr>
      </w:pPr>
    </w:p>
    <w:p>
      <w:pPr>
        <w:pStyle w:val="BodyText"/>
        <w:rPr>
          <w:sz w:val="24"/>
        </w:rPr>
      </w:pPr>
    </w:p>
    <w:p>
      <w:pPr>
        <w:pStyle w:val="BodyText"/>
        <w:rPr>
          <w:sz w:val="24"/>
        </w:rPr>
      </w:pPr>
    </w:p>
    <w:p>
      <w:pPr>
        <w:pStyle w:val="BodyText"/>
        <w:rPr>
          <w:sz w:val="26"/>
        </w:rPr>
      </w:pPr>
    </w:p>
    <w:p>
      <w:pPr>
        <w:pStyle w:val="BodyText"/>
        <w:ind w:left="1440"/>
      </w:pPr>
      <w:r>
        <w:rPr/>
        <w:t>María Fernanda Bolaños Solís</w:t>
      </w:r>
    </w:p>
    <w:p>
      <w:pPr>
        <w:pStyle w:val="BodyText"/>
        <w:spacing w:before="126"/>
        <w:ind w:left="1440"/>
      </w:pPr>
      <w:r>
        <w:rPr/>
        <w:t>Médico General. Universidad Autónoma de Centroamérica. San José – Costa Rica</w:t>
      </w: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159"/>
        <w:ind w:left="1440"/>
      </w:pPr>
      <w:r>
        <w:rPr/>
        <w:t>Karla León Torres</w:t>
      </w:r>
    </w:p>
    <w:p>
      <w:pPr>
        <w:pStyle w:val="BodyText"/>
        <w:spacing w:before="127"/>
        <w:ind w:left="1440"/>
      </w:pPr>
      <w:r>
        <w:rPr/>
        <w:t>Médico General. Universidad de Ciencias Médicas. San José – Costa Rica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9"/>
        </w:rPr>
      </w:pPr>
    </w:p>
    <w:p>
      <w:pPr>
        <w:spacing w:line="259" w:lineRule="auto" w:before="1"/>
        <w:ind w:left="1440" w:right="1918" w:firstLine="0"/>
        <w:jc w:val="both"/>
        <w:rPr>
          <w:sz w:val="18"/>
        </w:rPr>
      </w:pPr>
      <w:r>
        <w:rPr>
          <w:sz w:val="18"/>
          <w:shd w:fill="D2D2D2" w:color="auto" w:val="clear"/>
        </w:rPr>
        <w:t>Nota:</w:t>
      </w:r>
      <w:r>
        <w:rPr>
          <w:sz w:val="18"/>
        </w:rPr>
        <w:t> Las opiniones emitidas en artículos científicos, literarios, revisiones bibliográficas, son de</w:t>
      </w:r>
      <w:r>
        <w:rPr>
          <w:spacing w:val="-33"/>
          <w:sz w:val="18"/>
        </w:rPr>
        <w:t> </w:t>
      </w:r>
      <w:r>
        <w:rPr>
          <w:sz w:val="18"/>
        </w:rPr>
        <w:t>responsabilidad exclusiva de sus autores. Está totalmente prohibida su reproducción de REVISTA MEDICA SINRGIA sin previa autorización</w:t>
      </w:r>
    </w:p>
    <w:p>
      <w:pPr>
        <w:spacing w:after="0" w:line="259" w:lineRule="auto"/>
        <w:jc w:val="both"/>
        <w:rPr>
          <w:sz w:val="18"/>
        </w:rPr>
        <w:sectPr>
          <w:footerReference w:type="even" r:id="rId34"/>
          <w:footerReference w:type="default" r:id="rId35"/>
          <w:pgSz w:w="12240" w:h="15840"/>
          <w:pgMar w:footer="872" w:header="0" w:top="1320" w:bottom="1060" w:left="0" w:right="0"/>
          <w:pgNumType w:start="2"/>
        </w:sectPr>
      </w:pPr>
    </w:p>
    <w:p>
      <w:pPr>
        <w:spacing w:line="390" w:lineRule="atLeast" w:before="56"/>
        <w:ind w:left="1928" w:right="-13" w:hanging="268"/>
        <w:jc w:val="left"/>
        <w:rPr>
          <w:sz w:val="16"/>
        </w:rPr>
      </w:pPr>
      <w:r>
        <w:rPr>
          <w:sz w:val="16"/>
        </w:rPr>
        <w:t>Revista Médica</w:t>
      </w:r>
      <w:r>
        <w:rPr>
          <w:spacing w:val="-12"/>
          <w:sz w:val="16"/>
        </w:rPr>
        <w:t> </w:t>
      </w:r>
      <w:r>
        <w:rPr>
          <w:sz w:val="16"/>
        </w:rPr>
        <w:t>Sinergia ISSN</w:t>
      </w:r>
      <w:r>
        <w:rPr>
          <w:spacing w:val="-1"/>
          <w:sz w:val="16"/>
        </w:rPr>
        <w:t> </w:t>
      </w:r>
      <w:r>
        <w:rPr>
          <w:sz w:val="16"/>
        </w:rPr>
        <w:t>2215-4523</w:t>
      </w:r>
    </w:p>
    <w:p>
      <w:pPr>
        <w:spacing w:line="261" w:lineRule="auto" w:before="15"/>
        <w:ind w:left="1768" w:right="14" w:firstLine="311"/>
        <w:jc w:val="left"/>
        <w:rPr>
          <w:sz w:val="16"/>
        </w:rPr>
      </w:pPr>
      <w:r>
        <w:rPr>
          <w:sz w:val="16"/>
        </w:rPr>
        <w:t>Vol.2 Num:1 Enero 2017 pp:3 - 7</w:t>
      </w:r>
    </w:p>
    <w:p>
      <w:pPr>
        <w:pStyle w:val="Heading3"/>
        <w:spacing w:line="276" w:lineRule="auto"/>
        <w:ind w:left="2205" w:right="1928" w:hanging="841"/>
        <w:jc w:val="left"/>
      </w:pPr>
      <w:r>
        <w:rPr>
          <w:b w:val="0"/>
        </w:rPr>
        <w:br w:type="column"/>
      </w:r>
      <w:r>
        <w:rPr/>
        <w:t>ACTUALIZACION DE LOS FACTORES DE RIESGO CARDIOVASCULAR</w:t>
      </w:r>
    </w:p>
    <w:p>
      <w:pPr>
        <w:spacing w:line="228" w:lineRule="exact" w:before="0"/>
        <w:ind w:left="1469" w:right="0" w:firstLine="0"/>
        <w:jc w:val="left"/>
        <w:rPr>
          <w:sz w:val="20"/>
        </w:rPr>
      </w:pPr>
      <w:r>
        <w:rPr/>
        <w:pict>
          <v:group style="position:absolute;margin-left:73.800003pt;margin-top:-27.332874pt;width:465.45pt;height:313.8pt;mso-position-horizontal-relative:page;mso-position-vertical-relative:paragraph;z-index:-64816" coordorigin="1476,-547" coordsize="9309,6276">
            <v:shape style="position:absolute;left:3570;top:783;width:7215;height:4815" type="#_x0000_t75" stroked="false">
              <v:imagedata r:id="rId37" o:title=""/>
            </v:shape>
            <v:shape style="position:absolute;left:1476;top:-547;width:2088;height:6276" type="#_x0000_t75" stroked="false">
              <v:imagedata r:id="rId38" o:title=""/>
            </v:shape>
            <w10:wrap type="none"/>
          </v:group>
        </w:pict>
      </w:r>
      <w:r>
        <w:rPr>
          <w:sz w:val="20"/>
        </w:rPr>
        <w:t>(UPDATE CARDIOVASCULAR RISK FACTORS)</w:t>
      </w:r>
    </w:p>
    <w:p>
      <w:pPr>
        <w:pStyle w:val="BodyText"/>
        <w:spacing w:before="67"/>
        <w:ind w:left="5138"/>
      </w:pPr>
      <w:r>
        <w:rPr/>
        <w:t>* Randall Quirós Fallas</w:t>
      </w:r>
    </w:p>
    <w:p>
      <w:pPr>
        <w:spacing w:after="0"/>
        <w:sectPr>
          <w:pgSz w:w="12240" w:h="15840"/>
          <w:pgMar w:header="0" w:footer="882" w:top="1360" w:bottom="1080" w:left="0" w:right="0"/>
          <w:cols w:num="2" w:equalWidth="0">
            <w:col w:w="3381" w:space="40"/>
            <w:col w:w="8819"/>
          </w:cols>
        </w:sectPr>
      </w:pPr>
    </w:p>
    <w:p>
      <w:pPr>
        <w:pStyle w:val="BodyText"/>
        <w:spacing w:before="11"/>
        <w:rPr>
          <w:sz w:val="18"/>
        </w:rPr>
      </w:pPr>
    </w:p>
    <w:p>
      <w:pPr>
        <w:pStyle w:val="BodyText"/>
        <w:spacing w:line="252" w:lineRule="exact" w:before="93"/>
        <w:ind w:left="3721"/>
      </w:pPr>
      <w:r>
        <w:rPr/>
        <w:t>RESUMEN</w:t>
      </w:r>
    </w:p>
    <w:p>
      <w:pPr>
        <w:pStyle w:val="BodyText"/>
        <w:spacing w:line="276" w:lineRule="auto"/>
        <w:ind w:left="3721" w:right="1587"/>
        <w:jc w:val="both"/>
      </w:pPr>
      <w:r>
        <w:rPr/>
        <w:t>Estos factores de riesgo emergentes no son una evaluación  obligatoria en todos los pacientes, pero estaría justificado hacerlo en los pacientes con enfermedad cardiovascular </w:t>
      </w:r>
      <w:r>
        <w:rPr>
          <w:spacing w:val="-3"/>
        </w:rPr>
        <w:t>temprana </w:t>
      </w:r>
      <w:r>
        <w:rPr/>
        <w:t>o con antecedentes</w:t>
      </w:r>
      <w:r>
        <w:rPr>
          <w:spacing w:val="-4"/>
        </w:rPr>
        <w:t> </w:t>
      </w:r>
      <w:r>
        <w:rPr/>
        <w:t>familiares.</w:t>
      </w:r>
    </w:p>
    <w:p>
      <w:pPr>
        <w:pStyle w:val="BodyText"/>
        <w:spacing w:before="3"/>
        <w:rPr>
          <w:sz w:val="25"/>
        </w:rPr>
      </w:pPr>
    </w:p>
    <w:p>
      <w:pPr>
        <w:pStyle w:val="BodyText"/>
        <w:ind w:left="3721"/>
        <w:jc w:val="both"/>
      </w:pPr>
      <w:r>
        <w:rPr/>
        <w:t>DESCRIPTORES</w:t>
      </w:r>
    </w:p>
    <w:p>
      <w:pPr>
        <w:pStyle w:val="BodyText"/>
        <w:spacing w:before="38"/>
        <w:ind w:left="3721"/>
        <w:jc w:val="both"/>
      </w:pPr>
      <w:r>
        <w:rPr/>
        <w:t>Enfermedad cardiovascular, factor de riesgo, fibrinógeno, obesidad.</w:t>
      </w:r>
    </w:p>
    <w:p>
      <w:pPr>
        <w:pStyle w:val="BodyText"/>
        <w:spacing w:before="3"/>
        <w:rPr>
          <w:sz w:val="20"/>
        </w:rPr>
      </w:pPr>
    </w:p>
    <w:p>
      <w:pPr>
        <w:spacing w:after="0"/>
        <w:rPr>
          <w:sz w:val="20"/>
        </w:rPr>
        <w:sectPr>
          <w:type w:val="continuous"/>
          <w:pgSz w:w="12240" w:h="15840"/>
          <w:pgMar w:top="1500" w:bottom="0" w:left="0" w:right="0"/>
        </w:sect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6"/>
        <w:rPr>
          <w:sz w:val="23"/>
        </w:rPr>
      </w:pPr>
    </w:p>
    <w:p>
      <w:pPr>
        <w:spacing w:line="276" w:lineRule="auto" w:before="1"/>
        <w:ind w:left="1476" w:right="-13" w:firstLine="0"/>
        <w:jc w:val="left"/>
        <w:rPr>
          <w:sz w:val="16"/>
        </w:rPr>
      </w:pPr>
      <w:r>
        <w:rPr>
          <w:sz w:val="16"/>
        </w:rPr>
        <w:t>*Médico General. Universidad de</w:t>
      </w:r>
      <w:r>
        <w:rPr>
          <w:spacing w:val="-12"/>
          <w:sz w:val="16"/>
        </w:rPr>
        <w:t> </w:t>
      </w:r>
      <w:r>
        <w:rPr>
          <w:sz w:val="16"/>
        </w:rPr>
        <w:t>Iberoamérica (UNIBE) San José - Costa Rica</w:t>
      </w:r>
    </w:p>
    <w:p>
      <w:pPr>
        <w:pStyle w:val="BodyText"/>
        <w:rPr>
          <w:sz w:val="18"/>
        </w:rPr>
      </w:pPr>
    </w:p>
    <w:p>
      <w:pPr>
        <w:pStyle w:val="BodyText"/>
        <w:spacing w:before="7"/>
        <w:rPr>
          <w:sz w:val="25"/>
        </w:rPr>
      </w:pPr>
    </w:p>
    <w:p>
      <w:pPr>
        <w:pStyle w:val="Heading4"/>
        <w:spacing w:before="1"/>
      </w:pPr>
      <w:r>
        <w:rPr/>
        <w:t>INTRODUCCION</w:t>
      </w:r>
    </w:p>
    <w:p>
      <w:pPr>
        <w:pStyle w:val="BodyText"/>
        <w:spacing w:before="93"/>
        <w:ind w:left="164"/>
      </w:pPr>
      <w:r>
        <w:rPr/>
        <w:br w:type="column"/>
      </w:r>
      <w:r>
        <w:rPr/>
        <w:t>SUMMARY:</w:t>
      </w:r>
    </w:p>
    <w:p>
      <w:pPr>
        <w:pStyle w:val="BodyText"/>
        <w:spacing w:line="276" w:lineRule="auto" w:before="38"/>
        <w:ind w:left="164" w:right="1629"/>
      </w:pPr>
      <w:r>
        <w:rPr/>
        <w:t>These emerging risk factors are not mandatory evaluation in all patients but it would be justified to do in those early cardiovascular patient or with a family history of it.</w:t>
      </w:r>
    </w:p>
    <w:p>
      <w:pPr>
        <w:pStyle w:val="BodyText"/>
        <w:spacing w:before="3"/>
        <w:rPr>
          <w:sz w:val="25"/>
        </w:rPr>
      </w:pPr>
    </w:p>
    <w:p>
      <w:pPr>
        <w:pStyle w:val="BodyText"/>
        <w:ind w:left="164"/>
      </w:pPr>
      <w:r>
        <w:rPr/>
        <w:t>KEYWORDS</w:t>
      </w:r>
    </w:p>
    <w:p>
      <w:pPr>
        <w:pStyle w:val="BodyText"/>
        <w:spacing w:before="39"/>
        <w:ind w:left="164"/>
      </w:pPr>
      <w:r>
        <w:rPr/>
        <w:t>Cardiovascular disease, risk factor, fibrinogen, obesity.</w:t>
      </w:r>
    </w:p>
    <w:p>
      <w:pPr>
        <w:pStyle w:val="BodyText"/>
        <w:spacing w:before="1"/>
        <w:rPr>
          <w:sz w:val="21"/>
        </w:rPr>
      </w:pPr>
    </w:p>
    <w:p>
      <w:pPr>
        <w:pStyle w:val="BodyText"/>
        <w:spacing w:line="276" w:lineRule="auto"/>
        <w:ind w:left="2925" w:right="1434"/>
        <w:jc w:val="both"/>
      </w:pPr>
      <w:r>
        <w:rPr/>
        <w:t>en los individuos que la presentan. El concepto de factor de riesgo fue introducido en el estudio Framingham hace más de</w:t>
      </w:r>
    </w:p>
    <w:p>
      <w:pPr>
        <w:spacing w:after="0" w:line="276" w:lineRule="auto"/>
        <w:jc w:val="both"/>
        <w:sectPr>
          <w:type w:val="continuous"/>
          <w:pgSz w:w="12240" w:h="15840"/>
          <w:pgMar w:top="1500" w:bottom="0" w:left="0" w:right="0"/>
          <w:cols w:num="2" w:equalWidth="0">
            <w:col w:w="3517" w:space="40"/>
            <w:col w:w="8683"/>
          </w:cols>
        </w:sectPr>
      </w:pPr>
    </w:p>
    <w:p>
      <w:pPr>
        <w:pStyle w:val="BodyText"/>
        <w:spacing w:line="276" w:lineRule="auto" w:before="46"/>
        <w:ind w:left="1440"/>
        <w:jc w:val="both"/>
      </w:pPr>
      <w:r>
        <w:rPr/>
        <w:t>En </w:t>
      </w:r>
      <w:r>
        <w:rPr>
          <w:spacing w:val="-3"/>
        </w:rPr>
        <w:t>la </w:t>
      </w:r>
      <w:r>
        <w:rPr/>
        <w:t>última década, las enfermedades cardiovasculares (ECV) se han convertido en </w:t>
      </w:r>
      <w:r>
        <w:rPr>
          <w:spacing w:val="-3"/>
        </w:rPr>
        <w:t>la </w:t>
      </w:r>
      <w:r>
        <w:rPr/>
        <w:t>causa individual de muerte más importante en todo el mundo. En 2010, se calcula que las ECV causaron 16 millones de fallecimientos y condujeron a </w:t>
      </w:r>
      <w:r>
        <w:rPr>
          <w:spacing w:val="-3"/>
        </w:rPr>
        <w:t>la </w:t>
      </w:r>
      <w:r>
        <w:rPr/>
        <w:t>pérdida de 293 millones de años de vida ajustados según </w:t>
      </w:r>
      <w:r>
        <w:rPr>
          <w:spacing w:val="-3"/>
        </w:rPr>
        <w:t>la </w:t>
      </w:r>
      <w:r>
        <w:rPr/>
        <w:t>discapacidad, </w:t>
      </w:r>
      <w:r>
        <w:rPr>
          <w:spacing w:val="-3"/>
        </w:rPr>
        <w:t>lo </w:t>
      </w:r>
      <w:r>
        <w:rPr/>
        <w:t>que representa cerca del 30% de todos los fallecimientos. Al igual que muchos países de renta alta en el último siglo, los países de renta media y baja están siendo testigos de un incremento alarmante y acelerado en las tasas de enfermedad</w:t>
      </w:r>
      <w:r>
        <w:rPr>
          <w:spacing w:val="-5"/>
        </w:rPr>
        <w:t> </w:t>
      </w:r>
      <w:r>
        <w:rPr/>
        <w:t>cardiovascular.</w:t>
      </w:r>
    </w:p>
    <w:p>
      <w:pPr>
        <w:pStyle w:val="BodyText"/>
        <w:spacing w:before="6"/>
        <w:rPr>
          <w:sz w:val="24"/>
        </w:rPr>
      </w:pPr>
    </w:p>
    <w:p>
      <w:pPr>
        <w:pStyle w:val="BodyText"/>
        <w:spacing w:line="276" w:lineRule="auto" w:before="1"/>
        <w:ind w:left="1440" w:right="1"/>
        <w:jc w:val="both"/>
      </w:pPr>
      <w:r>
        <w:rPr/>
        <w:t>Un factor de riesgo cardiovascular (FRC) es una característica biológica o una conducta que aumenta </w:t>
      </w:r>
      <w:r>
        <w:rPr>
          <w:spacing w:val="-3"/>
        </w:rPr>
        <w:t>la </w:t>
      </w:r>
      <w:r>
        <w:rPr/>
        <w:t>probabilidad de padecer o morir de enfermedad cardiovascular</w:t>
      </w:r>
      <w:r>
        <w:rPr>
          <w:spacing w:val="55"/>
        </w:rPr>
        <w:t> </w:t>
      </w:r>
      <w:r>
        <w:rPr/>
        <w:t>(ECV)</w:t>
      </w:r>
    </w:p>
    <w:p>
      <w:pPr>
        <w:pStyle w:val="BodyText"/>
        <w:spacing w:line="276" w:lineRule="auto" w:before="1"/>
        <w:ind w:left="680" w:right="1437"/>
        <w:jc w:val="both"/>
      </w:pPr>
      <w:r>
        <w:rPr/>
        <w:br w:type="column"/>
      </w:r>
      <w:r>
        <w:rPr/>
        <w:t>cincuenta años, y desde entonces los avances en el área de </w:t>
      </w:r>
      <w:r>
        <w:rPr>
          <w:spacing w:val="-3"/>
        </w:rPr>
        <w:t>la </w:t>
      </w:r>
      <w:r>
        <w:rPr/>
        <w:t>epidemiología han permitido realizar estudios clínicos en grandes poblaciones y se han podido identificar una serie de factores de riesgo de </w:t>
      </w:r>
      <w:r>
        <w:rPr>
          <w:spacing w:val="-3"/>
        </w:rPr>
        <w:t>la </w:t>
      </w:r>
      <w:r>
        <w:rPr/>
        <w:t>ECV que actuarían como inductores de </w:t>
      </w:r>
      <w:r>
        <w:rPr>
          <w:spacing w:val="-3"/>
        </w:rPr>
        <w:t>la </w:t>
      </w:r>
      <w:r>
        <w:rPr/>
        <w:t>formación de </w:t>
      </w:r>
      <w:r>
        <w:rPr>
          <w:spacing w:val="-3"/>
        </w:rPr>
        <w:t>la </w:t>
      </w:r>
      <w:r>
        <w:rPr/>
        <w:t>placa de</w:t>
      </w:r>
      <w:r>
        <w:rPr>
          <w:spacing w:val="3"/>
        </w:rPr>
        <w:t> </w:t>
      </w:r>
      <w:r>
        <w:rPr/>
        <w:t>ateroma.</w:t>
      </w:r>
    </w:p>
    <w:p>
      <w:pPr>
        <w:pStyle w:val="BodyText"/>
        <w:spacing w:before="6"/>
        <w:rPr>
          <w:sz w:val="23"/>
        </w:rPr>
      </w:pPr>
    </w:p>
    <w:p>
      <w:pPr>
        <w:pStyle w:val="Heading4"/>
        <w:tabs>
          <w:tab w:pos="2864" w:val="left" w:leader="none"/>
          <w:tab w:pos="4064" w:val="left" w:leader="none"/>
        </w:tabs>
        <w:ind w:left="680" w:right="1434"/>
        <w:jc w:val="both"/>
      </w:pPr>
      <w:r>
        <w:rPr/>
        <w:t>FACTORES</w:t>
        <w:tab/>
        <w:t>DE</w:t>
        <w:tab/>
        <w:t>RIESGO TRADICIONALES</w:t>
      </w:r>
    </w:p>
    <w:p>
      <w:pPr>
        <w:pStyle w:val="BodyText"/>
        <w:spacing w:before="10"/>
        <w:rPr>
          <w:b/>
          <w:sz w:val="24"/>
        </w:rPr>
      </w:pPr>
    </w:p>
    <w:p>
      <w:pPr>
        <w:pStyle w:val="BodyText"/>
        <w:spacing w:line="276" w:lineRule="auto"/>
        <w:ind w:left="680" w:right="1434"/>
        <w:jc w:val="both"/>
      </w:pPr>
      <w:r>
        <w:rPr/>
        <w:t>Desde hace años hay una clara evidencia científica de una serie de factores de riesgo cardiovascular mayores, llamados “tradicionales”, como son:</w:t>
      </w:r>
    </w:p>
    <w:p>
      <w:pPr>
        <w:pStyle w:val="BodyText"/>
        <w:spacing w:before="2"/>
        <w:rPr>
          <w:sz w:val="24"/>
        </w:rPr>
      </w:pPr>
    </w:p>
    <w:p>
      <w:pPr>
        <w:pStyle w:val="ListParagraph"/>
        <w:numPr>
          <w:ilvl w:val="0"/>
          <w:numId w:val="6"/>
        </w:numPr>
        <w:tabs>
          <w:tab w:pos="1402" w:val="left" w:leader="none"/>
        </w:tabs>
        <w:spacing w:line="276" w:lineRule="auto" w:before="0" w:after="0"/>
        <w:ind w:left="1401" w:right="1434" w:hanging="361"/>
        <w:jc w:val="left"/>
        <w:rPr>
          <w:sz w:val="22"/>
        </w:rPr>
      </w:pPr>
      <w:r>
        <w:rPr>
          <w:sz w:val="22"/>
        </w:rPr>
        <w:t>Edad y sexo (hombre ≥45 años, mujer ≥55</w:t>
      </w:r>
      <w:r>
        <w:rPr>
          <w:spacing w:val="-4"/>
          <w:sz w:val="22"/>
        </w:rPr>
        <w:t> </w:t>
      </w:r>
      <w:r>
        <w:rPr>
          <w:sz w:val="22"/>
        </w:rPr>
        <w:t>años).</w:t>
      </w:r>
    </w:p>
    <w:p>
      <w:pPr>
        <w:pStyle w:val="ListParagraph"/>
        <w:numPr>
          <w:ilvl w:val="0"/>
          <w:numId w:val="6"/>
        </w:numPr>
        <w:tabs>
          <w:tab w:pos="1285" w:val="left" w:leader="none"/>
        </w:tabs>
        <w:spacing w:line="240" w:lineRule="auto" w:before="1" w:after="0"/>
        <w:ind w:left="1284" w:right="0" w:hanging="244"/>
        <w:jc w:val="left"/>
        <w:rPr>
          <w:sz w:val="22"/>
        </w:rPr>
      </w:pPr>
      <w:r>
        <w:rPr>
          <w:sz w:val="22"/>
        </w:rPr>
        <w:t>Tabaquismo.</w:t>
      </w:r>
    </w:p>
    <w:p>
      <w:pPr>
        <w:spacing w:after="0" w:line="240" w:lineRule="auto"/>
        <w:jc w:val="left"/>
        <w:rPr>
          <w:sz w:val="22"/>
        </w:rPr>
        <w:sectPr>
          <w:type w:val="continuous"/>
          <w:pgSz w:w="12240" w:h="15840"/>
          <w:pgMar w:top="1500" w:bottom="0" w:left="0" w:right="0"/>
          <w:cols w:num="2" w:equalWidth="0">
            <w:col w:w="5762" w:space="40"/>
            <w:col w:w="6438"/>
          </w:cols>
        </w:sectPr>
      </w:pPr>
    </w:p>
    <w:p>
      <w:pPr>
        <w:pStyle w:val="BodyText"/>
        <w:rPr>
          <w:sz w:val="20"/>
        </w:rPr>
      </w:pPr>
    </w:p>
    <w:p>
      <w:pPr>
        <w:spacing w:after="0"/>
        <w:rPr>
          <w:sz w:val="20"/>
        </w:rPr>
        <w:sectPr>
          <w:headerReference w:type="even" r:id="rId39"/>
          <w:headerReference w:type="default" r:id="rId40"/>
          <w:pgSz w:w="12240" w:h="15840"/>
          <w:pgMar w:header="723" w:footer="872" w:top="940" w:bottom="1060" w:left="0" w:right="0"/>
        </w:sectPr>
      </w:pPr>
    </w:p>
    <w:p>
      <w:pPr>
        <w:pStyle w:val="BodyText"/>
        <w:spacing w:before="8"/>
      </w:pPr>
    </w:p>
    <w:p>
      <w:pPr>
        <w:pStyle w:val="ListParagraph"/>
        <w:numPr>
          <w:ilvl w:val="1"/>
          <w:numId w:val="6"/>
        </w:numPr>
        <w:tabs>
          <w:tab w:pos="2161" w:val="left" w:leader="none"/>
        </w:tabs>
        <w:spacing w:line="276" w:lineRule="auto" w:before="0" w:after="0"/>
        <w:ind w:left="2160" w:right="1" w:hanging="360"/>
        <w:jc w:val="both"/>
        <w:rPr>
          <w:sz w:val="22"/>
        </w:rPr>
      </w:pPr>
      <w:r>
        <w:rPr>
          <w:sz w:val="22"/>
        </w:rPr>
        <w:t>Hipertensión arterial (PA ≥140/90 mm/Hg o en tratamiento antihipertensivo).</w:t>
      </w:r>
    </w:p>
    <w:p>
      <w:pPr>
        <w:pStyle w:val="ListParagraph"/>
        <w:numPr>
          <w:ilvl w:val="1"/>
          <w:numId w:val="6"/>
        </w:numPr>
        <w:tabs>
          <w:tab w:pos="2160" w:val="left" w:leader="none"/>
          <w:tab w:pos="2161" w:val="left" w:leader="none"/>
        </w:tabs>
        <w:spacing w:line="240" w:lineRule="auto" w:before="1" w:after="0"/>
        <w:ind w:left="2160" w:right="0" w:hanging="360"/>
        <w:jc w:val="left"/>
        <w:rPr>
          <w:sz w:val="22"/>
        </w:rPr>
      </w:pPr>
      <w:r>
        <w:rPr>
          <w:sz w:val="22"/>
        </w:rPr>
        <w:t>Aumento de colesterol</w:t>
      </w:r>
      <w:r>
        <w:rPr>
          <w:spacing w:val="-11"/>
          <w:sz w:val="22"/>
        </w:rPr>
        <w:t> </w:t>
      </w:r>
      <w:r>
        <w:rPr>
          <w:sz w:val="22"/>
        </w:rPr>
        <w:t>LDL.</w:t>
      </w:r>
    </w:p>
    <w:p>
      <w:pPr>
        <w:pStyle w:val="ListParagraph"/>
        <w:numPr>
          <w:ilvl w:val="1"/>
          <w:numId w:val="6"/>
        </w:numPr>
        <w:tabs>
          <w:tab w:pos="2160" w:val="left" w:leader="none"/>
          <w:tab w:pos="2161" w:val="left" w:leader="none"/>
        </w:tabs>
        <w:spacing w:line="278" w:lineRule="auto" w:before="38" w:after="0"/>
        <w:ind w:left="2160" w:right="2" w:hanging="360"/>
        <w:jc w:val="left"/>
        <w:rPr>
          <w:sz w:val="22"/>
        </w:rPr>
      </w:pPr>
      <w:r>
        <w:rPr>
          <w:sz w:val="22"/>
        </w:rPr>
        <w:t>Disminución de colesterol HDL (&lt;40 mg/dl).</w:t>
      </w:r>
    </w:p>
    <w:p>
      <w:pPr>
        <w:pStyle w:val="ListParagraph"/>
        <w:numPr>
          <w:ilvl w:val="1"/>
          <w:numId w:val="6"/>
        </w:numPr>
        <w:tabs>
          <w:tab w:pos="2160" w:val="left" w:leader="none"/>
          <w:tab w:pos="2161" w:val="left" w:leader="none"/>
        </w:tabs>
        <w:spacing w:line="276" w:lineRule="auto" w:before="0" w:after="0"/>
        <w:ind w:left="2160" w:right="0" w:hanging="360"/>
        <w:jc w:val="left"/>
        <w:rPr>
          <w:sz w:val="22"/>
        </w:rPr>
      </w:pPr>
      <w:r>
        <w:rPr>
          <w:sz w:val="22"/>
        </w:rPr>
        <w:t>Antecedente familiar de enfermedad cardíaca coronaria</w:t>
      </w:r>
      <w:r>
        <w:rPr>
          <w:spacing w:val="-3"/>
          <w:sz w:val="22"/>
        </w:rPr>
        <w:t> </w:t>
      </w:r>
      <w:r>
        <w:rPr>
          <w:sz w:val="22"/>
        </w:rPr>
        <w:t>prematura.</w:t>
      </w:r>
    </w:p>
    <w:p>
      <w:pPr>
        <w:pStyle w:val="ListParagraph"/>
        <w:numPr>
          <w:ilvl w:val="1"/>
          <w:numId w:val="6"/>
        </w:numPr>
        <w:tabs>
          <w:tab w:pos="2160" w:val="left" w:leader="none"/>
          <w:tab w:pos="2161" w:val="left" w:leader="none"/>
        </w:tabs>
        <w:spacing w:line="240" w:lineRule="auto" w:before="6" w:after="0"/>
        <w:ind w:left="2160" w:right="0" w:hanging="360"/>
        <w:jc w:val="left"/>
        <w:rPr>
          <w:sz w:val="22"/>
        </w:rPr>
      </w:pPr>
      <w:r>
        <w:rPr>
          <w:sz w:val="22"/>
        </w:rPr>
        <w:t>Hombre familiar en primer</w:t>
      </w:r>
      <w:r>
        <w:rPr>
          <w:spacing w:val="51"/>
          <w:sz w:val="22"/>
        </w:rPr>
        <w:t> </w:t>
      </w:r>
      <w:r>
        <w:rPr>
          <w:sz w:val="22"/>
        </w:rPr>
        <w:t>grado</w:t>
      </w:r>
    </w:p>
    <w:p>
      <w:pPr>
        <w:pStyle w:val="BodyText"/>
        <w:spacing w:line="273" w:lineRule="auto" w:before="38"/>
        <w:ind w:left="2160"/>
      </w:pPr>
      <w:r>
        <w:rPr/>
        <w:t>&lt;55 años Mujer familiar en primer grado &lt;65 años.</w:t>
      </w:r>
    </w:p>
    <w:p>
      <w:pPr>
        <w:pStyle w:val="ListParagraph"/>
        <w:numPr>
          <w:ilvl w:val="1"/>
          <w:numId w:val="6"/>
        </w:numPr>
        <w:tabs>
          <w:tab w:pos="2160" w:val="left" w:leader="none"/>
          <w:tab w:pos="2161" w:val="left" w:leader="none"/>
        </w:tabs>
        <w:spacing w:line="240" w:lineRule="auto" w:before="4" w:after="0"/>
        <w:ind w:left="2160" w:right="0" w:hanging="360"/>
        <w:jc w:val="left"/>
        <w:rPr>
          <w:sz w:val="22"/>
        </w:rPr>
      </w:pPr>
      <w:r>
        <w:rPr>
          <w:sz w:val="22"/>
        </w:rPr>
        <w:t>Diabetes</w:t>
      </w:r>
      <w:r>
        <w:rPr>
          <w:spacing w:val="-5"/>
          <w:sz w:val="22"/>
        </w:rPr>
        <w:t> </w:t>
      </w:r>
      <w:r>
        <w:rPr>
          <w:sz w:val="22"/>
        </w:rPr>
        <w:t>mellitus.</w:t>
      </w:r>
    </w:p>
    <w:p>
      <w:pPr>
        <w:pStyle w:val="ListParagraph"/>
        <w:numPr>
          <w:ilvl w:val="1"/>
          <w:numId w:val="6"/>
        </w:numPr>
        <w:tabs>
          <w:tab w:pos="2160" w:val="left" w:leader="none"/>
          <w:tab w:pos="2161" w:val="left" w:leader="none"/>
        </w:tabs>
        <w:spacing w:line="276" w:lineRule="auto" w:before="39" w:after="0"/>
        <w:ind w:left="2160" w:right="0" w:hanging="360"/>
        <w:jc w:val="left"/>
        <w:rPr>
          <w:sz w:val="22"/>
        </w:rPr>
      </w:pPr>
      <w:r>
        <w:rPr>
          <w:sz w:val="22"/>
        </w:rPr>
        <w:t>Estilo de vida (sobrepeso/obesidad, sedentarismo, dieta</w:t>
      </w:r>
      <w:r>
        <w:rPr>
          <w:spacing w:val="-8"/>
          <w:sz w:val="22"/>
        </w:rPr>
        <w:t> </w:t>
      </w:r>
      <w:r>
        <w:rPr>
          <w:sz w:val="22"/>
        </w:rPr>
        <w:t>aterogénica).</w:t>
      </w:r>
    </w:p>
    <w:p>
      <w:pPr>
        <w:pStyle w:val="BodyText"/>
        <w:spacing w:before="2"/>
        <w:rPr>
          <w:sz w:val="25"/>
        </w:rPr>
      </w:pPr>
    </w:p>
    <w:p>
      <w:pPr>
        <w:pStyle w:val="BodyText"/>
        <w:spacing w:line="276" w:lineRule="auto"/>
        <w:ind w:left="1440" w:right="1"/>
        <w:jc w:val="both"/>
      </w:pPr>
      <w:r>
        <w:rPr/>
        <w:t>Por otra parte, a </w:t>
      </w:r>
      <w:r>
        <w:rPr>
          <w:spacing w:val="-3"/>
        </w:rPr>
        <w:t>lo </w:t>
      </w:r>
      <w:r>
        <w:rPr/>
        <w:t>largo de los últimos años han surgido con fuerza estudios que proponen </w:t>
      </w:r>
      <w:r>
        <w:rPr>
          <w:spacing w:val="-3"/>
        </w:rPr>
        <w:t>la </w:t>
      </w:r>
      <w:r>
        <w:rPr/>
        <w:t>introducción de nuevos FRC, o “emergentes”, con </w:t>
      </w:r>
      <w:r>
        <w:rPr>
          <w:spacing w:val="-3"/>
        </w:rPr>
        <w:t>la </w:t>
      </w:r>
      <w:r>
        <w:rPr/>
        <w:t>pretensión de que sean incorporados en </w:t>
      </w:r>
      <w:r>
        <w:rPr>
          <w:spacing w:val="-3"/>
        </w:rPr>
        <w:t>la </w:t>
      </w:r>
      <w:r>
        <w:rPr/>
        <w:t>evaluación y </w:t>
      </w:r>
      <w:r>
        <w:rPr>
          <w:spacing w:val="-3"/>
        </w:rPr>
        <w:t>la </w:t>
      </w:r>
      <w:r>
        <w:rPr/>
        <w:t>estratificación del riesgo cardiovascular en los individuos y en las poblaciones, con las consiguientes implicaciones en las decisiones preventivas y</w:t>
      </w:r>
      <w:r>
        <w:rPr>
          <w:spacing w:val="-8"/>
        </w:rPr>
        <w:t> </w:t>
      </w:r>
      <w:r>
        <w:rPr/>
        <w:t>terapéuticas.</w:t>
      </w:r>
    </w:p>
    <w:p>
      <w:pPr>
        <w:pStyle w:val="BodyText"/>
        <w:spacing w:before="2"/>
        <w:rPr>
          <w:sz w:val="24"/>
        </w:rPr>
      </w:pPr>
    </w:p>
    <w:p>
      <w:pPr>
        <w:pStyle w:val="Heading4"/>
        <w:spacing w:line="276" w:lineRule="auto"/>
        <w:ind w:right="3"/>
        <w:jc w:val="both"/>
      </w:pPr>
      <w:r>
        <w:rPr/>
        <w:t>FACTORES DE RIESGO NO TRADICIONALES</w:t>
      </w:r>
    </w:p>
    <w:p>
      <w:pPr>
        <w:pStyle w:val="BodyText"/>
        <w:spacing w:before="5"/>
        <w:rPr>
          <w:b/>
          <w:sz w:val="24"/>
        </w:rPr>
      </w:pPr>
    </w:p>
    <w:p>
      <w:pPr>
        <w:pStyle w:val="Heading6"/>
        <w:spacing w:before="1"/>
        <w:rPr>
          <w:i/>
        </w:rPr>
      </w:pPr>
      <w:r>
        <w:rPr>
          <w:i/>
        </w:rPr>
        <w:t>Elevación de la lipoproteína (a)</w:t>
      </w:r>
    </w:p>
    <w:p>
      <w:pPr>
        <w:pStyle w:val="BodyText"/>
        <w:spacing w:before="3"/>
        <w:rPr>
          <w:b/>
          <w:i/>
          <w:sz w:val="24"/>
        </w:rPr>
      </w:pPr>
    </w:p>
    <w:p>
      <w:pPr>
        <w:pStyle w:val="BodyText"/>
        <w:spacing w:line="276" w:lineRule="auto"/>
        <w:ind w:left="1440"/>
        <w:jc w:val="both"/>
      </w:pPr>
      <w:r>
        <w:rPr/>
        <w:t>La lipoproteína (a) o Lp(a) es una molécula que fue descripta por primera vez hace 40 años. Tiene una estructura similar a </w:t>
      </w:r>
      <w:r>
        <w:rPr>
          <w:spacing w:val="-3"/>
        </w:rPr>
        <w:t>la </w:t>
      </w:r>
      <w:r>
        <w:rPr/>
        <w:t>molécula de colesterol LDL núcleo rico en ésteres de colesterol y una molécula de apolipoproteína B-100 (apoB 100).  La Lp(a), en teoría, podría promover enfermedad cardiovascular a través de 2 vías:</w:t>
      </w:r>
    </w:p>
    <w:p>
      <w:pPr>
        <w:pStyle w:val="ListParagraph"/>
        <w:numPr>
          <w:ilvl w:val="0"/>
          <w:numId w:val="7"/>
        </w:numPr>
        <w:tabs>
          <w:tab w:pos="1793" w:val="left" w:leader="none"/>
        </w:tabs>
        <w:spacing w:line="240" w:lineRule="auto" w:before="2" w:after="0"/>
        <w:ind w:left="1440" w:right="1" w:firstLine="0"/>
        <w:jc w:val="both"/>
        <w:rPr>
          <w:sz w:val="22"/>
        </w:rPr>
      </w:pPr>
      <w:r>
        <w:rPr>
          <w:sz w:val="22"/>
        </w:rPr>
        <w:t>Podría favorecer </w:t>
      </w:r>
      <w:r>
        <w:rPr>
          <w:spacing w:val="-3"/>
          <w:sz w:val="22"/>
        </w:rPr>
        <w:t>la </w:t>
      </w:r>
      <w:r>
        <w:rPr>
          <w:sz w:val="22"/>
        </w:rPr>
        <w:t>trombogénesis a través de su función con estructura similar al</w:t>
      </w:r>
      <w:r>
        <w:rPr>
          <w:spacing w:val="-6"/>
          <w:sz w:val="22"/>
        </w:rPr>
        <w:t> </w:t>
      </w:r>
      <w:r>
        <w:rPr>
          <w:sz w:val="22"/>
        </w:rPr>
        <w:t>plasminógeno.</w:t>
      </w:r>
    </w:p>
    <w:p>
      <w:pPr>
        <w:pStyle w:val="BodyText"/>
        <w:spacing w:before="2"/>
        <w:rPr>
          <w:sz w:val="24"/>
        </w:rPr>
      </w:pPr>
    </w:p>
    <w:p>
      <w:pPr>
        <w:pStyle w:val="ListParagraph"/>
        <w:numPr>
          <w:ilvl w:val="0"/>
          <w:numId w:val="7"/>
        </w:numPr>
        <w:tabs>
          <w:tab w:pos="1693" w:val="left" w:leader="none"/>
        </w:tabs>
        <w:spacing w:line="276" w:lineRule="auto" w:before="0" w:after="0"/>
        <w:ind w:left="1440" w:right="3" w:firstLine="0"/>
        <w:jc w:val="both"/>
        <w:rPr>
          <w:sz w:val="22"/>
        </w:rPr>
      </w:pPr>
      <w:r>
        <w:rPr>
          <w:sz w:val="22"/>
        </w:rPr>
        <w:t>Podría favorecer </w:t>
      </w:r>
      <w:r>
        <w:rPr>
          <w:spacing w:val="-3"/>
          <w:sz w:val="22"/>
        </w:rPr>
        <w:t>la </w:t>
      </w:r>
      <w:r>
        <w:rPr>
          <w:sz w:val="22"/>
        </w:rPr>
        <w:t>aterogénesis a través de su función con colesterol</w:t>
      </w:r>
      <w:r>
        <w:rPr>
          <w:spacing w:val="-7"/>
          <w:sz w:val="22"/>
        </w:rPr>
        <w:t> </w:t>
      </w:r>
      <w:r>
        <w:rPr>
          <w:sz w:val="22"/>
        </w:rPr>
        <w:t>LDL.</w:t>
      </w:r>
    </w:p>
    <w:p>
      <w:pPr>
        <w:pStyle w:val="BodyText"/>
        <w:spacing w:before="8"/>
      </w:pPr>
      <w:r>
        <w:rPr/>
        <w:br w:type="column"/>
      </w:r>
      <w:r>
        <w:rPr/>
      </w:r>
    </w:p>
    <w:p>
      <w:pPr>
        <w:pStyle w:val="BodyText"/>
        <w:spacing w:line="276" w:lineRule="auto"/>
        <w:ind w:left="679" w:right="1437"/>
        <w:jc w:val="both"/>
      </w:pPr>
      <w:r>
        <w:rPr/>
        <w:t>No está claro aún si el aumento del riesgo de enfermedad cardiovascular dado por la Lp(a) es independiente de los factores de riesgo tradicionales, especialmente de los niveles del colesterol LDL. Tampoco está determinado si esta lipoproteína agrega una significancia pronóstica a los factores de riesgo tradicionales, ya que la mayoría de los pacientes con niveles elevados de Lp(a) son diabéticos o tienen niveles elevados de colesterol LDL.</w:t>
      </w:r>
    </w:p>
    <w:p>
      <w:pPr>
        <w:pStyle w:val="BodyText"/>
        <w:spacing w:before="6"/>
        <w:rPr>
          <w:sz w:val="24"/>
        </w:rPr>
      </w:pPr>
    </w:p>
    <w:p>
      <w:pPr>
        <w:pStyle w:val="BodyText"/>
        <w:spacing w:line="276" w:lineRule="auto"/>
        <w:ind w:left="679" w:right="1438"/>
        <w:jc w:val="both"/>
      </w:pPr>
      <w:r>
        <w:rPr/>
        <w:t>Con respecto a las medidas terapéuticas disponibles, la dieta y el ejercicio físico no modifican los niveles de Lp(a).</w:t>
      </w:r>
    </w:p>
    <w:p>
      <w:pPr>
        <w:pStyle w:val="BodyText"/>
        <w:spacing w:before="1"/>
        <w:rPr>
          <w:sz w:val="24"/>
        </w:rPr>
      </w:pPr>
    </w:p>
    <w:p>
      <w:pPr>
        <w:pStyle w:val="BodyText"/>
        <w:spacing w:line="276" w:lineRule="auto" w:before="1"/>
        <w:ind w:left="679" w:right="1434"/>
        <w:jc w:val="both"/>
      </w:pPr>
      <w:r>
        <w:rPr/>
        <w:t>Hasta la actualidad no hay medidas terapéuticas eficaces y bien toleradas para reducir la Lp(a), el conocimiento de su concentración plasmática permite seleccionar una subpoblación de pacientes dislipidémicos con mayor riesgo coronario que pudieran beneficiarse con un tratamiento hipocolesterolemizante y un seguimiento particularmente intensivo.</w:t>
      </w:r>
    </w:p>
    <w:p>
      <w:pPr>
        <w:pStyle w:val="BodyText"/>
        <w:spacing w:before="6"/>
        <w:rPr>
          <w:sz w:val="24"/>
        </w:rPr>
      </w:pPr>
    </w:p>
    <w:p>
      <w:pPr>
        <w:pStyle w:val="Heading6"/>
        <w:ind w:left="679"/>
        <w:jc w:val="both"/>
        <w:rPr>
          <w:i/>
        </w:rPr>
      </w:pPr>
      <w:r>
        <w:rPr>
          <w:i/>
        </w:rPr>
        <w:t>Homocisteína</w:t>
      </w:r>
    </w:p>
    <w:p>
      <w:pPr>
        <w:pStyle w:val="BodyText"/>
        <w:spacing w:before="2"/>
        <w:rPr>
          <w:b/>
          <w:i/>
          <w:sz w:val="24"/>
        </w:rPr>
      </w:pPr>
    </w:p>
    <w:p>
      <w:pPr>
        <w:pStyle w:val="BodyText"/>
        <w:spacing w:line="276" w:lineRule="auto"/>
        <w:ind w:left="679" w:right="1433"/>
        <w:jc w:val="both"/>
      </w:pPr>
      <w:r>
        <w:rPr/>
        <w:t>En el último decenio se han publicado numerosos estudios que relacionan el aumento en los valores de homocistinemia y las ECV. Sin embargo, el mecanismo por el cual </w:t>
      </w:r>
      <w:r>
        <w:rPr>
          <w:spacing w:val="-3"/>
        </w:rPr>
        <w:t>la </w:t>
      </w:r>
      <w:r>
        <w:rPr/>
        <w:t>homocisteína está  relacionada con </w:t>
      </w:r>
      <w:r>
        <w:rPr>
          <w:spacing w:val="-3"/>
        </w:rPr>
        <w:t>la </w:t>
      </w:r>
      <w:r>
        <w:rPr/>
        <w:t>ECV no está totalmente</w:t>
      </w:r>
      <w:r>
        <w:rPr>
          <w:spacing w:val="-5"/>
        </w:rPr>
        <w:t> </w:t>
      </w:r>
      <w:r>
        <w:rPr/>
        <w:t>dilucidado.</w:t>
      </w:r>
    </w:p>
    <w:p>
      <w:pPr>
        <w:pStyle w:val="BodyText"/>
        <w:spacing w:before="5"/>
        <w:rPr>
          <w:sz w:val="24"/>
        </w:rPr>
      </w:pPr>
    </w:p>
    <w:p>
      <w:pPr>
        <w:pStyle w:val="BodyText"/>
        <w:spacing w:line="276" w:lineRule="auto" w:before="1"/>
        <w:ind w:left="679" w:right="1435"/>
        <w:jc w:val="both"/>
      </w:pPr>
      <w:r>
        <w:rPr/>
        <w:t>La homocisteína tiene un efecto citotóxico directo sobre las células endoteliales en cultivo, y se ha observado una alteración de la función endotelial, valorada mediante eco-Doppler, en los individuos con hiperhomocistinemia moderada, y una</w:t>
      </w:r>
    </w:p>
    <w:p>
      <w:pPr>
        <w:pStyle w:val="BodyText"/>
        <w:spacing w:before="2"/>
        <w:rPr>
          <w:sz w:val="24"/>
        </w:rPr>
      </w:pPr>
    </w:p>
    <w:p>
      <w:pPr>
        <w:pStyle w:val="BodyText"/>
        <w:spacing w:line="276" w:lineRule="auto"/>
        <w:ind w:left="679" w:right="1434"/>
        <w:jc w:val="both"/>
      </w:pPr>
      <w:r>
        <w:rPr/>
        <w:t>mejoría de ésta al disminuir </w:t>
      </w:r>
      <w:r>
        <w:rPr>
          <w:spacing w:val="-3"/>
        </w:rPr>
        <w:t>la </w:t>
      </w:r>
      <w:r>
        <w:rPr/>
        <w:t>concentración de homocisteína mediante el tratamiento con ácido fólico. Al igual que</w:t>
      </w:r>
      <w:r>
        <w:rPr>
          <w:spacing w:val="58"/>
        </w:rPr>
        <w:t> </w:t>
      </w:r>
      <w:r>
        <w:rPr/>
        <w:t>se</w:t>
      </w:r>
    </w:p>
    <w:p>
      <w:pPr>
        <w:spacing w:after="0" w:line="276" w:lineRule="auto"/>
        <w:jc w:val="both"/>
        <w:sectPr>
          <w:type w:val="continuous"/>
          <w:pgSz w:w="12240" w:h="15840"/>
          <w:pgMar w:top="1500" w:bottom="0" w:left="0" w:right="0"/>
          <w:cols w:num="2" w:equalWidth="0">
            <w:col w:w="5763" w:space="40"/>
            <w:col w:w="6437"/>
          </w:cols>
        </w:sectPr>
      </w:pPr>
    </w:p>
    <w:p>
      <w:pPr>
        <w:pStyle w:val="BodyText"/>
        <w:rPr>
          <w:sz w:val="20"/>
        </w:rPr>
      </w:pPr>
    </w:p>
    <w:p>
      <w:pPr>
        <w:pStyle w:val="BodyText"/>
        <w:spacing w:before="8"/>
        <w:rPr>
          <w:sz w:val="15"/>
        </w:rPr>
      </w:pPr>
    </w:p>
    <w:p>
      <w:pPr>
        <w:spacing w:after="0"/>
        <w:rPr>
          <w:sz w:val="15"/>
        </w:rPr>
        <w:sectPr>
          <w:pgSz w:w="12240" w:h="15840"/>
          <w:pgMar w:header="723" w:footer="882" w:top="920" w:bottom="1080" w:left="0" w:right="0"/>
        </w:sectPr>
      </w:pPr>
    </w:p>
    <w:p>
      <w:pPr>
        <w:pStyle w:val="BodyText"/>
        <w:spacing w:line="276" w:lineRule="auto" w:before="93"/>
        <w:ind w:left="1440"/>
        <w:jc w:val="both"/>
      </w:pPr>
      <w:r>
        <w:rPr/>
        <w:t>comenta con otros factores de riesgo, por ahora, podemos decir que, aunque no se recomienda el rastreo en la población general, en pacientes con aterosclerosis prematura o con historia familiar de enfermedad cardiovascular precoz, este factor de riesgo podría ser tenido en cuenta. Los valores normales de la homocisteína son Normal: 5-15 μmol/l.</w:t>
      </w:r>
    </w:p>
    <w:p>
      <w:pPr>
        <w:pStyle w:val="BodyText"/>
        <w:spacing w:before="5"/>
        <w:rPr>
          <w:sz w:val="24"/>
        </w:rPr>
      </w:pPr>
    </w:p>
    <w:p>
      <w:pPr>
        <w:pStyle w:val="BodyText"/>
        <w:tabs>
          <w:tab w:pos="2767" w:val="left" w:leader="none"/>
          <w:tab w:pos="4606" w:val="left" w:leader="none"/>
          <w:tab w:pos="5586" w:val="left" w:leader="none"/>
        </w:tabs>
        <w:spacing w:line="276" w:lineRule="auto" w:before="1"/>
        <w:ind w:left="1440"/>
        <w:jc w:val="both"/>
      </w:pPr>
      <w:r>
        <w:rPr/>
        <w:t>Como</w:t>
        <w:tab/>
        <w:t>tratamiento</w:t>
        <w:tab/>
        <w:t>de</w:t>
        <w:tab/>
      </w:r>
      <w:r>
        <w:rPr>
          <w:spacing w:val="-3"/>
        </w:rPr>
        <w:t>la </w:t>
      </w:r>
      <w:r>
        <w:rPr/>
        <w:t>hiperhomocisteinemia: se recomienda </w:t>
      </w:r>
      <w:r>
        <w:rPr>
          <w:spacing w:val="-3"/>
        </w:rPr>
        <w:t>la </w:t>
      </w:r>
      <w:r>
        <w:rPr/>
        <w:t>administración diaria de un complejo vitamínico B conteniendo: 1 mg de ácido fólico, 10 mg de Vitamina B6 y 0,4 mg de vitamina</w:t>
      </w:r>
      <w:r>
        <w:rPr>
          <w:spacing w:val="-1"/>
        </w:rPr>
        <w:t> </w:t>
      </w:r>
      <w:r>
        <w:rPr/>
        <w:t>B12.</w:t>
      </w:r>
    </w:p>
    <w:p>
      <w:pPr>
        <w:pStyle w:val="BodyText"/>
        <w:spacing w:before="6"/>
        <w:rPr>
          <w:sz w:val="24"/>
        </w:rPr>
      </w:pPr>
    </w:p>
    <w:p>
      <w:pPr>
        <w:pStyle w:val="Heading6"/>
        <w:jc w:val="both"/>
        <w:rPr>
          <w:i/>
        </w:rPr>
      </w:pPr>
      <w:r>
        <w:rPr>
          <w:i/>
        </w:rPr>
        <w:t>Inflamación</w:t>
      </w:r>
    </w:p>
    <w:p>
      <w:pPr>
        <w:pStyle w:val="BodyText"/>
        <w:spacing w:before="8"/>
        <w:rPr>
          <w:b/>
          <w:i/>
          <w:sz w:val="27"/>
        </w:rPr>
      </w:pPr>
    </w:p>
    <w:p>
      <w:pPr>
        <w:pStyle w:val="BodyText"/>
        <w:spacing w:line="276" w:lineRule="auto"/>
        <w:ind w:left="1440"/>
        <w:jc w:val="both"/>
      </w:pPr>
      <w:r>
        <w:rPr/>
        <w:t>La inflamación es un proceso a través del cual el cuerpo responde ante una injuria. El síndrome metabólico, </w:t>
      </w:r>
      <w:r>
        <w:rPr>
          <w:spacing w:val="-3"/>
        </w:rPr>
        <w:t>la </w:t>
      </w:r>
      <w:r>
        <w:rPr/>
        <w:t>diabetes mellitus tipo 2 así como </w:t>
      </w:r>
      <w:r>
        <w:rPr>
          <w:spacing w:val="-3"/>
        </w:rPr>
        <w:t>la </w:t>
      </w:r>
      <w:r>
        <w:rPr/>
        <w:t>enfermedad aterosclerótica, han sido asociadas frecuentemente con un estado inflamatorio de bajo grado. El proceso inflamatorio subyacente en estas patologías podría ser el eslabón que las une entre</w:t>
      </w:r>
      <w:r>
        <w:rPr>
          <w:spacing w:val="-8"/>
        </w:rPr>
        <w:t> </w:t>
      </w:r>
      <w:r>
        <w:rPr/>
        <w:t>sí.</w:t>
      </w:r>
    </w:p>
    <w:p>
      <w:pPr>
        <w:pStyle w:val="BodyText"/>
        <w:spacing w:before="1"/>
        <w:rPr>
          <w:sz w:val="24"/>
        </w:rPr>
      </w:pPr>
    </w:p>
    <w:p>
      <w:pPr>
        <w:pStyle w:val="BodyText"/>
        <w:spacing w:line="276" w:lineRule="auto"/>
        <w:ind w:left="1440"/>
        <w:jc w:val="both"/>
      </w:pPr>
      <w:r>
        <w:rPr/>
        <w:t>Las células inflamatorias presentes a nivel vascular liberarán entonces ciertas sustancias denominadas citoquinas, proteínas reguladoras de la acción celular, que iniciarán el estado inflamatorio de bajo grado que terminará en la formación de la placa de ateroma.</w:t>
      </w:r>
    </w:p>
    <w:p>
      <w:pPr>
        <w:pStyle w:val="BodyText"/>
        <w:spacing w:before="1"/>
        <w:rPr>
          <w:sz w:val="24"/>
        </w:rPr>
      </w:pPr>
    </w:p>
    <w:p>
      <w:pPr>
        <w:pStyle w:val="Heading6"/>
        <w:spacing w:line="276" w:lineRule="auto"/>
        <w:jc w:val="both"/>
      </w:pPr>
      <w:r>
        <w:rPr>
          <w:i/>
        </w:rPr>
        <w:t>Proteína C reactiva ultra sensible (PCR </w:t>
      </w:r>
      <w:r>
        <w:rPr/>
        <w:t>Us)</w:t>
      </w:r>
    </w:p>
    <w:p>
      <w:pPr>
        <w:pStyle w:val="BodyText"/>
        <w:spacing w:before="6"/>
        <w:rPr>
          <w:b/>
          <w:i/>
          <w:sz w:val="24"/>
        </w:rPr>
      </w:pPr>
    </w:p>
    <w:p>
      <w:pPr>
        <w:pStyle w:val="BodyText"/>
        <w:spacing w:line="276" w:lineRule="auto"/>
        <w:ind w:left="1440"/>
        <w:jc w:val="both"/>
      </w:pPr>
      <w:r>
        <w:rPr/>
        <w:t>Su evaluación ha recibido recientemente una gran atención ya que se ha sugerido que puede ser usada como marcador de riesgo del estado aterosclerótico,</w:t>
      </w:r>
    </w:p>
    <w:p>
      <w:pPr>
        <w:pStyle w:val="BodyText"/>
        <w:spacing w:line="276" w:lineRule="auto" w:before="93"/>
        <w:ind w:left="680" w:right="1435"/>
        <w:jc w:val="both"/>
      </w:pPr>
      <w:r>
        <w:rPr/>
        <w:br w:type="column"/>
      </w:r>
      <w:r>
        <w:rPr/>
        <w:t>La PCR Us predice el riesgo cardiovascular en una </w:t>
      </w:r>
      <w:r>
        <w:rPr>
          <w:spacing w:val="-3"/>
        </w:rPr>
        <w:t>amplia </w:t>
      </w:r>
      <w:r>
        <w:rPr/>
        <w:t>variedad de situaciones clínicas incluyendo sujetos sin una enfermedad cardiovascular manifiesta así como en pacientes con angor inestable o que presentan síndromes coronarios agudos y en pacientes en situación de post infarto de</w:t>
      </w:r>
      <w:r>
        <w:rPr>
          <w:spacing w:val="-1"/>
        </w:rPr>
        <w:t> </w:t>
      </w:r>
      <w:r>
        <w:rPr/>
        <w:t>miocardio.</w:t>
      </w:r>
    </w:p>
    <w:p>
      <w:pPr>
        <w:pStyle w:val="BodyText"/>
        <w:spacing w:before="5"/>
        <w:rPr>
          <w:sz w:val="24"/>
        </w:rPr>
      </w:pPr>
    </w:p>
    <w:p>
      <w:pPr>
        <w:pStyle w:val="BodyText"/>
        <w:spacing w:line="276" w:lineRule="auto" w:before="1"/>
        <w:ind w:left="680" w:right="1438"/>
        <w:jc w:val="both"/>
      </w:pPr>
      <w:r>
        <w:rPr/>
        <w:t>Se ha encontrado que las drogas más efectivas en reducir los niveles de PCR Us son las estatinas probablemente por su acción antiinflamatoria.</w:t>
      </w:r>
    </w:p>
    <w:p>
      <w:pPr>
        <w:pStyle w:val="BodyText"/>
        <w:spacing w:before="5"/>
        <w:rPr>
          <w:sz w:val="24"/>
        </w:rPr>
      </w:pPr>
    </w:p>
    <w:p>
      <w:pPr>
        <w:pStyle w:val="BodyText"/>
        <w:spacing w:line="276" w:lineRule="auto" w:before="1"/>
        <w:ind w:left="680" w:right="1436"/>
        <w:jc w:val="both"/>
      </w:pPr>
      <w:r>
        <w:rPr/>
        <w:t>El estudio JUPITER mostró que </w:t>
      </w:r>
      <w:r>
        <w:rPr>
          <w:spacing w:val="-3"/>
        </w:rPr>
        <w:t>la </w:t>
      </w:r>
      <w:r>
        <w:rPr/>
        <w:t>reducción de </w:t>
      </w:r>
      <w:r>
        <w:rPr>
          <w:spacing w:val="-3"/>
        </w:rPr>
        <w:t>la </w:t>
      </w:r>
      <w:r>
        <w:rPr/>
        <w:t>PCR Us en pacientes tratados con Rosuvastatina se asoció con una reducción de eventos cardiovasculares independientemente de </w:t>
      </w:r>
      <w:r>
        <w:rPr>
          <w:spacing w:val="-3"/>
        </w:rPr>
        <w:t>la </w:t>
      </w:r>
      <w:r>
        <w:rPr/>
        <w:t>reducción de los niveles lipídicos </w:t>
      </w:r>
      <w:r>
        <w:rPr>
          <w:spacing w:val="-3"/>
        </w:rPr>
        <w:t>lo </w:t>
      </w:r>
      <w:r>
        <w:rPr/>
        <w:t>que demostraría que </w:t>
      </w:r>
      <w:r>
        <w:rPr>
          <w:spacing w:val="-3"/>
        </w:rPr>
        <w:t>la </w:t>
      </w:r>
      <w:r>
        <w:rPr/>
        <w:t>PCR Us podría considerarse también como un factor de riesgo y no solamente un marcador.</w:t>
      </w:r>
    </w:p>
    <w:p>
      <w:pPr>
        <w:pStyle w:val="BodyText"/>
        <w:spacing w:before="2"/>
        <w:rPr>
          <w:sz w:val="24"/>
        </w:rPr>
      </w:pPr>
    </w:p>
    <w:p>
      <w:pPr>
        <w:pStyle w:val="Heading6"/>
        <w:ind w:left="680"/>
        <w:jc w:val="both"/>
        <w:rPr>
          <w:i/>
        </w:rPr>
      </w:pPr>
      <w:r>
        <w:rPr>
          <w:i/>
        </w:rPr>
        <w:t>Fibrinógeno</w:t>
      </w:r>
    </w:p>
    <w:p>
      <w:pPr>
        <w:pStyle w:val="BodyText"/>
        <w:spacing w:before="8"/>
        <w:rPr>
          <w:b/>
          <w:i/>
          <w:sz w:val="27"/>
        </w:rPr>
      </w:pPr>
    </w:p>
    <w:p>
      <w:pPr>
        <w:pStyle w:val="BodyText"/>
        <w:spacing w:line="276" w:lineRule="auto" w:before="1"/>
        <w:ind w:left="680" w:right="1438"/>
        <w:jc w:val="both"/>
      </w:pPr>
      <w:r>
        <w:rPr/>
        <w:t>El fibrinógeno (F), es una glicoproteína sintetizada por el hígado, y almacenada en los gránulos α plaquetarios, cuya vida media es de alrededor de 100</w:t>
      </w:r>
      <w:r>
        <w:rPr>
          <w:spacing w:val="-6"/>
        </w:rPr>
        <w:t> </w:t>
      </w:r>
      <w:r>
        <w:rPr/>
        <w:t>horas.</w:t>
      </w:r>
    </w:p>
    <w:p>
      <w:pPr>
        <w:pStyle w:val="BodyText"/>
        <w:spacing w:before="6"/>
        <w:rPr>
          <w:sz w:val="24"/>
        </w:rPr>
      </w:pPr>
    </w:p>
    <w:p>
      <w:pPr>
        <w:pStyle w:val="BodyText"/>
        <w:spacing w:line="276" w:lineRule="auto"/>
        <w:ind w:left="680" w:right="1438"/>
        <w:jc w:val="both"/>
      </w:pPr>
      <w:r>
        <w:rPr/>
        <w:t>Entre sus funciones principales se destacan intervenir en la formación del trombo de fibrina y como cofactor en la agregación plaquetaria.</w:t>
      </w:r>
    </w:p>
    <w:p>
      <w:pPr>
        <w:pStyle w:val="BodyText"/>
        <w:spacing w:before="5"/>
        <w:rPr>
          <w:sz w:val="24"/>
        </w:rPr>
      </w:pPr>
    </w:p>
    <w:p>
      <w:pPr>
        <w:pStyle w:val="BodyText"/>
        <w:spacing w:line="276" w:lineRule="auto"/>
        <w:ind w:left="680" w:right="1434"/>
        <w:jc w:val="both"/>
      </w:pPr>
      <w:r>
        <w:rPr/>
        <w:t>La molécula de F interactúa con el receptor de membrana IIb/IIIa de las plaquetas, formando puentes entre las mismas y promoviendo la formación del tapón plaquetario, consecuencia del daño vascular. Existen cuatro mecanismos a través de los cuales el aumento del F puede promover la enfermedad arterial: la</w:t>
      </w:r>
    </w:p>
    <w:p>
      <w:pPr>
        <w:spacing w:after="0" w:line="276" w:lineRule="auto"/>
        <w:jc w:val="both"/>
        <w:sectPr>
          <w:type w:val="continuous"/>
          <w:pgSz w:w="12240" w:h="15840"/>
          <w:pgMar w:top="1500" w:bottom="0" w:left="0" w:right="0"/>
          <w:cols w:num="2" w:equalWidth="0">
            <w:col w:w="5762" w:space="40"/>
            <w:col w:w="6438"/>
          </w:cols>
        </w:sectPr>
      </w:pPr>
    </w:p>
    <w:p>
      <w:pPr>
        <w:pStyle w:val="BodyText"/>
        <w:rPr>
          <w:sz w:val="20"/>
        </w:rPr>
      </w:pPr>
    </w:p>
    <w:p>
      <w:pPr>
        <w:spacing w:after="0"/>
        <w:rPr>
          <w:sz w:val="20"/>
        </w:rPr>
        <w:sectPr>
          <w:pgSz w:w="12240" w:h="15840"/>
          <w:pgMar w:header="723" w:footer="872" w:top="940" w:bottom="1060" w:left="0" w:right="0"/>
        </w:sectPr>
      </w:pPr>
    </w:p>
    <w:p>
      <w:pPr>
        <w:pStyle w:val="BodyText"/>
        <w:spacing w:before="8"/>
      </w:pPr>
    </w:p>
    <w:p>
      <w:pPr>
        <w:pStyle w:val="BodyText"/>
        <w:spacing w:line="276" w:lineRule="auto"/>
        <w:ind w:left="1440" w:right="1"/>
        <w:jc w:val="both"/>
      </w:pPr>
      <w:r>
        <w:rPr/>
        <w:t>aterogénesis, la agregación plaquetaria, la formación de trombos de fibrina y el aumento de la viscosidad plasmática.</w:t>
      </w:r>
    </w:p>
    <w:p>
      <w:pPr>
        <w:pStyle w:val="BodyText"/>
        <w:spacing w:before="5"/>
        <w:rPr>
          <w:sz w:val="24"/>
        </w:rPr>
      </w:pPr>
    </w:p>
    <w:p>
      <w:pPr>
        <w:pStyle w:val="BodyText"/>
        <w:spacing w:line="276" w:lineRule="auto"/>
        <w:ind w:left="1440" w:right="3"/>
        <w:jc w:val="both"/>
      </w:pPr>
      <w:r>
        <w:rPr/>
        <w:t>Los niveles plasmáticos promedio de fibrinógeno que se presentan en los estudios epidemiológicos fluctúan considerablemente (entre 230 y 350 mg/dl) debido, entre otros factores, al empleo de diferentes metodologías y a las distintas poblaciones</w:t>
      </w:r>
      <w:r>
        <w:rPr>
          <w:spacing w:val="-5"/>
        </w:rPr>
        <w:t> </w:t>
      </w:r>
      <w:r>
        <w:rPr/>
        <w:t>estudiadas.</w:t>
      </w:r>
    </w:p>
    <w:p>
      <w:pPr>
        <w:pStyle w:val="BodyText"/>
        <w:spacing w:before="1"/>
        <w:rPr>
          <w:sz w:val="24"/>
        </w:rPr>
      </w:pPr>
    </w:p>
    <w:p>
      <w:pPr>
        <w:pStyle w:val="BodyText"/>
        <w:spacing w:line="276" w:lineRule="auto" w:before="1"/>
        <w:ind w:left="1440" w:right="4"/>
        <w:jc w:val="both"/>
      </w:pPr>
      <w:r>
        <w:rPr/>
        <w:t>El riesgo relativo de enfermedad coronaria fue 1.8 veces mayor en los pacientes con niveles de F ubicados en el límite superior en comparación con los del límite inferior. Se demostró una asociación moderada pero estadísticamente muy significativa con enfermedad coronaria. Meta-análisis previos demostraron un riesgo relativo de</w:t>
      </w:r>
      <w:r>
        <w:rPr>
          <w:spacing w:val="-22"/>
        </w:rPr>
        <w:t> </w:t>
      </w:r>
      <w:r>
        <w:rPr/>
        <w:t>2.</w:t>
      </w:r>
    </w:p>
    <w:p>
      <w:pPr>
        <w:pStyle w:val="BodyText"/>
        <w:spacing w:before="6"/>
        <w:rPr>
          <w:sz w:val="24"/>
        </w:rPr>
      </w:pPr>
    </w:p>
    <w:p>
      <w:pPr>
        <w:pStyle w:val="BodyText"/>
        <w:spacing w:line="276" w:lineRule="auto"/>
        <w:ind w:left="1440" w:right="2"/>
        <w:jc w:val="both"/>
      </w:pPr>
      <w:r>
        <w:rPr/>
        <w:t>Las drogas asociadas con el descenso de los niveles de fibrinógeno son: tamoxifeno, esteroides anabólicos, ticlopidina y pentoxifilina. Dentro de los fibratos, el fenofibrato y el bezafibrate disminuyen los niveles de fibrinógeno, no así el gemfibrozil.</w:t>
      </w:r>
    </w:p>
    <w:p>
      <w:pPr>
        <w:pStyle w:val="BodyText"/>
        <w:spacing w:before="5"/>
        <w:rPr>
          <w:sz w:val="24"/>
        </w:rPr>
      </w:pPr>
    </w:p>
    <w:p>
      <w:pPr>
        <w:pStyle w:val="BodyText"/>
        <w:spacing w:line="276" w:lineRule="auto" w:before="1"/>
        <w:ind w:left="1440"/>
        <w:jc w:val="both"/>
      </w:pPr>
      <w:r>
        <w:rPr/>
        <w:t>No hay estudios randomizados que demuestren el beneficio de disminuir farmacológicamente los niveles de fibrinógeno cuanto su medición no debería estar dirigida a modificarlo con medicación, sino a evaluar el riesgo cardiovascular especialmente en pacientes con historia personal o familiar de enfermedad cardiovascular prematura y con factores de riesgo tradicionales dentro del rango normal.</w:t>
      </w:r>
    </w:p>
    <w:p>
      <w:pPr>
        <w:pStyle w:val="BodyText"/>
        <w:spacing w:before="8"/>
      </w:pPr>
      <w:r>
        <w:rPr/>
        <w:br w:type="column"/>
      </w:r>
      <w:r>
        <w:rPr/>
      </w:r>
    </w:p>
    <w:p>
      <w:pPr>
        <w:pStyle w:val="Heading6"/>
        <w:ind w:left="677"/>
        <w:rPr>
          <w:i/>
        </w:rPr>
      </w:pPr>
      <w:r>
        <w:rPr>
          <w:i/>
        </w:rPr>
        <w:t>Hiperuricemia</w:t>
      </w:r>
    </w:p>
    <w:p>
      <w:pPr>
        <w:pStyle w:val="BodyText"/>
        <w:spacing w:before="8"/>
        <w:rPr>
          <w:b/>
          <w:i/>
          <w:sz w:val="27"/>
        </w:rPr>
      </w:pPr>
    </w:p>
    <w:p>
      <w:pPr>
        <w:pStyle w:val="BodyText"/>
        <w:spacing w:line="276" w:lineRule="auto"/>
        <w:ind w:left="677" w:right="1434"/>
        <w:jc w:val="both"/>
      </w:pPr>
      <w:r>
        <w:rPr/>
        <w:t>La hiperuricemia comprende un grupo heterogéneo de trastornos metabólicos congénitos o adquiridos cuya manifestación más evidente es el aumento de los niveles de ácido úrico en sangre.</w:t>
      </w:r>
    </w:p>
    <w:p>
      <w:pPr>
        <w:pStyle w:val="BodyText"/>
        <w:spacing w:before="2"/>
        <w:rPr>
          <w:sz w:val="24"/>
        </w:rPr>
      </w:pPr>
    </w:p>
    <w:p>
      <w:pPr>
        <w:pStyle w:val="BodyText"/>
        <w:tabs>
          <w:tab w:pos="2600" w:val="left" w:leader="none"/>
          <w:tab w:pos="4887" w:val="left" w:leader="none"/>
        </w:tabs>
        <w:spacing w:line="276" w:lineRule="auto"/>
        <w:ind w:left="677" w:right="1433"/>
        <w:jc w:val="both"/>
      </w:pPr>
      <w:r>
        <w:rPr/>
        <w:t>Muchos estudios han postulado a </w:t>
      </w:r>
      <w:r>
        <w:rPr>
          <w:spacing w:val="-3"/>
        </w:rPr>
        <w:t>la </w:t>
      </w:r>
      <w:r>
        <w:rPr/>
        <w:t>hiperuricemia como un factor de riesgo para enfermedad cardiovascular. </w:t>
      </w:r>
      <w:r>
        <w:rPr>
          <w:spacing w:val="1"/>
        </w:rPr>
        <w:t>El </w:t>
      </w:r>
      <w:r>
        <w:rPr/>
        <w:t>estudio emblemático sobre este tema es el NHANES I </w:t>
      </w:r>
      <w:r>
        <w:rPr>
          <w:spacing w:val="-3"/>
        </w:rPr>
        <w:t>(First </w:t>
      </w:r>
      <w:r>
        <w:rPr/>
        <w:t>National Health and Nutrition Examination Survey) en el que se realizó el seguimiento epidemiológico de </w:t>
      </w:r>
      <w:r>
        <w:rPr>
          <w:spacing w:val="-3"/>
        </w:rPr>
        <w:t>la </w:t>
      </w:r>
      <w:r>
        <w:rPr/>
        <w:t>uricemia en 5926 sujetos de entre 25 y 74 años durante el período 1971-1992. En este lapso de tiempo fallecieron 1593 sujetos y el 45.9% </w:t>
      </w:r>
      <w:r>
        <w:rPr>
          <w:spacing w:val="-3"/>
        </w:rPr>
        <w:t>lo </w:t>
      </w:r>
      <w:r>
        <w:rPr/>
        <w:t>hizo por causa cardiovascular. Se observó que los niveles de uricemia estuvieron</w:t>
        <w:tab/>
        <w:t>independiente</w:t>
        <w:tab/>
        <w:t>y significativamente asociados con el riesgo de mortalidad</w:t>
      </w:r>
      <w:r>
        <w:rPr>
          <w:spacing w:val="-5"/>
        </w:rPr>
        <w:t> </w:t>
      </w:r>
      <w:r>
        <w:rPr/>
        <w:t>cardiovascular</w:t>
      </w:r>
    </w:p>
    <w:p>
      <w:pPr>
        <w:pStyle w:val="BodyText"/>
        <w:spacing w:before="10"/>
        <w:rPr>
          <w:sz w:val="23"/>
        </w:rPr>
      </w:pPr>
    </w:p>
    <w:p>
      <w:pPr>
        <w:pStyle w:val="Heading4"/>
        <w:ind w:left="677"/>
      </w:pPr>
      <w:r>
        <w:rPr/>
        <w:t>CONCLUSION</w:t>
      </w:r>
    </w:p>
    <w:p>
      <w:pPr>
        <w:pStyle w:val="BodyText"/>
        <w:spacing w:before="4"/>
        <w:rPr>
          <w:b/>
          <w:sz w:val="28"/>
        </w:rPr>
      </w:pPr>
    </w:p>
    <w:p>
      <w:pPr>
        <w:pStyle w:val="BodyText"/>
        <w:tabs>
          <w:tab w:pos="3513" w:val="left" w:leader="none"/>
        </w:tabs>
        <w:spacing w:line="276" w:lineRule="auto"/>
        <w:ind w:left="677" w:right="1434"/>
        <w:jc w:val="both"/>
        <w:rPr>
          <w:sz w:val="24"/>
        </w:rPr>
      </w:pPr>
      <w:r>
        <w:rPr/>
        <w:t>El elevado riesgo cardiovascular que presentan los pacientes no puede ser explicado solamente por los factores de riesgo tradicionales, ya que algunos pacientes no presentan ninguno de estos, padecen igual dicha enfermedad cardiovascular. Es por ello que surge </w:t>
      </w:r>
      <w:r>
        <w:rPr>
          <w:spacing w:val="-3"/>
        </w:rPr>
        <w:t>la  </w:t>
      </w:r>
      <w:r>
        <w:rPr/>
        <w:t>idea de buscar otros factores de riesgo que puedan justificar </w:t>
      </w:r>
      <w:r>
        <w:rPr>
          <w:spacing w:val="-3"/>
        </w:rPr>
        <w:t>la </w:t>
      </w:r>
      <w:r>
        <w:rPr/>
        <w:t>presencia de </w:t>
      </w:r>
      <w:r>
        <w:rPr>
          <w:spacing w:val="-3"/>
        </w:rPr>
        <w:t>la </w:t>
      </w:r>
      <w:r>
        <w:rPr/>
        <w:t>enfermedad</w:t>
        <w:tab/>
      </w:r>
      <w:r>
        <w:rPr>
          <w:spacing w:val="-1"/>
        </w:rPr>
        <w:t>cardiovascular</w:t>
      </w:r>
      <w:r>
        <w:rPr>
          <w:spacing w:val="-1"/>
          <w:sz w:val="24"/>
        </w:rPr>
        <w:t>.</w:t>
      </w:r>
    </w:p>
    <w:p>
      <w:pPr>
        <w:spacing w:after="0" w:line="276" w:lineRule="auto"/>
        <w:jc w:val="both"/>
        <w:rPr>
          <w:sz w:val="24"/>
        </w:rPr>
        <w:sectPr>
          <w:type w:val="continuous"/>
          <w:pgSz w:w="12240" w:h="15840"/>
          <w:pgMar w:top="1500" w:bottom="0" w:left="0" w:right="0"/>
          <w:cols w:num="2" w:equalWidth="0">
            <w:col w:w="5765" w:space="40"/>
            <w:col w:w="6435"/>
          </w:cols>
        </w:sectPr>
      </w:pPr>
    </w:p>
    <w:p>
      <w:pPr>
        <w:pStyle w:val="BodyText"/>
        <w:rPr>
          <w:sz w:val="20"/>
        </w:rPr>
      </w:pPr>
    </w:p>
    <w:p>
      <w:pPr>
        <w:pStyle w:val="BodyText"/>
        <w:spacing w:before="6"/>
        <w:rPr>
          <w:sz w:val="25"/>
        </w:rPr>
      </w:pPr>
    </w:p>
    <w:p>
      <w:pPr>
        <w:pStyle w:val="Heading4"/>
        <w:spacing w:before="92"/>
        <w:ind w:left="1700"/>
      </w:pPr>
      <w:r>
        <w:rPr/>
        <w:t>BIBLIOGRAFIA</w:t>
      </w:r>
    </w:p>
    <w:p>
      <w:pPr>
        <w:pStyle w:val="BodyText"/>
        <w:spacing w:before="3"/>
        <w:rPr>
          <w:b/>
          <w:sz w:val="24"/>
        </w:rPr>
      </w:pPr>
    </w:p>
    <w:p>
      <w:pPr>
        <w:pStyle w:val="ListParagraph"/>
        <w:numPr>
          <w:ilvl w:val="1"/>
          <w:numId w:val="7"/>
        </w:numPr>
        <w:tabs>
          <w:tab w:pos="2060" w:val="left" w:leader="none"/>
          <w:tab w:pos="2061" w:val="left" w:leader="none"/>
        </w:tabs>
        <w:spacing w:line="240" w:lineRule="auto" w:before="0" w:after="0"/>
        <w:ind w:left="2060" w:right="0" w:hanging="360"/>
        <w:jc w:val="left"/>
        <w:rPr>
          <w:sz w:val="20"/>
        </w:rPr>
      </w:pPr>
      <w:r>
        <w:rPr>
          <w:sz w:val="20"/>
        </w:rPr>
        <w:t>Bensusan, D. T. (2011-2012). Factores de riesgo cardiovascular emergentes. posgrado,</w:t>
      </w:r>
      <w:r>
        <w:rPr>
          <w:spacing w:val="-12"/>
          <w:sz w:val="20"/>
        </w:rPr>
        <w:t> </w:t>
      </w:r>
      <w:r>
        <w:rPr>
          <w:sz w:val="20"/>
        </w:rPr>
        <w:t>1-22.</w:t>
      </w:r>
    </w:p>
    <w:p>
      <w:pPr>
        <w:spacing w:after="0" w:line="240" w:lineRule="auto"/>
        <w:jc w:val="left"/>
        <w:rPr>
          <w:sz w:val="20"/>
        </w:rPr>
        <w:sectPr>
          <w:type w:val="continuous"/>
          <w:pgSz w:w="12240" w:h="15840"/>
          <w:pgMar w:top="1500" w:bottom="0" w:left="0" w:right="0"/>
        </w:sectPr>
      </w:pPr>
    </w:p>
    <w:p>
      <w:pPr>
        <w:pStyle w:val="BodyText"/>
        <w:rPr>
          <w:sz w:val="20"/>
        </w:rPr>
      </w:pPr>
    </w:p>
    <w:p>
      <w:pPr>
        <w:pStyle w:val="BodyText"/>
        <w:spacing w:before="5"/>
        <w:rPr>
          <w:sz w:val="21"/>
        </w:rPr>
      </w:pPr>
    </w:p>
    <w:p>
      <w:pPr>
        <w:pStyle w:val="ListParagraph"/>
        <w:numPr>
          <w:ilvl w:val="1"/>
          <w:numId w:val="7"/>
        </w:numPr>
        <w:tabs>
          <w:tab w:pos="2060" w:val="left" w:leader="none"/>
          <w:tab w:pos="2061" w:val="left" w:leader="none"/>
        </w:tabs>
        <w:spacing w:line="245" w:lineRule="exact" w:before="0" w:after="0"/>
        <w:ind w:left="2060" w:right="0" w:hanging="360"/>
        <w:jc w:val="left"/>
        <w:rPr>
          <w:sz w:val="20"/>
        </w:rPr>
      </w:pPr>
      <w:r>
        <w:rPr>
          <w:sz w:val="20"/>
        </w:rPr>
        <w:t>Douglas L. Mann, D. P. (2015). Braunwald's Heart D isease. Toledo España: </w:t>
      </w:r>
      <w:r>
        <w:rPr>
          <w:spacing w:val="-3"/>
          <w:sz w:val="20"/>
        </w:rPr>
        <w:t>El </w:t>
      </w:r>
      <w:r>
        <w:rPr>
          <w:sz w:val="20"/>
        </w:rPr>
        <w:t>sevier</w:t>
      </w:r>
      <w:r>
        <w:rPr>
          <w:spacing w:val="-10"/>
          <w:sz w:val="20"/>
        </w:rPr>
        <w:t> </w:t>
      </w:r>
      <w:r>
        <w:rPr>
          <w:sz w:val="20"/>
        </w:rPr>
        <w:t>España.</w:t>
      </w:r>
    </w:p>
    <w:p>
      <w:pPr>
        <w:pStyle w:val="ListParagraph"/>
        <w:numPr>
          <w:ilvl w:val="1"/>
          <w:numId w:val="7"/>
        </w:numPr>
        <w:tabs>
          <w:tab w:pos="2060" w:val="left" w:leader="none"/>
          <w:tab w:pos="2061" w:val="left" w:leader="none"/>
        </w:tabs>
        <w:spacing w:line="240" w:lineRule="auto" w:before="0" w:after="0"/>
        <w:ind w:left="2060" w:right="1707" w:hanging="360"/>
        <w:jc w:val="left"/>
        <w:rPr>
          <w:sz w:val="20"/>
        </w:rPr>
      </w:pPr>
      <w:r>
        <w:rPr>
          <w:sz w:val="20"/>
        </w:rPr>
        <w:t>factores, C. d. (2001). Comisión de Nuevos factores de riesgo. REVISTA ARGENTINA DE CARDIOLOGIA , VOL 69 SUPLEMENTO 1</w:t>
      </w:r>
      <w:r>
        <w:rPr>
          <w:spacing w:val="-1"/>
          <w:sz w:val="20"/>
        </w:rPr>
        <w:t> </w:t>
      </w:r>
      <w:r>
        <w:rPr>
          <w:sz w:val="20"/>
        </w:rPr>
        <w:t>.</w:t>
      </w:r>
    </w:p>
    <w:p>
      <w:pPr>
        <w:pStyle w:val="ListParagraph"/>
        <w:numPr>
          <w:ilvl w:val="1"/>
          <w:numId w:val="7"/>
        </w:numPr>
        <w:tabs>
          <w:tab w:pos="2060" w:val="left" w:leader="none"/>
          <w:tab w:pos="2061" w:val="left" w:leader="none"/>
        </w:tabs>
        <w:spacing w:line="241" w:lineRule="exact" w:before="1" w:after="0"/>
        <w:ind w:left="2060" w:right="0" w:hanging="360"/>
        <w:jc w:val="left"/>
        <w:rPr>
          <w:sz w:val="20"/>
        </w:rPr>
      </w:pPr>
      <w:r>
        <w:rPr>
          <w:sz w:val="20"/>
        </w:rPr>
        <w:t>Llona, D. A. (2009). Nuevos indicadores de riesgo cardiovascular. Rev Chil Cardiol ,</w:t>
      </w:r>
      <w:r>
        <w:rPr>
          <w:spacing w:val="-18"/>
          <w:sz w:val="20"/>
        </w:rPr>
        <w:t> </w:t>
      </w:r>
      <w:r>
        <w:rPr>
          <w:sz w:val="20"/>
        </w:rPr>
        <w:t>381-384.</w:t>
      </w:r>
    </w:p>
    <w:p>
      <w:pPr>
        <w:pStyle w:val="ListParagraph"/>
        <w:numPr>
          <w:ilvl w:val="1"/>
          <w:numId w:val="7"/>
        </w:numPr>
        <w:tabs>
          <w:tab w:pos="2116" w:val="left" w:leader="none"/>
          <w:tab w:pos="2117" w:val="left" w:leader="none"/>
        </w:tabs>
        <w:spacing w:line="240" w:lineRule="auto" w:before="0" w:after="0"/>
        <w:ind w:left="2060" w:right="1703" w:hanging="360"/>
        <w:jc w:val="left"/>
        <w:rPr>
          <w:sz w:val="20"/>
        </w:rPr>
      </w:pPr>
      <w:r>
        <w:rPr>
          <w:sz w:val="20"/>
        </w:rPr>
        <w:t>Nicolás Terrados a, G. V. (2010). Los nuevos factores de riesgo cardiovascular y la actividad física. El Servier,</w:t>
      </w:r>
      <w:r>
        <w:rPr>
          <w:spacing w:val="-2"/>
          <w:sz w:val="20"/>
        </w:rPr>
        <w:t> </w:t>
      </w:r>
      <w:r>
        <w:rPr>
          <w:sz w:val="20"/>
        </w:rPr>
        <w:t>201-208.</w:t>
      </w:r>
    </w:p>
    <w:p>
      <w:pPr>
        <w:pStyle w:val="ListParagraph"/>
        <w:numPr>
          <w:ilvl w:val="1"/>
          <w:numId w:val="7"/>
        </w:numPr>
        <w:tabs>
          <w:tab w:pos="2060" w:val="left" w:leader="none"/>
          <w:tab w:pos="2061" w:val="left" w:leader="none"/>
        </w:tabs>
        <w:spacing w:line="240" w:lineRule="auto" w:before="1" w:after="0"/>
        <w:ind w:left="2060" w:right="1708" w:hanging="360"/>
        <w:jc w:val="left"/>
        <w:rPr>
          <w:sz w:val="20"/>
        </w:rPr>
      </w:pPr>
      <w:r>
        <w:rPr>
          <w:sz w:val="20"/>
        </w:rPr>
        <w:t>Peter </w:t>
      </w:r>
      <w:r>
        <w:rPr>
          <w:spacing w:val="2"/>
          <w:sz w:val="20"/>
        </w:rPr>
        <w:t>WF </w:t>
      </w:r>
      <w:r>
        <w:rPr>
          <w:sz w:val="20"/>
        </w:rPr>
        <w:t>Wilson, M. B. (2016). Overview of the risk equivalents and established risk factors for cardiovascular disease. UP TO</w:t>
      </w:r>
      <w:r>
        <w:rPr>
          <w:spacing w:val="1"/>
          <w:sz w:val="20"/>
        </w:rPr>
        <w:t> </w:t>
      </w:r>
      <w:r>
        <w:rPr>
          <w:sz w:val="20"/>
        </w:rPr>
        <w:t>DATE.</w:t>
      </w:r>
    </w:p>
    <w:p>
      <w:pPr>
        <w:pStyle w:val="BodyText"/>
        <w:spacing w:before="10"/>
        <w:rPr>
          <w:sz w:val="19"/>
        </w:rPr>
      </w:pPr>
    </w:p>
    <w:p>
      <w:pPr>
        <w:tabs>
          <w:tab w:pos="7498" w:val="left" w:leader="none"/>
        </w:tabs>
        <w:spacing w:before="1"/>
        <w:ind w:left="1700" w:right="0" w:firstLine="0"/>
        <w:jc w:val="left"/>
        <w:rPr>
          <w:sz w:val="20"/>
        </w:rPr>
      </w:pPr>
      <w:r>
        <w:rPr>
          <w:sz w:val="20"/>
        </w:rPr>
        <w:t>Recepción: 02 Diciembre</w:t>
      </w:r>
      <w:r>
        <w:rPr>
          <w:spacing w:val="-2"/>
          <w:sz w:val="20"/>
        </w:rPr>
        <w:t> </w:t>
      </w:r>
      <w:r>
        <w:rPr>
          <w:sz w:val="20"/>
        </w:rPr>
        <w:t>de</w:t>
      </w:r>
      <w:r>
        <w:rPr>
          <w:spacing w:val="-2"/>
          <w:sz w:val="20"/>
        </w:rPr>
        <w:t> </w:t>
      </w:r>
      <w:r>
        <w:rPr>
          <w:sz w:val="20"/>
        </w:rPr>
        <w:t>2016</w:t>
        <w:tab/>
        <w:t>Aprobación:10 Diciembre de</w:t>
      </w:r>
      <w:r>
        <w:rPr>
          <w:spacing w:val="1"/>
          <w:sz w:val="20"/>
        </w:rPr>
        <w:t> </w:t>
      </w:r>
      <w:r>
        <w:rPr>
          <w:sz w:val="20"/>
        </w:rPr>
        <w:t>2016</w:t>
      </w:r>
    </w:p>
    <w:p>
      <w:pPr>
        <w:spacing w:after="0"/>
        <w:jc w:val="left"/>
        <w:rPr>
          <w:sz w:val="20"/>
        </w:rPr>
        <w:sectPr>
          <w:footerReference w:type="default" r:id="rId41"/>
          <w:footerReference w:type="even" r:id="rId42"/>
          <w:pgSz w:w="12240" w:h="15840"/>
          <w:pgMar w:footer="864" w:header="723" w:top="920" w:bottom="1060" w:left="0" w:right="0"/>
          <w:pgNumType w:start="7"/>
        </w:sectPr>
      </w:pPr>
    </w:p>
    <w:p>
      <w:pPr>
        <w:pStyle w:val="BodyText"/>
        <w:spacing w:before="3"/>
        <w:rPr>
          <w:sz w:val="21"/>
        </w:rPr>
      </w:pPr>
    </w:p>
    <w:p>
      <w:pPr>
        <w:spacing w:line="390" w:lineRule="atLeast" w:before="0"/>
        <w:ind w:left="1872" w:right="-13" w:hanging="268"/>
        <w:jc w:val="left"/>
        <w:rPr>
          <w:sz w:val="16"/>
        </w:rPr>
      </w:pPr>
      <w:r>
        <w:rPr>
          <w:sz w:val="16"/>
        </w:rPr>
        <w:t>Revista Médica</w:t>
      </w:r>
      <w:r>
        <w:rPr>
          <w:spacing w:val="-12"/>
          <w:sz w:val="16"/>
        </w:rPr>
        <w:t> </w:t>
      </w:r>
      <w:r>
        <w:rPr>
          <w:sz w:val="16"/>
        </w:rPr>
        <w:t>Sinergia ISSN</w:t>
      </w:r>
      <w:r>
        <w:rPr>
          <w:spacing w:val="-1"/>
          <w:sz w:val="16"/>
        </w:rPr>
        <w:t> </w:t>
      </w:r>
      <w:r>
        <w:rPr>
          <w:sz w:val="16"/>
        </w:rPr>
        <w:t>2215-4523</w:t>
      </w:r>
    </w:p>
    <w:p>
      <w:pPr>
        <w:spacing w:line="254" w:lineRule="auto" w:before="16"/>
        <w:ind w:left="1668" w:right="14" w:firstLine="355"/>
        <w:jc w:val="left"/>
        <w:rPr>
          <w:sz w:val="16"/>
        </w:rPr>
      </w:pPr>
      <w:r>
        <w:rPr>
          <w:sz w:val="16"/>
        </w:rPr>
        <w:t>Vol.2 Num:1 Enero 2018 pp:8 - 12</w:t>
      </w:r>
    </w:p>
    <w:p>
      <w:pPr>
        <w:pStyle w:val="BodyText"/>
        <w:rPr>
          <w:sz w:val="24"/>
        </w:rPr>
      </w:pPr>
      <w:r>
        <w:rPr/>
        <w:br w:type="column"/>
      </w:r>
      <w:r>
        <w:rPr>
          <w:sz w:val="24"/>
        </w:rPr>
      </w:r>
    </w:p>
    <w:p>
      <w:pPr>
        <w:pStyle w:val="BodyText"/>
        <w:rPr>
          <w:sz w:val="24"/>
        </w:rPr>
      </w:pPr>
    </w:p>
    <w:p>
      <w:pPr>
        <w:pStyle w:val="BodyText"/>
        <w:rPr>
          <w:sz w:val="24"/>
        </w:rPr>
      </w:pPr>
    </w:p>
    <w:p>
      <w:pPr>
        <w:pStyle w:val="BodyText"/>
        <w:rPr>
          <w:sz w:val="24"/>
        </w:rPr>
      </w:pPr>
    </w:p>
    <w:p>
      <w:pPr>
        <w:pStyle w:val="BodyText"/>
        <w:spacing w:before="178"/>
        <w:ind w:left="284"/>
      </w:pPr>
      <w:r>
        <w:rPr/>
        <w:t>RESUMEN</w:t>
      </w:r>
    </w:p>
    <w:p>
      <w:pPr>
        <w:pStyle w:val="Heading3"/>
        <w:ind w:right="3664"/>
      </w:pPr>
      <w:r>
        <w:rPr>
          <w:b w:val="0"/>
        </w:rPr>
        <w:br w:type="column"/>
      </w:r>
      <w:r>
        <w:rPr/>
        <w:t>CANCER DE MAMA</w:t>
      </w:r>
    </w:p>
    <w:p>
      <w:pPr>
        <w:spacing w:before="54"/>
        <w:ind w:left="1131" w:right="3662" w:firstLine="0"/>
        <w:jc w:val="center"/>
        <w:rPr>
          <w:sz w:val="22"/>
        </w:rPr>
      </w:pPr>
      <w:r>
        <w:rPr/>
        <w:pict>
          <v:group style="position:absolute;margin-left:72.199997pt;margin-top:2.987854pt;width:465.55pt;height:321.7pt;mso-position-horizontal-relative:page;mso-position-vertical-relative:paragraph;z-index:-64792" coordorigin="1444,60" coordsize="9311,6434">
            <v:shape style="position:absolute;left:3495;top:808;width:7260;height:5685" type="#_x0000_t75" stroked="false">
              <v:imagedata r:id="rId44" o:title=""/>
            </v:shape>
            <v:shape style="position:absolute;left:1444;top:59;width:2048;height:6348" type="#_x0000_t75" stroked="false">
              <v:imagedata r:id="rId45" o:title=""/>
            </v:shape>
            <w10:wrap type="none"/>
          </v:group>
        </w:pict>
      </w:r>
      <w:r>
        <w:rPr>
          <w:sz w:val="20"/>
        </w:rPr>
        <w:t>(BREAST CANCER</w:t>
      </w:r>
      <w:r>
        <w:rPr>
          <w:sz w:val="22"/>
        </w:rPr>
        <w:t>)</w:t>
      </w:r>
    </w:p>
    <w:p>
      <w:pPr>
        <w:pStyle w:val="BodyText"/>
        <w:spacing w:before="72"/>
        <w:ind w:left="2919"/>
      </w:pPr>
      <w:r>
        <w:rPr>
          <w:i/>
          <w:sz w:val="24"/>
        </w:rPr>
        <w:t>* </w:t>
      </w:r>
      <w:r>
        <w:rPr/>
        <w:t>Mariangela Espinosa Ramírez</w:t>
      </w:r>
    </w:p>
    <w:p>
      <w:pPr>
        <w:spacing w:after="0"/>
        <w:sectPr>
          <w:headerReference w:type="even" r:id="rId43"/>
          <w:pgSz w:w="12240" w:h="15840"/>
          <w:pgMar w:header="0" w:footer="872" w:top="1360" w:bottom="1060" w:left="0" w:right="0"/>
          <w:cols w:num="3" w:equalWidth="0">
            <w:col w:w="3325" w:space="40"/>
            <w:col w:w="1387" w:space="39"/>
            <w:col w:w="7449"/>
          </w:cols>
        </w:sectPr>
      </w:pPr>
    </w:p>
    <w:p>
      <w:pPr>
        <w:pStyle w:val="BodyText"/>
        <w:spacing w:line="276" w:lineRule="auto" w:before="39"/>
        <w:ind w:left="3649" w:right="1820"/>
      </w:pPr>
      <w:r>
        <w:rPr/>
        <w:t>Cáncer de mama es el tumor maligno más frecuente en mujeres y la primera causa de muerte en países desarrollados. Su incidencia está en aumento pero su diagnóstico precoz ha logrado disminuir la mortalidad. En algunas ocasiones, el cáncer de mama obedece a mutaciones (alteraciones) genéticas heredadas</w:t>
      </w:r>
    </w:p>
    <w:p>
      <w:pPr>
        <w:pStyle w:val="BodyText"/>
        <w:spacing w:before="2"/>
        <w:rPr>
          <w:sz w:val="25"/>
        </w:rPr>
      </w:pPr>
    </w:p>
    <w:p>
      <w:pPr>
        <w:pStyle w:val="BodyText"/>
        <w:ind w:left="3649"/>
      </w:pPr>
      <w:r>
        <w:rPr/>
        <w:t>DESCRIPTORES</w:t>
      </w:r>
    </w:p>
    <w:p>
      <w:pPr>
        <w:pStyle w:val="BodyText"/>
        <w:spacing w:line="276" w:lineRule="auto" w:before="39"/>
        <w:ind w:left="3649" w:right="1820"/>
      </w:pPr>
      <w:r>
        <w:rPr/>
        <w:t>Cáncer de mama, tumor maligno, HER2, mamografía, nódulo mamario.</w:t>
      </w:r>
    </w:p>
    <w:p>
      <w:pPr>
        <w:pStyle w:val="BodyText"/>
        <w:spacing w:before="1"/>
        <w:rPr>
          <w:sz w:val="17"/>
        </w:rPr>
      </w:pPr>
    </w:p>
    <w:p>
      <w:pPr>
        <w:spacing w:after="0"/>
        <w:rPr>
          <w:sz w:val="17"/>
        </w:rPr>
        <w:sectPr>
          <w:type w:val="continuous"/>
          <w:pgSz w:w="12240" w:h="15840"/>
          <w:pgMar w:top="1500" w:bottom="0" w:left="0" w:right="0"/>
        </w:sect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1"/>
        <w:rPr>
          <w:sz w:val="16"/>
        </w:rPr>
      </w:pPr>
    </w:p>
    <w:p>
      <w:pPr>
        <w:spacing w:line="259" w:lineRule="auto" w:before="0"/>
        <w:ind w:left="1444" w:right="178" w:firstLine="0"/>
        <w:jc w:val="left"/>
        <w:rPr>
          <w:sz w:val="16"/>
        </w:rPr>
      </w:pPr>
      <w:r>
        <w:rPr>
          <w:sz w:val="16"/>
        </w:rPr>
        <w:t>*Médico General. Universidad de Ciencias Médicas (UCIMED). San José- Costa Rica.</w:t>
      </w:r>
    </w:p>
    <w:p>
      <w:pPr>
        <w:pStyle w:val="BodyText"/>
        <w:rPr>
          <w:sz w:val="18"/>
        </w:rPr>
      </w:pPr>
    </w:p>
    <w:p>
      <w:pPr>
        <w:pStyle w:val="BodyText"/>
        <w:rPr>
          <w:sz w:val="26"/>
        </w:rPr>
      </w:pPr>
    </w:p>
    <w:p>
      <w:pPr>
        <w:pStyle w:val="Heading4"/>
      </w:pPr>
      <w:r>
        <w:rPr/>
        <w:t>EPIDEMIOLOGIA</w:t>
      </w:r>
    </w:p>
    <w:p>
      <w:pPr>
        <w:pStyle w:val="BodyText"/>
        <w:spacing w:before="93"/>
        <w:ind w:left="232"/>
      </w:pPr>
      <w:r>
        <w:rPr/>
        <w:br w:type="column"/>
      </w:r>
      <w:r>
        <w:rPr/>
        <w:t>SUMMARY</w:t>
      </w:r>
    </w:p>
    <w:p>
      <w:pPr>
        <w:pStyle w:val="BodyText"/>
        <w:spacing w:line="276" w:lineRule="auto" w:before="38"/>
        <w:ind w:left="232" w:right="1636"/>
        <w:jc w:val="both"/>
      </w:pPr>
      <w:r>
        <w:rPr/>
        <w:t>Breast cancer is the most frequent malignant tumor in women and the leading cause of death in developed countries. Its incidence is increasing but its early diagnosis has reduced mortality. In some cases, breast cancer is due to inherited genetic mutations (alterations)</w:t>
      </w:r>
    </w:p>
    <w:p>
      <w:pPr>
        <w:pStyle w:val="BodyText"/>
        <w:spacing w:before="2"/>
        <w:rPr>
          <w:sz w:val="25"/>
        </w:rPr>
      </w:pPr>
    </w:p>
    <w:p>
      <w:pPr>
        <w:pStyle w:val="BodyText"/>
        <w:ind w:left="232"/>
      </w:pPr>
      <w:r>
        <w:rPr/>
        <w:t>KEYWORDS</w:t>
      </w:r>
    </w:p>
    <w:p>
      <w:pPr>
        <w:pStyle w:val="BodyText"/>
        <w:spacing w:before="38"/>
        <w:ind w:left="232"/>
      </w:pPr>
      <w:r>
        <w:rPr/>
        <w:t>Breast cancer, malignant tumor, HER2, mammography, breast nodule.</w:t>
      </w:r>
    </w:p>
    <w:p>
      <w:pPr>
        <w:pStyle w:val="BodyText"/>
        <w:spacing w:line="276" w:lineRule="auto" w:before="202"/>
        <w:ind w:left="3065" w:right="1421"/>
      </w:pPr>
      <w:r>
        <w:rPr/>
        <w:t>BRCA1 y BRCA2. Corresponden al 10 % de los casos.</w:t>
      </w:r>
    </w:p>
    <w:p>
      <w:pPr>
        <w:spacing w:after="0" w:line="276" w:lineRule="auto"/>
        <w:sectPr>
          <w:type w:val="continuous"/>
          <w:pgSz w:w="12240" w:h="15840"/>
          <w:pgMar w:top="1500" w:bottom="0" w:left="0" w:right="0"/>
          <w:cols w:num="2" w:equalWidth="0">
            <w:col w:w="3377" w:space="40"/>
            <w:col w:w="8823"/>
          </w:cols>
        </w:sectPr>
      </w:pPr>
    </w:p>
    <w:p>
      <w:pPr>
        <w:pStyle w:val="BodyText"/>
        <w:spacing w:before="1"/>
        <w:rPr>
          <w:sz w:val="21"/>
        </w:rPr>
      </w:pPr>
    </w:p>
    <w:p>
      <w:pPr>
        <w:pStyle w:val="BodyText"/>
        <w:spacing w:line="276" w:lineRule="auto"/>
        <w:ind w:left="1440" w:right="4"/>
        <w:jc w:val="both"/>
      </w:pPr>
      <w:r>
        <w:rPr/>
        <w:t>El cáncer de mama es una enfermedad heterogénea causada por la progresiva acumulación de aberraciones genéticas.</w:t>
      </w:r>
    </w:p>
    <w:p>
      <w:pPr>
        <w:pStyle w:val="BodyText"/>
        <w:spacing w:line="278" w:lineRule="auto" w:before="197"/>
        <w:ind w:left="1440"/>
        <w:jc w:val="both"/>
      </w:pPr>
      <w:r>
        <w:rPr/>
        <w:t>Existen múltiples factores que elevan el riesgo de desarrollarlo pero el 50% de los casos no se identifican.</w:t>
      </w:r>
    </w:p>
    <w:p>
      <w:pPr>
        <w:pStyle w:val="BodyText"/>
        <w:spacing w:line="276" w:lineRule="auto" w:before="199"/>
        <w:ind w:left="1440" w:right="1"/>
        <w:jc w:val="both"/>
      </w:pPr>
      <w:r>
        <w:rPr>
          <w:b/>
          <w:i/>
        </w:rPr>
        <w:t>Edad</w:t>
      </w:r>
      <w:r>
        <w:rPr/>
        <w:t>: la incidencia aumenta hasta la menopausia, luego el porcentaje de incremento disminuye aproximadamente en una sexta parte. Ello muestra el papel principal de la actividad ovárica en su etiología.</w:t>
      </w:r>
    </w:p>
    <w:p>
      <w:pPr>
        <w:spacing w:line="278" w:lineRule="auto" w:before="201"/>
        <w:ind w:left="1440" w:right="1" w:firstLine="0"/>
        <w:jc w:val="both"/>
        <w:rPr>
          <w:sz w:val="22"/>
        </w:rPr>
      </w:pPr>
      <w:r>
        <w:rPr>
          <w:b/>
          <w:i/>
          <w:sz w:val="22"/>
        </w:rPr>
        <w:t>Predisposición genética: </w:t>
      </w:r>
      <w:r>
        <w:rPr>
          <w:sz w:val="22"/>
        </w:rPr>
        <w:t>las mutaciones genéticas hereditarias más importantes son</w:t>
      </w:r>
    </w:p>
    <w:p>
      <w:pPr>
        <w:spacing w:line="273" w:lineRule="auto" w:before="159"/>
        <w:ind w:left="678" w:right="1436" w:firstLine="0"/>
        <w:jc w:val="both"/>
        <w:rPr>
          <w:sz w:val="22"/>
        </w:rPr>
      </w:pPr>
      <w:r>
        <w:rPr/>
        <w:br w:type="column"/>
      </w:r>
      <w:r>
        <w:rPr>
          <w:b/>
          <w:i/>
          <w:sz w:val="22"/>
        </w:rPr>
        <w:t>Cáncer familiar: </w:t>
      </w:r>
      <w:r>
        <w:rPr>
          <w:sz w:val="22"/>
        </w:rPr>
        <w:t>comprende el 20 % de los casos.</w:t>
      </w:r>
    </w:p>
    <w:p>
      <w:pPr>
        <w:pStyle w:val="BodyText"/>
        <w:spacing w:line="276" w:lineRule="auto" w:before="204"/>
        <w:ind w:left="678" w:right="1435"/>
        <w:jc w:val="both"/>
      </w:pPr>
      <w:r>
        <w:rPr>
          <w:b/>
          <w:i/>
        </w:rPr>
        <w:t>Factores hormonales: </w:t>
      </w:r>
      <w:r>
        <w:rPr/>
        <w:t>se relaciona con las hormonas reproductivas femeninas Menarquia precoz, nuliparidad, edad tardía en </w:t>
      </w:r>
      <w:r>
        <w:rPr>
          <w:spacing w:val="-3"/>
        </w:rPr>
        <w:t>la </w:t>
      </w:r>
      <w:r>
        <w:rPr/>
        <w:t>primera gestación y menopausia tardía elevan el riesgo; en posmenopáusicas, </w:t>
      </w:r>
      <w:r>
        <w:rPr>
          <w:spacing w:val="-3"/>
        </w:rPr>
        <w:t>la </w:t>
      </w:r>
      <w:r>
        <w:rPr/>
        <w:t>obesidad y el tratamiento hormonal</w:t>
      </w:r>
      <w:r>
        <w:rPr>
          <w:spacing w:val="-8"/>
        </w:rPr>
        <w:t> </w:t>
      </w:r>
      <w:r>
        <w:rPr/>
        <w:t>sustitutivo.</w:t>
      </w:r>
    </w:p>
    <w:p>
      <w:pPr>
        <w:pStyle w:val="BodyText"/>
        <w:spacing w:line="276" w:lineRule="auto" w:before="197"/>
        <w:ind w:left="678" w:right="1432"/>
        <w:jc w:val="both"/>
      </w:pPr>
      <w:r>
        <w:rPr>
          <w:b/>
          <w:i/>
        </w:rPr>
        <w:t>Proliferaciones benignas: </w:t>
      </w:r>
      <w:r>
        <w:rPr/>
        <w:t>la hiperplasia ductal aumenta el riesgo en 1,5-2 veces; la atipia ductal o la hiperplasia lobular 4-5 veces.</w:t>
      </w:r>
    </w:p>
    <w:p>
      <w:pPr>
        <w:spacing w:line="276" w:lineRule="auto" w:before="201"/>
        <w:ind w:left="678" w:right="1438" w:firstLine="0"/>
        <w:jc w:val="both"/>
        <w:rPr>
          <w:sz w:val="22"/>
        </w:rPr>
      </w:pPr>
      <w:r>
        <w:rPr>
          <w:b/>
          <w:i/>
          <w:sz w:val="22"/>
        </w:rPr>
        <w:t>Factores Ambientales: </w:t>
      </w:r>
      <w:r>
        <w:rPr>
          <w:sz w:val="22"/>
        </w:rPr>
        <w:t>la exposición a radiaciones.</w:t>
      </w:r>
    </w:p>
    <w:p>
      <w:pPr>
        <w:spacing w:after="0" w:line="276" w:lineRule="auto"/>
        <w:jc w:val="both"/>
        <w:rPr>
          <w:sz w:val="22"/>
        </w:rPr>
        <w:sectPr>
          <w:type w:val="continuous"/>
          <w:pgSz w:w="12240" w:h="15840"/>
          <w:pgMar w:top="1500" w:bottom="0" w:left="0" w:right="0"/>
          <w:cols w:num="2" w:equalWidth="0">
            <w:col w:w="5764" w:space="40"/>
            <w:col w:w="6436"/>
          </w:cols>
        </w:sectPr>
      </w:pPr>
    </w:p>
    <w:p>
      <w:pPr>
        <w:pStyle w:val="BodyText"/>
        <w:spacing w:before="7"/>
        <w:rPr>
          <w:sz w:val="13"/>
        </w:rPr>
      </w:pPr>
    </w:p>
    <w:p>
      <w:pPr>
        <w:spacing w:after="0"/>
        <w:rPr>
          <w:sz w:val="13"/>
        </w:rPr>
        <w:sectPr>
          <w:headerReference w:type="default" r:id="rId46"/>
          <w:headerReference w:type="even" r:id="rId47"/>
          <w:footerReference w:type="default" r:id="rId48"/>
          <w:footerReference w:type="even" r:id="rId49"/>
          <w:pgSz w:w="12240" w:h="15840"/>
          <w:pgMar w:header="963" w:footer="882" w:top="1180" w:bottom="1080" w:left="0" w:right="0"/>
          <w:pgNumType w:start="9"/>
        </w:sectPr>
      </w:pPr>
    </w:p>
    <w:p>
      <w:pPr>
        <w:pStyle w:val="Heading4"/>
        <w:spacing w:line="256" w:lineRule="auto" w:before="92"/>
        <w:ind w:right="1465"/>
      </w:pPr>
      <w:r>
        <w:rPr/>
        <w:t>CLASIFICACION ANATOMOPATOLOGICA</w:t>
      </w:r>
    </w:p>
    <w:p>
      <w:pPr>
        <w:pStyle w:val="BodyText"/>
        <w:spacing w:line="276" w:lineRule="auto" w:before="168"/>
        <w:ind w:left="1440" w:right="4"/>
        <w:jc w:val="both"/>
      </w:pPr>
      <w:r>
        <w:rPr/>
        <w:t>Según </w:t>
      </w:r>
      <w:r>
        <w:rPr>
          <w:spacing w:val="-3"/>
        </w:rPr>
        <w:t>la </w:t>
      </w:r>
      <w:r>
        <w:rPr/>
        <w:t>afección o no de </w:t>
      </w:r>
      <w:r>
        <w:rPr>
          <w:spacing w:val="-3"/>
        </w:rPr>
        <w:t>la </w:t>
      </w:r>
      <w:r>
        <w:rPr/>
        <w:t>membrana basal, se clasifican en no  invasivos  (in situ) o invasivos.</w:t>
      </w:r>
    </w:p>
    <w:p>
      <w:pPr>
        <w:pStyle w:val="Heading5"/>
        <w:spacing w:before="198"/>
      </w:pPr>
      <w:r>
        <w:rPr/>
        <w:t>TUMORES NO INVASIVOS</w:t>
      </w:r>
    </w:p>
    <w:p>
      <w:pPr>
        <w:pStyle w:val="BodyText"/>
        <w:rPr>
          <w:b/>
          <w:sz w:val="21"/>
        </w:rPr>
      </w:pPr>
    </w:p>
    <w:p>
      <w:pPr>
        <w:pStyle w:val="BodyText"/>
        <w:spacing w:line="276" w:lineRule="auto"/>
        <w:ind w:left="1440" w:right="1"/>
        <w:jc w:val="both"/>
      </w:pPr>
      <w:r>
        <w:rPr>
          <w:b/>
          <w:i/>
        </w:rPr>
        <w:t>Carcinoma intraductal in situ: </w:t>
      </w:r>
      <w:r>
        <w:rPr/>
        <w:t>La forma más frecuente de presentación es una tumoración palpable En la mamografía se observa una lesión necrótica central con microcalcificacines agrupadas en molde.</w:t>
      </w:r>
    </w:p>
    <w:p>
      <w:pPr>
        <w:pStyle w:val="BodyText"/>
        <w:spacing w:line="276" w:lineRule="auto" w:before="201"/>
        <w:ind w:left="1440"/>
        <w:jc w:val="both"/>
      </w:pPr>
      <w:r>
        <w:rPr>
          <w:b/>
          <w:i/>
        </w:rPr>
        <w:t>Carcinoma lobulillar in situ: </w:t>
      </w:r>
      <w:r>
        <w:rPr/>
        <w:t>suelen ser un hallazgo casual de biopsia. Suelen ser bilaterales y multicéntricos. Se tratan mediante biopsia amplia más linfadenectomia y seguimiento posterior. (3)</w:t>
      </w:r>
    </w:p>
    <w:p>
      <w:pPr>
        <w:pStyle w:val="Heading5"/>
        <w:spacing w:before="198"/>
      </w:pPr>
      <w:r>
        <w:rPr/>
        <w:t>CARCINOMA INVASIVO</w:t>
      </w:r>
    </w:p>
    <w:p>
      <w:pPr>
        <w:pStyle w:val="BodyText"/>
        <w:spacing w:before="1"/>
        <w:rPr>
          <w:b/>
          <w:sz w:val="21"/>
        </w:rPr>
      </w:pPr>
    </w:p>
    <w:p>
      <w:pPr>
        <w:pStyle w:val="BodyText"/>
        <w:spacing w:line="276" w:lineRule="auto"/>
        <w:ind w:left="1440" w:right="1"/>
        <w:jc w:val="both"/>
      </w:pPr>
      <w:r>
        <w:rPr/>
        <w:t>Es aquel que invade más </w:t>
      </w:r>
      <w:r>
        <w:rPr>
          <w:spacing w:val="-3"/>
        </w:rPr>
        <w:t>allá </w:t>
      </w:r>
      <w:r>
        <w:rPr/>
        <w:t>de </w:t>
      </w:r>
      <w:r>
        <w:rPr>
          <w:spacing w:val="-3"/>
        </w:rPr>
        <w:t>la </w:t>
      </w:r>
      <w:r>
        <w:rPr/>
        <w:t>membrana basal y se introduce en el estroma mamario, desde donde puede llegar a invadir los vasos sanguíneos, ganglios linfáticos regionales y a</w:t>
      </w:r>
      <w:r>
        <w:rPr>
          <w:spacing w:val="-14"/>
        </w:rPr>
        <w:t> </w:t>
      </w:r>
      <w:r>
        <w:rPr/>
        <w:t>distancia.</w:t>
      </w:r>
    </w:p>
    <w:p>
      <w:pPr>
        <w:pStyle w:val="BodyText"/>
        <w:spacing w:line="273" w:lineRule="auto" w:before="202"/>
        <w:ind w:left="1440" w:right="4"/>
        <w:jc w:val="both"/>
      </w:pPr>
      <w:r>
        <w:rPr/>
        <w:t>Entre los principales tipos histológicos de carcinoma de mama se encuentran:</w:t>
      </w:r>
    </w:p>
    <w:p>
      <w:pPr>
        <w:pStyle w:val="ListParagraph"/>
        <w:numPr>
          <w:ilvl w:val="2"/>
          <w:numId w:val="7"/>
        </w:numPr>
        <w:tabs>
          <w:tab w:pos="2160" w:val="left" w:leader="none"/>
          <w:tab w:pos="2161" w:val="left" w:leader="none"/>
        </w:tabs>
        <w:spacing w:line="240" w:lineRule="auto" w:before="205" w:after="0"/>
        <w:ind w:left="2160" w:right="0" w:hanging="360"/>
        <w:jc w:val="left"/>
        <w:rPr>
          <w:sz w:val="22"/>
        </w:rPr>
      </w:pPr>
      <w:r>
        <w:rPr>
          <w:sz w:val="22"/>
        </w:rPr>
        <w:t>Ductal</w:t>
      </w:r>
      <w:r>
        <w:rPr>
          <w:spacing w:val="-6"/>
          <w:sz w:val="22"/>
        </w:rPr>
        <w:t> </w:t>
      </w:r>
      <w:r>
        <w:rPr>
          <w:sz w:val="22"/>
        </w:rPr>
        <w:t>(79%)</w:t>
      </w:r>
    </w:p>
    <w:p>
      <w:pPr>
        <w:pStyle w:val="ListParagraph"/>
        <w:numPr>
          <w:ilvl w:val="2"/>
          <w:numId w:val="7"/>
        </w:numPr>
        <w:tabs>
          <w:tab w:pos="2160" w:val="left" w:leader="none"/>
          <w:tab w:pos="2161" w:val="left" w:leader="none"/>
        </w:tabs>
        <w:spacing w:line="240" w:lineRule="auto" w:before="33" w:after="0"/>
        <w:ind w:left="2160" w:right="0" w:hanging="360"/>
        <w:jc w:val="left"/>
        <w:rPr>
          <w:sz w:val="22"/>
        </w:rPr>
      </w:pPr>
      <w:r>
        <w:rPr>
          <w:sz w:val="22"/>
        </w:rPr>
        <w:t>Lobulillar (10%)</w:t>
      </w:r>
    </w:p>
    <w:p>
      <w:pPr>
        <w:pStyle w:val="ListParagraph"/>
        <w:numPr>
          <w:ilvl w:val="2"/>
          <w:numId w:val="7"/>
        </w:numPr>
        <w:tabs>
          <w:tab w:pos="2160" w:val="left" w:leader="none"/>
          <w:tab w:pos="2161" w:val="left" w:leader="none"/>
        </w:tabs>
        <w:spacing w:line="240" w:lineRule="auto" w:before="38" w:after="0"/>
        <w:ind w:left="2160" w:right="0" w:hanging="360"/>
        <w:jc w:val="left"/>
        <w:rPr>
          <w:sz w:val="22"/>
        </w:rPr>
      </w:pPr>
      <w:r>
        <w:rPr>
          <w:sz w:val="22"/>
        </w:rPr>
        <w:t>Tubular</w:t>
      </w:r>
      <w:r>
        <w:rPr>
          <w:spacing w:val="-4"/>
          <w:sz w:val="22"/>
        </w:rPr>
        <w:t> </w:t>
      </w:r>
      <w:r>
        <w:rPr>
          <w:sz w:val="22"/>
        </w:rPr>
        <w:t>(6%)</w:t>
      </w:r>
    </w:p>
    <w:p>
      <w:pPr>
        <w:pStyle w:val="ListParagraph"/>
        <w:numPr>
          <w:ilvl w:val="2"/>
          <w:numId w:val="7"/>
        </w:numPr>
        <w:tabs>
          <w:tab w:pos="2160" w:val="left" w:leader="none"/>
          <w:tab w:pos="2161" w:val="left" w:leader="none"/>
        </w:tabs>
        <w:spacing w:line="240" w:lineRule="auto" w:before="35" w:after="0"/>
        <w:ind w:left="2160" w:right="0" w:hanging="360"/>
        <w:jc w:val="left"/>
        <w:rPr>
          <w:sz w:val="22"/>
        </w:rPr>
      </w:pPr>
      <w:r>
        <w:rPr>
          <w:sz w:val="22"/>
        </w:rPr>
        <w:t>Mucinoso</w:t>
      </w:r>
      <w:r>
        <w:rPr>
          <w:spacing w:val="-1"/>
          <w:sz w:val="22"/>
        </w:rPr>
        <w:t> </w:t>
      </w:r>
      <w:r>
        <w:rPr>
          <w:sz w:val="22"/>
        </w:rPr>
        <w:t>(2%)</w:t>
      </w:r>
    </w:p>
    <w:p>
      <w:pPr>
        <w:pStyle w:val="ListParagraph"/>
        <w:numPr>
          <w:ilvl w:val="2"/>
          <w:numId w:val="7"/>
        </w:numPr>
        <w:tabs>
          <w:tab w:pos="2160" w:val="left" w:leader="none"/>
          <w:tab w:pos="2161" w:val="left" w:leader="none"/>
        </w:tabs>
        <w:spacing w:line="240" w:lineRule="auto" w:before="38" w:after="0"/>
        <w:ind w:left="2160" w:right="0" w:hanging="360"/>
        <w:jc w:val="left"/>
        <w:rPr>
          <w:sz w:val="22"/>
        </w:rPr>
      </w:pPr>
      <w:r>
        <w:rPr>
          <w:sz w:val="22"/>
        </w:rPr>
        <w:t>Medular</w:t>
      </w:r>
      <w:r>
        <w:rPr>
          <w:spacing w:val="-4"/>
          <w:sz w:val="22"/>
        </w:rPr>
        <w:t> </w:t>
      </w:r>
      <w:r>
        <w:rPr>
          <w:sz w:val="22"/>
        </w:rPr>
        <w:t>(2%)</w:t>
      </w:r>
    </w:p>
    <w:p>
      <w:pPr>
        <w:pStyle w:val="ListParagraph"/>
        <w:numPr>
          <w:ilvl w:val="2"/>
          <w:numId w:val="7"/>
        </w:numPr>
        <w:tabs>
          <w:tab w:pos="2160" w:val="left" w:leader="none"/>
          <w:tab w:pos="2161" w:val="left" w:leader="none"/>
        </w:tabs>
        <w:spacing w:line="240" w:lineRule="auto" w:before="34" w:after="0"/>
        <w:ind w:left="2160" w:right="0" w:hanging="360"/>
        <w:jc w:val="left"/>
        <w:rPr>
          <w:sz w:val="22"/>
        </w:rPr>
      </w:pPr>
      <w:r>
        <w:rPr>
          <w:sz w:val="22"/>
        </w:rPr>
        <w:t>Papilar (1%)</w:t>
      </w:r>
    </w:p>
    <w:p>
      <w:pPr>
        <w:pStyle w:val="ListParagraph"/>
        <w:numPr>
          <w:ilvl w:val="2"/>
          <w:numId w:val="7"/>
        </w:numPr>
        <w:tabs>
          <w:tab w:pos="2160" w:val="left" w:leader="none"/>
          <w:tab w:pos="2161" w:val="left" w:leader="none"/>
        </w:tabs>
        <w:spacing w:line="240" w:lineRule="auto" w:before="38" w:after="0"/>
        <w:ind w:left="2160" w:right="0" w:hanging="360"/>
        <w:jc w:val="left"/>
        <w:rPr>
          <w:sz w:val="22"/>
        </w:rPr>
      </w:pPr>
      <w:r>
        <w:rPr>
          <w:sz w:val="22"/>
        </w:rPr>
        <w:t>Metaplásico</w:t>
      </w:r>
      <w:r>
        <w:rPr>
          <w:spacing w:val="-1"/>
          <w:sz w:val="22"/>
        </w:rPr>
        <w:t> </w:t>
      </w:r>
      <w:r>
        <w:rPr>
          <w:sz w:val="22"/>
        </w:rPr>
        <w:t>(1%).</w:t>
      </w:r>
    </w:p>
    <w:p>
      <w:pPr>
        <w:pStyle w:val="BodyText"/>
        <w:spacing w:line="276" w:lineRule="auto" w:before="232"/>
        <w:ind w:left="1440"/>
        <w:jc w:val="both"/>
      </w:pPr>
      <w:r>
        <w:rPr/>
        <w:t>Otra forma de clasificar el carcinoma de mama es mediante </w:t>
      </w:r>
      <w:r>
        <w:rPr>
          <w:spacing w:val="-3"/>
        </w:rPr>
        <w:t>la </w:t>
      </w:r>
      <w:r>
        <w:rPr/>
        <w:t>utilización de </w:t>
      </w:r>
      <w:r>
        <w:rPr>
          <w:spacing w:val="-3"/>
        </w:rPr>
        <w:t>la </w:t>
      </w:r>
      <w:r>
        <w:rPr/>
        <w:t>inmunohistoquímica, que permite detectar proteínas en las células, </w:t>
      </w:r>
      <w:r>
        <w:rPr>
          <w:spacing w:val="-3"/>
        </w:rPr>
        <w:t>lo </w:t>
      </w:r>
      <w:r>
        <w:rPr/>
        <w:t>cual  ha llevado a categorizar los carcinomas de mama según </w:t>
      </w:r>
      <w:r>
        <w:rPr>
          <w:spacing w:val="-3"/>
        </w:rPr>
        <w:t>la </w:t>
      </w:r>
      <w:r>
        <w:rPr/>
        <w:t>expresión de receptores de estrógenos, progesterona y de</w:t>
      </w:r>
      <w:r>
        <w:rPr>
          <w:spacing w:val="57"/>
        </w:rPr>
        <w:t> </w:t>
      </w:r>
      <w:r>
        <w:rPr/>
        <w:t>los</w:t>
      </w:r>
    </w:p>
    <w:p>
      <w:pPr>
        <w:pStyle w:val="BodyText"/>
        <w:spacing w:line="278" w:lineRule="auto" w:before="94"/>
        <w:ind w:left="677" w:right="1436"/>
        <w:jc w:val="both"/>
      </w:pPr>
      <w:r>
        <w:rPr/>
        <w:br w:type="column"/>
      </w:r>
      <w:r>
        <w:rPr/>
        <w:t>receptores HER2 (factor de crecimiento epidérmico).</w:t>
      </w:r>
    </w:p>
    <w:p>
      <w:pPr>
        <w:pStyle w:val="BodyText"/>
        <w:spacing w:line="276" w:lineRule="auto" w:before="194"/>
        <w:ind w:left="677" w:right="1436"/>
        <w:jc w:val="both"/>
      </w:pPr>
      <w:r>
        <w:rPr/>
        <w:t>Entre el 75% y el 80 % cánceres son positivos para receptores hormonales de estrógenos o progesterona, y entre el 15% y </w:t>
      </w:r>
      <w:r>
        <w:rPr>
          <w:spacing w:val="1"/>
        </w:rPr>
        <w:t>el </w:t>
      </w:r>
      <w:r>
        <w:rPr/>
        <w:t>20% son positivos para HER2.El porcentaje remanente entre el 10% y el 15% representa los carcinomas de mama triple negativo (CMTN) definidos por </w:t>
      </w:r>
      <w:r>
        <w:rPr>
          <w:spacing w:val="-3"/>
        </w:rPr>
        <w:t>la </w:t>
      </w:r>
      <w:r>
        <w:rPr/>
        <w:t>ausencia de expresión de receptores hormonales y de</w:t>
      </w:r>
      <w:r>
        <w:rPr>
          <w:spacing w:val="-7"/>
        </w:rPr>
        <w:t> </w:t>
      </w:r>
      <w:r>
        <w:rPr/>
        <w:t>HER2.</w:t>
      </w:r>
    </w:p>
    <w:p>
      <w:pPr>
        <w:pStyle w:val="BodyText"/>
        <w:spacing w:line="276" w:lineRule="auto" w:before="202"/>
        <w:ind w:left="677" w:right="1439"/>
        <w:jc w:val="both"/>
      </w:pPr>
      <w:r>
        <w:rPr/>
        <w:t>Desde el punto de vista de expresión de genes, se dividen en 5 grupos (4):</w:t>
      </w:r>
    </w:p>
    <w:p>
      <w:pPr>
        <w:pStyle w:val="ListParagraph"/>
        <w:numPr>
          <w:ilvl w:val="0"/>
          <w:numId w:val="8"/>
        </w:numPr>
        <w:tabs>
          <w:tab w:pos="1398" w:val="left" w:leader="none"/>
          <w:tab w:pos="1399" w:val="left" w:leader="none"/>
        </w:tabs>
        <w:spacing w:line="240" w:lineRule="auto" w:before="203" w:after="0"/>
        <w:ind w:left="1398" w:right="0" w:hanging="361"/>
        <w:jc w:val="left"/>
        <w:rPr>
          <w:sz w:val="22"/>
        </w:rPr>
      </w:pPr>
      <w:r>
        <w:rPr>
          <w:sz w:val="22"/>
        </w:rPr>
        <w:t>Normal</w:t>
      </w:r>
    </w:p>
    <w:p>
      <w:pPr>
        <w:pStyle w:val="ListParagraph"/>
        <w:numPr>
          <w:ilvl w:val="0"/>
          <w:numId w:val="8"/>
        </w:numPr>
        <w:tabs>
          <w:tab w:pos="1398" w:val="left" w:leader="none"/>
          <w:tab w:pos="1399" w:val="left" w:leader="none"/>
        </w:tabs>
        <w:spacing w:line="240" w:lineRule="auto" w:before="34" w:after="0"/>
        <w:ind w:left="1398" w:right="0" w:hanging="361"/>
        <w:jc w:val="left"/>
        <w:rPr>
          <w:sz w:val="22"/>
        </w:rPr>
      </w:pPr>
      <w:r>
        <w:rPr>
          <w:sz w:val="22"/>
        </w:rPr>
        <w:t>Luminal</w:t>
      </w:r>
      <w:r>
        <w:rPr>
          <w:spacing w:val="-8"/>
          <w:sz w:val="22"/>
        </w:rPr>
        <w:t> </w:t>
      </w:r>
      <w:r>
        <w:rPr>
          <w:sz w:val="22"/>
        </w:rPr>
        <w:t>A</w:t>
      </w:r>
    </w:p>
    <w:p>
      <w:pPr>
        <w:pStyle w:val="ListParagraph"/>
        <w:numPr>
          <w:ilvl w:val="0"/>
          <w:numId w:val="8"/>
        </w:numPr>
        <w:tabs>
          <w:tab w:pos="1398" w:val="left" w:leader="none"/>
          <w:tab w:pos="1399" w:val="left" w:leader="none"/>
        </w:tabs>
        <w:spacing w:line="240" w:lineRule="auto" w:before="34" w:after="0"/>
        <w:ind w:left="1398" w:right="0" w:hanging="361"/>
        <w:jc w:val="left"/>
        <w:rPr>
          <w:sz w:val="22"/>
        </w:rPr>
      </w:pPr>
      <w:r>
        <w:rPr>
          <w:sz w:val="22"/>
        </w:rPr>
        <w:t>Luminal</w:t>
      </w:r>
      <w:r>
        <w:rPr>
          <w:spacing w:val="-8"/>
          <w:sz w:val="22"/>
        </w:rPr>
        <w:t> </w:t>
      </w:r>
      <w:r>
        <w:rPr>
          <w:sz w:val="22"/>
        </w:rPr>
        <w:t>B</w:t>
      </w:r>
    </w:p>
    <w:p>
      <w:pPr>
        <w:pStyle w:val="ListParagraph"/>
        <w:numPr>
          <w:ilvl w:val="0"/>
          <w:numId w:val="8"/>
        </w:numPr>
        <w:tabs>
          <w:tab w:pos="1398" w:val="left" w:leader="none"/>
          <w:tab w:pos="1399" w:val="left" w:leader="none"/>
        </w:tabs>
        <w:spacing w:line="240" w:lineRule="auto" w:before="38" w:after="0"/>
        <w:ind w:left="1398" w:right="0" w:hanging="361"/>
        <w:jc w:val="left"/>
        <w:rPr>
          <w:sz w:val="22"/>
        </w:rPr>
      </w:pPr>
      <w:r>
        <w:rPr>
          <w:sz w:val="22"/>
        </w:rPr>
        <w:t>Basal</w:t>
      </w:r>
    </w:p>
    <w:p>
      <w:pPr>
        <w:pStyle w:val="ListParagraph"/>
        <w:numPr>
          <w:ilvl w:val="0"/>
          <w:numId w:val="8"/>
        </w:numPr>
        <w:tabs>
          <w:tab w:pos="1398" w:val="left" w:leader="none"/>
          <w:tab w:pos="1399" w:val="left" w:leader="none"/>
        </w:tabs>
        <w:spacing w:line="240" w:lineRule="auto" w:before="34" w:after="0"/>
        <w:ind w:left="1398" w:right="0" w:hanging="361"/>
        <w:jc w:val="left"/>
        <w:rPr>
          <w:sz w:val="22"/>
        </w:rPr>
      </w:pPr>
      <w:r>
        <w:rPr>
          <w:sz w:val="22"/>
        </w:rPr>
        <w:t>HER2</w:t>
      </w:r>
    </w:p>
    <w:p>
      <w:pPr>
        <w:pStyle w:val="Heading5"/>
        <w:spacing w:before="233"/>
        <w:ind w:left="677"/>
      </w:pPr>
      <w:r>
        <w:rPr/>
        <w:t>SOSPECHA DE CÁNCER</w:t>
      </w:r>
    </w:p>
    <w:p>
      <w:pPr>
        <w:pStyle w:val="BodyText"/>
        <w:spacing w:before="10"/>
        <w:rPr>
          <w:b/>
          <w:sz w:val="20"/>
        </w:rPr>
      </w:pPr>
    </w:p>
    <w:p>
      <w:pPr>
        <w:pStyle w:val="ListParagraph"/>
        <w:numPr>
          <w:ilvl w:val="0"/>
          <w:numId w:val="8"/>
        </w:numPr>
        <w:tabs>
          <w:tab w:pos="1399" w:val="left" w:leader="none"/>
        </w:tabs>
        <w:spacing w:line="273" w:lineRule="auto" w:before="0" w:after="0"/>
        <w:ind w:left="1398" w:right="1436" w:hanging="361"/>
        <w:jc w:val="both"/>
        <w:rPr>
          <w:sz w:val="22"/>
        </w:rPr>
      </w:pPr>
      <w:r>
        <w:rPr>
          <w:sz w:val="22"/>
        </w:rPr>
        <w:t>Masa con bordes irregulares, adherida a planos profundos palpable, tanto en mama como en axila.</w:t>
      </w:r>
    </w:p>
    <w:p>
      <w:pPr>
        <w:pStyle w:val="ListParagraph"/>
        <w:numPr>
          <w:ilvl w:val="0"/>
          <w:numId w:val="8"/>
        </w:numPr>
        <w:tabs>
          <w:tab w:pos="1399" w:val="left" w:leader="none"/>
          <w:tab w:pos="3149" w:val="left" w:leader="none"/>
          <w:tab w:pos="4891" w:val="left" w:leader="none"/>
        </w:tabs>
        <w:spacing w:line="273" w:lineRule="auto" w:before="5" w:after="0"/>
        <w:ind w:left="1398" w:right="1429" w:hanging="361"/>
        <w:jc w:val="both"/>
        <w:rPr>
          <w:sz w:val="22"/>
        </w:rPr>
      </w:pPr>
      <w:r>
        <w:rPr>
          <w:sz w:val="22"/>
        </w:rPr>
        <w:t>Secreción del pezón sin masa dominante,</w:t>
        <w:tab/>
        <w:t>persistente</w:t>
        <w:tab/>
        <w:t>y reproducible al examen espontáneo, conducto</w:t>
      </w:r>
      <w:r>
        <w:rPr>
          <w:spacing w:val="-1"/>
          <w:sz w:val="22"/>
        </w:rPr>
        <w:t> </w:t>
      </w:r>
      <w:r>
        <w:rPr>
          <w:sz w:val="22"/>
        </w:rPr>
        <w:t>unilateral.</w:t>
      </w:r>
    </w:p>
    <w:p>
      <w:pPr>
        <w:pStyle w:val="ListParagraph"/>
        <w:numPr>
          <w:ilvl w:val="0"/>
          <w:numId w:val="8"/>
        </w:numPr>
        <w:tabs>
          <w:tab w:pos="1399" w:val="left" w:leader="none"/>
        </w:tabs>
        <w:spacing w:line="273" w:lineRule="auto" w:before="5" w:after="0"/>
        <w:ind w:left="1398" w:right="1436" w:hanging="361"/>
        <w:jc w:val="both"/>
        <w:rPr>
          <w:sz w:val="22"/>
        </w:rPr>
      </w:pPr>
      <w:r>
        <w:rPr>
          <w:sz w:val="22"/>
        </w:rPr>
        <w:t>Sospecha clínica de cáncer de mama inflamatorio: senos enrojecidos, inflamados y</w:t>
      </w:r>
      <w:r>
        <w:rPr>
          <w:spacing w:val="-15"/>
          <w:sz w:val="22"/>
        </w:rPr>
        <w:t> </w:t>
      </w:r>
      <w:r>
        <w:rPr>
          <w:sz w:val="22"/>
        </w:rPr>
        <w:t>calientes.</w:t>
      </w:r>
    </w:p>
    <w:p>
      <w:pPr>
        <w:pStyle w:val="ListParagraph"/>
        <w:numPr>
          <w:ilvl w:val="0"/>
          <w:numId w:val="8"/>
        </w:numPr>
        <w:tabs>
          <w:tab w:pos="1399" w:val="left" w:leader="none"/>
        </w:tabs>
        <w:spacing w:line="273" w:lineRule="auto" w:before="5" w:after="0"/>
        <w:ind w:left="1398" w:right="1434" w:hanging="361"/>
        <w:jc w:val="both"/>
        <w:rPr>
          <w:sz w:val="22"/>
        </w:rPr>
      </w:pPr>
      <w:r>
        <w:rPr>
          <w:sz w:val="22"/>
        </w:rPr>
        <w:t>Otros síntomas son pesadez, ardor, dolor, aumento del tamaño del seno, sensibilidad o pezones</w:t>
      </w:r>
      <w:r>
        <w:rPr>
          <w:spacing w:val="-5"/>
          <w:sz w:val="22"/>
        </w:rPr>
        <w:t> </w:t>
      </w:r>
      <w:r>
        <w:rPr>
          <w:sz w:val="22"/>
        </w:rPr>
        <w:t>invertidos.</w:t>
      </w:r>
    </w:p>
    <w:p>
      <w:pPr>
        <w:pStyle w:val="ListParagraph"/>
        <w:numPr>
          <w:ilvl w:val="0"/>
          <w:numId w:val="8"/>
        </w:numPr>
        <w:tabs>
          <w:tab w:pos="1399" w:val="left" w:leader="none"/>
        </w:tabs>
        <w:spacing w:line="268" w:lineRule="auto" w:before="5" w:after="0"/>
        <w:ind w:left="1398" w:right="1433" w:hanging="361"/>
        <w:jc w:val="both"/>
        <w:rPr>
          <w:sz w:val="22"/>
        </w:rPr>
      </w:pPr>
      <w:r>
        <w:rPr>
          <w:sz w:val="22"/>
        </w:rPr>
        <w:t>Engrosamiento asimétrico nodular. Mujeres menores de 30</w:t>
      </w:r>
      <w:r>
        <w:rPr>
          <w:spacing w:val="-7"/>
          <w:sz w:val="22"/>
        </w:rPr>
        <w:t> </w:t>
      </w:r>
      <w:r>
        <w:rPr>
          <w:sz w:val="22"/>
        </w:rPr>
        <w:t>años.</w:t>
      </w:r>
    </w:p>
    <w:p>
      <w:pPr>
        <w:pStyle w:val="ListParagraph"/>
        <w:numPr>
          <w:ilvl w:val="0"/>
          <w:numId w:val="8"/>
        </w:numPr>
        <w:tabs>
          <w:tab w:pos="1399" w:val="left" w:leader="none"/>
        </w:tabs>
        <w:spacing w:line="268" w:lineRule="auto" w:before="11" w:after="0"/>
        <w:ind w:left="1398" w:right="1437" w:hanging="361"/>
        <w:jc w:val="both"/>
        <w:rPr>
          <w:sz w:val="22"/>
        </w:rPr>
      </w:pPr>
      <w:r>
        <w:rPr>
          <w:sz w:val="22"/>
        </w:rPr>
        <w:t>Sospecha clínica de Enfermedad de Paget.</w:t>
      </w:r>
    </w:p>
    <w:p>
      <w:pPr>
        <w:pStyle w:val="ListParagraph"/>
        <w:numPr>
          <w:ilvl w:val="0"/>
          <w:numId w:val="8"/>
        </w:numPr>
        <w:tabs>
          <w:tab w:pos="1399" w:val="left" w:leader="none"/>
        </w:tabs>
        <w:spacing w:line="268" w:lineRule="auto" w:before="11" w:after="0"/>
        <w:ind w:left="1398" w:right="1436" w:hanging="361"/>
        <w:jc w:val="both"/>
        <w:rPr>
          <w:sz w:val="22"/>
        </w:rPr>
      </w:pPr>
      <w:r>
        <w:rPr>
          <w:sz w:val="22"/>
        </w:rPr>
        <w:t>Mujeres con diagnóstico previo de cáncer de</w:t>
      </w:r>
      <w:r>
        <w:rPr>
          <w:spacing w:val="-7"/>
          <w:sz w:val="22"/>
        </w:rPr>
        <w:t> </w:t>
      </w:r>
      <w:r>
        <w:rPr>
          <w:sz w:val="22"/>
        </w:rPr>
        <w:t>mama.</w:t>
      </w:r>
    </w:p>
    <w:p>
      <w:pPr>
        <w:spacing w:after="0" w:line="268" w:lineRule="auto"/>
        <w:jc w:val="both"/>
        <w:rPr>
          <w:sz w:val="22"/>
        </w:rPr>
        <w:sectPr>
          <w:type w:val="continuous"/>
          <w:pgSz w:w="12240" w:h="15840"/>
          <w:pgMar w:top="1500" w:bottom="0" w:left="0" w:right="0"/>
          <w:cols w:num="2" w:equalWidth="0">
            <w:col w:w="5765" w:space="40"/>
            <w:col w:w="6435"/>
          </w:cols>
        </w:sectPr>
      </w:pPr>
    </w:p>
    <w:p>
      <w:pPr>
        <w:pStyle w:val="BodyText"/>
        <w:spacing w:before="7"/>
        <w:rPr>
          <w:sz w:val="13"/>
        </w:rPr>
      </w:pPr>
    </w:p>
    <w:p>
      <w:pPr>
        <w:spacing w:after="0"/>
        <w:rPr>
          <w:sz w:val="13"/>
        </w:rPr>
        <w:sectPr>
          <w:pgSz w:w="12240" w:h="15840"/>
          <w:pgMar w:header="963" w:footer="872" w:top="1180" w:bottom="1060" w:left="0" w:right="0"/>
        </w:sectPr>
      </w:pPr>
    </w:p>
    <w:p>
      <w:pPr>
        <w:pStyle w:val="Heading4"/>
        <w:spacing w:before="92"/>
        <w:jc w:val="both"/>
      </w:pPr>
      <w:r>
        <w:rPr/>
        <w:t>DIAGNOSTICO</w:t>
      </w:r>
    </w:p>
    <w:p>
      <w:pPr>
        <w:pStyle w:val="BodyText"/>
        <w:spacing w:before="1"/>
        <w:rPr>
          <w:b/>
          <w:sz w:val="21"/>
        </w:rPr>
      </w:pPr>
    </w:p>
    <w:p>
      <w:pPr>
        <w:pStyle w:val="BodyText"/>
        <w:spacing w:line="276" w:lineRule="auto"/>
        <w:ind w:left="1440"/>
        <w:jc w:val="both"/>
      </w:pPr>
      <w:r>
        <w:rPr>
          <w:b/>
          <w:i/>
        </w:rPr>
        <w:t>Autoexploración: </w:t>
      </w:r>
      <w:r>
        <w:rPr/>
        <w:t>no se ha demostrado eficaz para disminuir la mortalidad de la enfermedad.</w:t>
      </w:r>
    </w:p>
    <w:p>
      <w:pPr>
        <w:pStyle w:val="BodyText"/>
        <w:spacing w:line="276" w:lineRule="auto" w:before="202"/>
        <w:ind w:left="1440"/>
        <w:jc w:val="both"/>
      </w:pPr>
      <w:r>
        <w:rPr>
          <w:b/>
          <w:i/>
        </w:rPr>
        <w:t>Mamografía: </w:t>
      </w:r>
      <w:r>
        <w:rPr/>
        <w:t>es el método diagnóstico por imagen principal en patología mamaria. Se utiliza en pacientes asintomáticos como método de screening y en sintomáticas, básicamente se realizan dos proyecciones (craneocaudal y oblicua externa a 60 grados).</w:t>
      </w:r>
    </w:p>
    <w:p>
      <w:pPr>
        <w:pStyle w:val="BodyText"/>
        <w:spacing w:before="202"/>
        <w:ind w:left="1440"/>
        <w:jc w:val="both"/>
      </w:pPr>
      <w:r>
        <w:rPr/>
        <w:t>Son signos de malignidad:</w:t>
      </w:r>
    </w:p>
    <w:p>
      <w:pPr>
        <w:pStyle w:val="BodyText"/>
        <w:spacing w:before="5"/>
        <w:rPr>
          <w:sz w:val="20"/>
        </w:rPr>
      </w:pPr>
    </w:p>
    <w:p>
      <w:pPr>
        <w:pStyle w:val="ListParagraph"/>
        <w:numPr>
          <w:ilvl w:val="0"/>
          <w:numId w:val="9"/>
        </w:numPr>
        <w:tabs>
          <w:tab w:pos="2161" w:val="left" w:leader="none"/>
        </w:tabs>
        <w:spacing w:line="276" w:lineRule="auto" w:before="0" w:after="0"/>
        <w:ind w:left="2160" w:right="0" w:hanging="360"/>
        <w:jc w:val="both"/>
        <w:rPr>
          <w:sz w:val="22"/>
        </w:rPr>
      </w:pPr>
      <w:r>
        <w:rPr>
          <w:sz w:val="22"/>
        </w:rPr>
        <w:t>Nodulo denso, espiculado, de contornos</w:t>
      </w:r>
      <w:r>
        <w:rPr>
          <w:spacing w:val="-1"/>
          <w:sz w:val="22"/>
        </w:rPr>
        <w:t> </w:t>
      </w:r>
      <w:r>
        <w:rPr>
          <w:sz w:val="22"/>
        </w:rPr>
        <w:t>irregulares.</w:t>
      </w:r>
    </w:p>
    <w:p>
      <w:pPr>
        <w:pStyle w:val="ListParagraph"/>
        <w:numPr>
          <w:ilvl w:val="0"/>
          <w:numId w:val="9"/>
        </w:numPr>
        <w:tabs>
          <w:tab w:pos="2161" w:val="left" w:leader="none"/>
        </w:tabs>
        <w:spacing w:line="276" w:lineRule="auto" w:before="2" w:after="0"/>
        <w:ind w:left="2160" w:right="2" w:hanging="360"/>
        <w:jc w:val="both"/>
        <w:rPr>
          <w:sz w:val="22"/>
        </w:rPr>
      </w:pPr>
      <w:r>
        <w:rPr>
          <w:sz w:val="22"/>
        </w:rPr>
        <w:t>Microcalcificaciones  agrupadas finas e irregulares en número superior a seis y no</w:t>
      </w:r>
      <w:r>
        <w:rPr>
          <w:spacing w:val="-10"/>
          <w:sz w:val="22"/>
        </w:rPr>
        <w:t> </w:t>
      </w:r>
      <w:r>
        <w:rPr>
          <w:sz w:val="22"/>
        </w:rPr>
        <w:t>diseminadas.</w:t>
      </w:r>
    </w:p>
    <w:p>
      <w:pPr>
        <w:pStyle w:val="ListParagraph"/>
        <w:numPr>
          <w:ilvl w:val="0"/>
          <w:numId w:val="9"/>
        </w:numPr>
        <w:tabs>
          <w:tab w:pos="2161" w:val="left" w:leader="none"/>
        </w:tabs>
        <w:spacing w:line="276" w:lineRule="auto" w:before="2" w:after="0"/>
        <w:ind w:left="2160" w:right="2" w:hanging="360"/>
        <w:jc w:val="both"/>
        <w:rPr>
          <w:sz w:val="22"/>
        </w:rPr>
      </w:pPr>
      <w:r>
        <w:rPr>
          <w:sz w:val="22"/>
        </w:rPr>
        <w:t>Desestructuración del tejido mamario con pérdida de su arquitectura.</w:t>
      </w:r>
    </w:p>
    <w:p>
      <w:pPr>
        <w:pStyle w:val="BodyText"/>
        <w:spacing w:line="276" w:lineRule="auto" w:before="198"/>
        <w:ind w:left="1440" w:right="4"/>
        <w:jc w:val="both"/>
      </w:pPr>
      <w:r>
        <w:rPr/>
        <w:t>El tamizaje se debe realizar a partir de los 40 años.</w:t>
      </w:r>
    </w:p>
    <w:p>
      <w:pPr>
        <w:pStyle w:val="BodyText"/>
        <w:spacing w:line="273" w:lineRule="auto" w:before="203"/>
        <w:ind w:left="1440"/>
        <w:jc w:val="both"/>
        <w:rPr>
          <w:i/>
        </w:rPr>
      </w:pPr>
      <w:r>
        <w:rPr/>
        <w:t>El sistema BI-RADS se encuentra estandarizado, estableciendo categorías que marcan pautas de actuación, ver </w:t>
      </w:r>
      <w:r>
        <w:rPr>
          <w:i/>
        </w:rPr>
        <w:t>Tabla </w:t>
      </w:r>
      <w:r>
        <w:rPr>
          <w:i/>
        </w:rPr>
        <w:t>1.</w:t>
      </w:r>
    </w:p>
    <w:p>
      <w:pPr>
        <w:pStyle w:val="BodyText"/>
        <w:spacing w:line="276" w:lineRule="auto" w:before="208"/>
        <w:ind w:left="1440" w:right="2"/>
        <w:jc w:val="both"/>
      </w:pPr>
      <w:r>
        <w:rPr>
          <w:b/>
          <w:i/>
        </w:rPr>
        <w:t>Ecografía: </w:t>
      </w:r>
      <w:r>
        <w:rPr/>
        <w:t>es más útil en mujeres jóvenes debido a la densidad del tejido mamario. Tiene una mayor capacidad para diferenciar lesiones quísticas de sólidas.</w:t>
      </w:r>
    </w:p>
    <w:p>
      <w:pPr>
        <w:pStyle w:val="BodyText"/>
        <w:spacing w:line="276" w:lineRule="auto" w:before="201"/>
        <w:ind w:left="1440" w:right="2"/>
        <w:jc w:val="both"/>
      </w:pPr>
      <w:r>
        <w:rPr/>
        <w:t>Los nódulos malignos se visualizan irregulares, heterogéneos, lobulados y con sombra acústica.</w:t>
      </w:r>
    </w:p>
    <w:p>
      <w:pPr>
        <w:pStyle w:val="BodyText"/>
        <w:spacing w:line="276" w:lineRule="auto" w:before="202"/>
        <w:ind w:left="1440"/>
        <w:jc w:val="both"/>
      </w:pPr>
      <w:r>
        <w:rPr/>
        <w:t>La ecografía mamaria también se emplea para valorar axila en caso de sospecha de afectación ganglionar.</w:t>
      </w:r>
    </w:p>
    <w:p>
      <w:pPr>
        <w:pStyle w:val="BodyText"/>
        <w:spacing w:line="276" w:lineRule="auto" w:before="94"/>
        <w:ind w:left="678" w:right="1434"/>
        <w:jc w:val="both"/>
      </w:pPr>
      <w:r>
        <w:rPr/>
        <w:br w:type="column"/>
      </w:r>
      <w:r>
        <w:rPr>
          <w:b/>
          <w:i/>
        </w:rPr>
        <w:t>Resonancia Magnética: </w:t>
      </w:r>
      <w:r>
        <w:rPr/>
        <w:t>su indicación principal es la detección de la multifocalidad y en el control de las cicatrices en caso de tratamientos conservadores en pacientes con prótesis mamarias.</w:t>
      </w:r>
    </w:p>
    <w:p>
      <w:pPr>
        <w:pStyle w:val="BodyText"/>
        <w:spacing w:line="276" w:lineRule="auto" w:before="202"/>
        <w:ind w:left="678" w:right="1432"/>
        <w:jc w:val="both"/>
      </w:pPr>
      <w:r>
        <w:rPr/>
        <w:t>En mujeres en edad fértil debe llevarse a cabo entre los días 7 y 15 del ciclo mestrual para reducir la tasa de falsos positivos por estimulación hormonal.</w:t>
      </w:r>
    </w:p>
    <w:p>
      <w:pPr>
        <w:pStyle w:val="BodyText"/>
        <w:spacing w:line="273" w:lineRule="auto" w:before="202"/>
        <w:ind w:left="678" w:right="1436"/>
        <w:jc w:val="both"/>
        <w:rPr>
          <w:i/>
        </w:rPr>
      </w:pPr>
      <w:r>
        <w:rPr/>
        <w:t>El pronóstico y su tratamiento no solo dependen del grado histológico mencionado sino también de su clasificación TNM, ver </w:t>
      </w:r>
      <w:r>
        <w:rPr>
          <w:i/>
        </w:rPr>
        <w:t>Tabla 2 y 3.</w:t>
      </w:r>
    </w:p>
    <w:p>
      <w:pPr>
        <w:pStyle w:val="BodyText"/>
        <w:spacing w:before="4"/>
        <w:rPr>
          <w:i/>
          <w:sz w:val="18"/>
        </w:rPr>
      </w:pPr>
    </w:p>
    <w:tbl>
      <w:tblPr>
        <w:tblW w:w="0" w:type="auto"/>
        <w:jc w:val="left"/>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
        <w:gridCol w:w="2545"/>
        <w:gridCol w:w="981"/>
      </w:tblGrid>
      <w:tr>
        <w:trPr>
          <w:trHeight w:val="318" w:hRule="atLeast"/>
        </w:trPr>
        <w:tc>
          <w:tcPr>
            <w:tcW w:w="4539" w:type="dxa"/>
            <w:gridSpan w:val="3"/>
          </w:tcPr>
          <w:p>
            <w:pPr>
              <w:pStyle w:val="TableParagraph"/>
              <w:spacing w:before="19"/>
              <w:rPr>
                <w:sz w:val="20"/>
              </w:rPr>
            </w:pPr>
            <w:r>
              <w:rPr>
                <w:b/>
                <w:sz w:val="20"/>
              </w:rPr>
              <w:t>Tabla 1. </w:t>
            </w:r>
            <w:r>
              <w:rPr>
                <w:sz w:val="20"/>
              </w:rPr>
              <w:t>Clasificación </w:t>
            </w:r>
            <w:r>
              <w:rPr>
                <w:b/>
                <w:sz w:val="20"/>
              </w:rPr>
              <w:t>BI-RADS </w:t>
            </w:r>
            <w:r>
              <w:rPr>
                <w:sz w:val="20"/>
              </w:rPr>
              <w:t>mamográfico.</w:t>
            </w:r>
          </w:p>
        </w:tc>
      </w:tr>
      <w:tr>
        <w:trPr>
          <w:trHeight w:val="1154" w:hRule="atLeast"/>
        </w:trPr>
        <w:tc>
          <w:tcPr>
            <w:tcW w:w="1013" w:type="dxa"/>
          </w:tcPr>
          <w:p>
            <w:pPr>
              <w:pStyle w:val="TableParagraph"/>
              <w:ind w:left="0"/>
              <w:rPr>
                <w:rFonts w:ascii="Times New Roman"/>
                <w:sz w:val="20"/>
              </w:rPr>
            </w:pPr>
          </w:p>
        </w:tc>
        <w:tc>
          <w:tcPr>
            <w:tcW w:w="2545" w:type="dxa"/>
          </w:tcPr>
          <w:p>
            <w:pPr>
              <w:pStyle w:val="TableParagraph"/>
              <w:spacing w:line="276" w:lineRule="auto" w:before="23"/>
              <w:ind w:left="106" w:right="152"/>
              <w:rPr>
                <w:b/>
                <w:sz w:val="20"/>
              </w:rPr>
            </w:pPr>
            <w:r>
              <w:rPr>
                <w:b/>
                <w:sz w:val="20"/>
              </w:rPr>
              <w:t>Lesiones detectadas en mamografía</w:t>
            </w:r>
          </w:p>
        </w:tc>
        <w:tc>
          <w:tcPr>
            <w:tcW w:w="981" w:type="dxa"/>
          </w:tcPr>
          <w:p>
            <w:pPr>
              <w:pStyle w:val="TableParagraph"/>
              <w:spacing w:line="276" w:lineRule="auto" w:before="23"/>
              <w:ind w:left="150" w:right="149"/>
              <w:jc w:val="center"/>
              <w:rPr>
                <w:b/>
                <w:sz w:val="20"/>
              </w:rPr>
            </w:pPr>
            <w:r>
              <w:rPr>
                <w:b/>
                <w:sz w:val="20"/>
              </w:rPr>
              <w:t>Riesgo de cáncer</w:t>
            </w:r>
          </w:p>
          <w:p>
            <w:pPr>
              <w:pStyle w:val="TableParagraph"/>
              <w:ind w:left="4"/>
              <w:jc w:val="center"/>
              <w:rPr>
                <w:b/>
                <w:sz w:val="20"/>
              </w:rPr>
            </w:pPr>
            <w:r>
              <w:rPr>
                <w:b/>
                <w:w w:val="99"/>
                <w:sz w:val="20"/>
              </w:rPr>
              <w:t>%</w:t>
            </w:r>
          </w:p>
        </w:tc>
      </w:tr>
      <w:tr>
        <w:trPr>
          <w:trHeight w:val="782" w:hRule="atLeast"/>
        </w:trPr>
        <w:tc>
          <w:tcPr>
            <w:tcW w:w="1013" w:type="dxa"/>
          </w:tcPr>
          <w:p>
            <w:pPr>
              <w:pStyle w:val="TableParagraph"/>
              <w:spacing w:line="276" w:lineRule="auto" w:before="19"/>
              <w:ind w:left="447" w:right="93" w:hanging="324"/>
              <w:rPr>
                <w:b/>
                <w:sz w:val="20"/>
              </w:rPr>
            </w:pPr>
            <w:r>
              <w:rPr>
                <w:b/>
                <w:sz w:val="20"/>
              </w:rPr>
              <w:t>BIRADS 1</w:t>
            </w:r>
          </w:p>
        </w:tc>
        <w:tc>
          <w:tcPr>
            <w:tcW w:w="2545" w:type="dxa"/>
          </w:tcPr>
          <w:p>
            <w:pPr>
              <w:pStyle w:val="TableParagraph"/>
              <w:numPr>
                <w:ilvl w:val="0"/>
                <w:numId w:val="10"/>
              </w:numPr>
              <w:tabs>
                <w:tab w:pos="466" w:val="left" w:leader="none"/>
                <w:tab w:pos="467" w:val="left" w:leader="none"/>
              </w:tabs>
              <w:spacing w:line="240" w:lineRule="auto" w:before="22" w:after="0"/>
              <w:ind w:left="466" w:right="0" w:hanging="360"/>
              <w:jc w:val="left"/>
              <w:rPr>
                <w:sz w:val="20"/>
              </w:rPr>
            </w:pPr>
            <w:r>
              <w:rPr>
                <w:sz w:val="20"/>
              </w:rPr>
              <w:t>Estudio Negativo</w:t>
            </w:r>
          </w:p>
        </w:tc>
        <w:tc>
          <w:tcPr>
            <w:tcW w:w="981" w:type="dxa"/>
          </w:tcPr>
          <w:p>
            <w:pPr>
              <w:pStyle w:val="TableParagraph"/>
              <w:spacing w:before="23"/>
              <w:ind w:left="1"/>
              <w:jc w:val="center"/>
              <w:rPr>
                <w:sz w:val="20"/>
              </w:rPr>
            </w:pPr>
            <w:r>
              <w:rPr>
                <w:w w:val="99"/>
                <w:sz w:val="20"/>
              </w:rPr>
              <w:t>0</w:t>
            </w:r>
          </w:p>
        </w:tc>
      </w:tr>
      <w:tr>
        <w:trPr>
          <w:trHeight w:val="1478" w:hRule="atLeast"/>
        </w:trPr>
        <w:tc>
          <w:tcPr>
            <w:tcW w:w="1013" w:type="dxa"/>
          </w:tcPr>
          <w:p>
            <w:pPr>
              <w:pStyle w:val="TableParagraph"/>
              <w:spacing w:line="276" w:lineRule="auto" w:before="23"/>
              <w:ind w:left="447" w:right="93" w:hanging="324"/>
              <w:rPr>
                <w:b/>
                <w:sz w:val="20"/>
              </w:rPr>
            </w:pPr>
            <w:r>
              <w:rPr>
                <w:b/>
                <w:sz w:val="20"/>
              </w:rPr>
              <w:t>BIRADS 2</w:t>
            </w:r>
          </w:p>
        </w:tc>
        <w:tc>
          <w:tcPr>
            <w:tcW w:w="2545" w:type="dxa"/>
          </w:tcPr>
          <w:p>
            <w:pPr>
              <w:pStyle w:val="TableParagraph"/>
              <w:numPr>
                <w:ilvl w:val="0"/>
                <w:numId w:val="11"/>
              </w:numPr>
              <w:tabs>
                <w:tab w:pos="466" w:val="left" w:leader="none"/>
                <w:tab w:pos="467" w:val="left" w:leader="none"/>
              </w:tabs>
              <w:spacing w:line="240" w:lineRule="auto" w:before="26" w:after="0"/>
              <w:ind w:left="466" w:right="640" w:hanging="360"/>
              <w:jc w:val="left"/>
              <w:rPr>
                <w:sz w:val="20"/>
              </w:rPr>
            </w:pPr>
            <w:r>
              <w:rPr>
                <w:sz w:val="20"/>
              </w:rPr>
              <w:t>Ganglio linfático intramamario</w:t>
            </w:r>
          </w:p>
          <w:p>
            <w:pPr>
              <w:pStyle w:val="TableParagraph"/>
              <w:numPr>
                <w:ilvl w:val="0"/>
                <w:numId w:val="11"/>
              </w:numPr>
              <w:tabs>
                <w:tab w:pos="466" w:val="left" w:leader="none"/>
                <w:tab w:pos="467" w:val="left" w:leader="none"/>
              </w:tabs>
              <w:spacing w:line="240" w:lineRule="auto" w:before="0" w:after="0"/>
              <w:ind w:left="466" w:right="780" w:hanging="360"/>
              <w:jc w:val="left"/>
              <w:rPr>
                <w:sz w:val="20"/>
              </w:rPr>
            </w:pPr>
            <w:r>
              <w:rPr>
                <w:spacing w:val="-1"/>
                <w:sz w:val="20"/>
              </w:rPr>
              <w:t>Fibroadenoma </w:t>
            </w:r>
            <w:r>
              <w:rPr>
                <w:sz w:val="20"/>
              </w:rPr>
              <w:t>hialinizado</w:t>
            </w:r>
          </w:p>
          <w:p>
            <w:pPr>
              <w:pStyle w:val="TableParagraph"/>
              <w:numPr>
                <w:ilvl w:val="0"/>
                <w:numId w:val="11"/>
              </w:numPr>
              <w:tabs>
                <w:tab w:pos="466" w:val="left" w:leader="none"/>
                <w:tab w:pos="467" w:val="left" w:leader="none"/>
              </w:tabs>
              <w:spacing w:line="235" w:lineRule="auto" w:before="9" w:after="0"/>
              <w:ind w:left="466" w:right="731" w:hanging="360"/>
              <w:jc w:val="left"/>
              <w:rPr>
                <w:sz w:val="20"/>
              </w:rPr>
            </w:pPr>
            <w:r>
              <w:rPr>
                <w:sz w:val="20"/>
              </w:rPr>
              <w:t>Calcificaciones benignas</w:t>
            </w:r>
          </w:p>
        </w:tc>
        <w:tc>
          <w:tcPr>
            <w:tcW w:w="981" w:type="dxa"/>
          </w:tcPr>
          <w:p>
            <w:pPr>
              <w:pStyle w:val="TableParagraph"/>
              <w:spacing w:before="27"/>
              <w:ind w:left="1"/>
              <w:jc w:val="center"/>
              <w:rPr>
                <w:sz w:val="20"/>
              </w:rPr>
            </w:pPr>
            <w:r>
              <w:rPr>
                <w:w w:val="99"/>
                <w:sz w:val="20"/>
              </w:rPr>
              <w:t>0</w:t>
            </w:r>
          </w:p>
        </w:tc>
      </w:tr>
      <w:tr>
        <w:trPr>
          <w:trHeight w:val="1478" w:hRule="atLeast"/>
        </w:trPr>
        <w:tc>
          <w:tcPr>
            <w:tcW w:w="1013" w:type="dxa"/>
          </w:tcPr>
          <w:p>
            <w:pPr>
              <w:pStyle w:val="TableParagraph"/>
              <w:spacing w:line="278" w:lineRule="auto" w:before="19"/>
              <w:ind w:left="447" w:right="93" w:hanging="324"/>
              <w:rPr>
                <w:b/>
                <w:sz w:val="20"/>
              </w:rPr>
            </w:pPr>
            <w:r>
              <w:rPr>
                <w:b/>
                <w:sz w:val="20"/>
              </w:rPr>
              <w:t>BIRADS 3</w:t>
            </w:r>
          </w:p>
        </w:tc>
        <w:tc>
          <w:tcPr>
            <w:tcW w:w="2545" w:type="dxa"/>
          </w:tcPr>
          <w:p>
            <w:pPr>
              <w:pStyle w:val="TableParagraph"/>
              <w:numPr>
                <w:ilvl w:val="0"/>
                <w:numId w:val="12"/>
              </w:numPr>
              <w:tabs>
                <w:tab w:pos="466" w:val="left" w:leader="none"/>
                <w:tab w:pos="467" w:val="left" w:leader="none"/>
              </w:tabs>
              <w:spacing w:line="240" w:lineRule="auto" w:before="21" w:after="0"/>
              <w:ind w:left="466" w:right="840" w:hanging="360"/>
              <w:jc w:val="left"/>
              <w:rPr>
                <w:sz w:val="20"/>
              </w:rPr>
            </w:pPr>
            <w:r>
              <w:rPr>
                <w:sz w:val="20"/>
              </w:rPr>
              <w:t>Nódulos bien circunscritos</w:t>
            </w:r>
          </w:p>
          <w:p>
            <w:pPr>
              <w:pStyle w:val="TableParagraph"/>
              <w:numPr>
                <w:ilvl w:val="0"/>
                <w:numId w:val="12"/>
              </w:numPr>
              <w:tabs>
                <w:tab w:pos="466" w:val="left" w:leader="none"/>
                <w:tab w:pos="467" w:val="left" w:leader="none"/>
              </w:tabs>
              <w:spacing w:line="245" w:lineRule="exact" w:before="0" w:after="0"/>
              <w:ind w:left="466" w:right="0" w:hanging="360"/>
              <w:jc w:val="left"/>
              <w:rPr>
                <w:sz w:val="20"/>
              </w:rPr>
            </w:pPr>
            <w:r>
              <w:rPr>
                <w:sz w:val="20"/>
              </w:rPr>
              <w:t>Asimetrías</w:t>
            </w:r>
            <w:r>
              <w:rPr>
                <w:spacing w:val="-1"/>
                <w:sz w:val="20"/>
              </w:rPr>
              <w:t> </w:t>
            </w:r>
            <w:r>
              <w:rPr>
                <w:sz w:val="20"/>
              </w:rPr>
              <w:t>focales</w:t>
            </w:r>
          </w:p>
          <w:p>
            <w:pPr>
              <w:pStyle w:val="TableParagraph"/>
              <w:numPr>
                <w:ilvl w:val="0"/>
                <w:numId w:val="12"/>
              </w:numPr>
              <w:tabs>
                <w:tab w:pos="466" w:val="left" w:leader="none"/>
                <w:tab w:pos="467" w:val="left" w:leader="none"/>
              </w:tabs>
              <w:spacing w:line="240" w:lineRule="auto" w:before="0" w:after="0"/>
              <w:ind w:left="466" w:right="282" w:hanging="360"/>
              <w:jc w:val="left"/>
              <w:rPr>
                <w:sz w:val="20"/>
              </w:rPr>
            </w:pPr>
            <w:r>
              <w:rPr>
                <w:sz w:val="20"/>
              </w:rPr>
              <w:t>Microcalcificaciones puntiformes o redondeadas</w:t>
            </w:r>
          </w:p>
        </w:tc>
        <w:tc>
          <w:tcPr>
            <w:tcW w:w="981" w:type="dxa"/>
          </w:tcPr>
          <w:p>
            <w:pPr>
              <w:pStyle w:val="TableParagraph"/>
              <w:spacing w:before="23"/>
              <w:ind w:left="150" w:right="146"/>
              <w:jc w:val="center"/>
              <w:rPr>
                <w:sz w:val="20"/>
              </w:rPr>
            </w:pPr>
            <w:r>
              <w:rPr>
                <w:sz w:val="20"/>
              </w:rPr>
              <w:t>&lt;2</w:t>
            </w:r>
          </w:p>
        </w:tc>
      </w:tr>
      <w:tr>
        <w:trPr>
          <w:trHeight w:val="1001" w:hRule="atLeast"/>
        </w:trPr>
        <w:tc>
          <w:tcPr>
            <w:tcW w:w="1013" w:type="dxa"/>
          </w:tcPr>
          <w:p>
            <w:pPr>
              <w:pStyle w:val="TableParagraph"/>
              <w:spacing w:line="276" w:lineRule="auto" w:before="19"/>
              <w:ind w:left="447" w:right="93" w:hanging="324"/>
              <w:rPr>
                <w:b/>
                <w:sz w:val="20"/>
              </w:rPr>
            </w:pPr>
            <w:r>
              <w:rPr>
                <w:b/>
                <w:sz w:val="20"/>
              </w:rPr>
              <w:t>BIRADS 4</w:t>
            </w:r>
          </w:p>
        </w:tc>
        <w:tc>
          <w:tcPr>
            <w:tcW w:w="2545" w:type="dxa"/>
          </w:tcPr>
          <w:p>
            <w:pPr>
              <w:pStyle w:val="TableParagraph"/>
              <w:numPr>
                <w:ilvl w:val="0"/>
                <w:numId w:val="13"/>
              </w:numPr>
              <w:tabs>
                <w:tab w:pos="466" w:val="left" w:leader="none"/>
                <w:tab w:pos="467" w:val="left" w:leader="none"/>
              </w:tabs>
              <w:spacing w:line="240" w:lineRule="auto" w:before="22" w:after="0"/>
              <w:ind w:left="466" w:right="120" w:hanging="360"/>
              <w:jc w:val="left"/>
              <w:rPr>
                <w:sz w:val="20"/>
              </w:rPr>
            </w:pPr>
            <w:r>
              <w:rPr>
                <w:sz w:val="20"/>
              </w:rPr>
              <w:t>Nódulos de contornos </w:t>
            </w:r>
            <w:r>
              <w:rPr>
                <w:spacing w:val="-3"/>
                <w:sz w:val="20"/>
              </w:rPr>
              <w:t>mal</w:t>
            </w:r>
            <w:r>
              <w:rPr>
                <w:spacing w:val="2"/>
                <w:sz w:val="20"/>
              </w:rPr>
              <w:t> </w:t>
            </w:r>
            <w:r>
              <w:rPr>
                <w:sz w:val="20"/>
              </w:rPr>
              <w:t>definidos</w:t>
            </w:r>
          </w:p>
          <w:p>
            <w:pPr>
              <w:pStyle w:val="TableParagraph"/>
              <w:numPr>
                <w:ilvl w:val="0"/>
                <w:numId w:val="13"/>
              </w:numPr>
              <w:tabs>
                <w:tab w:pos="466" w:val="left" w:leader="none"/>
                <w:tab w:pos="467" w:val="left" w:leader="none"/>
              </w:tabs>
              <w:spacing w:line="240" w:lineRule="auto" w:before="0" w:after="0"/>
              <w:ind w:left="466" w:right="284" w:hanging="360"/>
              <w:jc w:val="left"/>
              <w:rPr>
                <w:sz w:val="20"/>
              </w:rPr>
            </w:pPr>
            <w:r>
              <w:rPr>
                <w:sz w:val="20"/>
              </w:rPr>
              <w:t>Microcalcificaciones pleomórficas.</w:t>
            </w:r>
          </w:p>
        </w:tc>
        <w:tc>
          <w:tcPr>
            <w:tcW w:w="981" w:type="dxa"/>
          </w:tcPr>
          <w:p>
            <w:pPr>
              <w:pStyle w:val="TableParagraph"/>
              <w:spacing w:before="23"/>
              <w:ind w:left="150" w:right="145"/>
              <w:jc w:val="center"/>
              <w:rPr>
                <w:sz w:val="20"/>
              </w:rPr>
            </w:pPr>
            <w:r>
              <w:rPr>
                <w:sz w:val="20"/>
              </w:rPr>
              <w:t>25- 90</w:t>
            </w:r>
          </w:p>
        </w:tc>
      </w:tr>
      <w:tr>
        <w:trPr>
          <w:trHeight w:val="781" w:hRule="atLeast"/>
        </w:trPr>
        <w:tc>
          <w:tcPr>
            <w:tcW w:w="1013" w:type="dxa"/>
          </w:tcPr>
          <w:p>
            <w:pPr>
              <w:pStyle w:val="TableParagraph"/>
              <w:spacing w:line="276" w:lineRule="auto" w:before="19"/>
              <w:ind w:left="447" w:right="93" w:hanging="324"/>
              <w:rPr>
                <w:b/>
                <w:sz w:val="20"/>
              </w:rPr>
            </w:pPr>
            <w:r>
              <w:rPr>
                <w:b/>
                <w:sz w:val="20"/>
              </w:rPr>
              <w:t>BIRADS 5</w:t>
            </w:r>
          </w:p>
        </w:tc>
        <w:tc>
          <w:tcPr>
            <w:tcW w:w="2545" w:type="dxa"/>
          </w:tcPr>
          <w:p>
            <w:pPr>
              <w:pStyle w:val="TableParagraph"/>
              <w:numPr>
                <w:ilvl w:val="0"/>
                <w:numId w:val="14"/>
              </w:numPr>
              <w:tabs>
                <w:tab w:pos="466" w:val="left" w:leader="none"/>
                <w:tab w:pos="467" w:val="left" w:leader="none"/>
              </w:tabs>
              <w:spacing w:line="245" w:lineRule="exact" w:before="22" w:after="0"/>
              <w:ind w:left="466" w:right="0" w:hanging="360"/>
              <w:jc w:val="left"/>
              <w:rPr>
                <w:sz w:val="20"/>
              </w:rPr>
            </w:pPr>
            <w:r>
              <w:rPr>
                <w:sz w:val="20"/>
              </w:rPr>
              <w:t>Nódulos</w:t>
            </w:r>
            <w:r>
              <w:rPr>
                <w:spacing w:val="-1"/>
                <w:sz w:val="20"/>
              </w:rPr>
              <w:t> </w:t>
            </w:r>
            <w:r>
              <w:rPr>
                <w:sz w:val="20"/>
              </w:rPr>
              <w:t>estrellados</w:t>
            </w:r>
          </w:p>
          <w:p>
            <w:pPr>
              <w:pStyle w:val="TableParagraph"/>
              <w:numPr>
                <w:ilvl w:val="0"/>
                <w:numId w:val="14"/>
              </w:numPr>
              <w:tabs>
                <w:tab w:pos="466" w:val="left" w:leader="none"/>
                <w:tab w:pos="467" w:val="left" w:leader="none"/>
              </w:tabs>
              <w:spacing w:line="240" w:lineRule="auto" w:before="0" w:after="0"/>
              <w:ind w:left="466" w:right="284" w:hanging="360"/>
              <w:jc w:val="left"/>
              <w:rPr>
                <w:sz w:val="20"/>
              </w:rPr>
            </w:pPr>
            <w:r>
              <w:rPr>
                <w:sz w:val="20"/>
              </w:rPr>
              <w:t>Microcalcificaciones vermiculares</w:t>
            </w:r>
          </w:p>
        </w:tc>
        <w:tc>
          <w:tcPr>
            <w:tcW w:w="981" w:type="dxa"/>
          </w:tcPr>
          <w:p>
            <w:pPr>
              <w:pStyle w:val="TableParagraph"/>
              <w:spacing w:before="23"/>
              <w:ind w:left="150" w:right="145"/>
              <w:jc w:val="center"/>
              <w:rPr>
                <w:sz w:val="20"/>
              </w:rPr>
            </w:pPr>
            <w:r>
              <w:rPr>
                <w:sz w:val="20"/>
              </w:rPr>
              <w:t>&gt;90</w:t>
            </w:r>
          </w:p>
        </w:tc>
      </w:tr>
      <w:tr>
        <w:trPr>
          <w:trHeight w:val="790" w:hRule="atLeast"/>
        </w:trPr>
        <w:tc>
          <w:tcPr>
            <w:tcW w:w="1013" w:type="dxa"/>
          </w:tcPr>
          <w:p>
            <w:pPr>
              <w:pStyle w:val="TableParagraph"/>
              <w:spacing w:line="276" w:lineRule="auto" w:before="24"/>
              <w:ind w:left="447" w:right="93" w:hanging="324"/>
              <w:rPr>
                <w:b/>
                <w:sz w:val="20"/>
              </w:rPr>
            </w:pPr>
            <w:r>
              <w:rPr>
                <w:b/>
                <w:sz w:val="20"/>
              </w:rPr>
              <w:t>BIRADS 0</w:t>
            </w:r>
          </w:p>
        </w:tc>
        <w:tc>
          <w:tcPr>
            <w:tcW w:w="3526" w:type="dxa"/>
            <w:gridSpan w:val="2"/>
          </w:tcPr>
          <w:p>
            <w:pPr>
              <w:pStyle w:val="TableParagraph"/>
              <w:numPr>
                <w:ilvl w:val="0"/>
                <w:numId w:val="15"/>
              </w:numPr>
              <w:tabs>
                <w:tab w:pos="466" w:val="left" w:leader="none"/>
                <w:tab w:pos="467" w:val="left" w:leader="none"/>
              </w:tabs>
              <w:spacing w:line="240" w:lineRule="auto" w:before="26" w:after="0"/>
              <w:ind w:left="466" w:right="332" w:hanging="360"/>
              <w:jc w:val="left"/>
              <w:rPr>
                <w:sz w:val="20"/>
              </w:rPr>
            </w:pPr>
            <w:r>
              <w:rPr>
                <w:sz w:val="20"/>
              </w:rPr>
              <w:t>Estudio que es insuficiente para poder dar un</w:t>
            </w:r>
            <w:r>
              <w:rPr>
                <w:spacing w:val="-9"/>
                <w:sz w:val="20"/>
              </w:rPr>
              <w:t> </w:t>
            </w:r>
            <w:r>
              <w:rPr>
                <w:sz w:val="20"/>
              </w:rPr>
              <w:t>diagnostico</w:t>
            </w:r>
          </w:p>
        </w:tc>
      </w:tr>
    </w:tbl>
    <w:p>
      <w:pPr>
        <w:spacing w:after="0" w:line="240" w:lineRule="auto"/>
        <w:jc w:val="left"/>
        <w:rPr>
          <w:sz w:val="20"/>
        </w:rPr>
        <w:sectPr>
          <w:type w:val="continuous"/>
          <w:pgSz w:w="12240" w:h="15840"/>
          <w:pgMar w:top="1500" w:bottom="0" w:left="0" w:right="0"/>
          <w:cols w:num="2" w:equalWidth="0">
            <w:col w:w="5764" w:space="40"/>
            <w:col w:w="6436"/>
          </w:cols>
        </w:sectPr>
      </w:pPr>
    </w:p>
    <w:p>
      <w:pPr>
        <w:pStyle w:val="BodyText"/>
        <w:spacing w:after="1"/>
        <w:rPr>
          <w:i/>
        </w:rPr>
      </w:pPr>
      <w:r>
        <w:rPr/>
        <w:pict>
          <v:shape style="position:absolute;margin-left:66.425003pt;margin-top:72.029999pt;width:227.5pt;height:613.550pt;mso-position-horizontal-relative:page;mso-position-vertical-relative:page;z-index:1408"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2"/>
                    <w:gridCol w:w="3686"/>
                  </w:tblGrid>
                  <w:tr>
                    <w:trPr>
                      <w:trHeight w:val="521" w:hRule="atLeast"/>
                    </w:trPr>
                    <w:tc>
                      <w:tcPr>
                        <w:tcW w:w="4538" w:type="dxa"/>
                        <w:gridSpan w:val="2"/>
                      </w:tcPr>
                      <w:p>
                        <w:pPr>
                          <w:pStyle w:val="TableParagraph"/>
                          <w:spacing w:before="19"/>
                          <w:ind w:left="159"/>
                          <w:rPr>
                            <w:sz w:val="20"/>
                          </w:rPr>
                        </w:pPr>
                        <w:r>
                          <w:rPr>
                            <w:b/>
                            <w:sz w:val="20"/>
                          </w:rPr>
                          <w:t>Tabla 2. </w:t>
                        </w:r>
                        <w:r>
                          <w:rPr>
                            <w:sz w:val="20"/>
                          </w:rPr>
                          <w:t>Clasificación TNM.</w:t>
                        </w:r>
                      </w:p>
                    </w:tc>
                  </w:tr>
                  <w:tr>
                    <w:trPr>
                      <w:trHeight w:val="758" w:hRule="atLeast"/>
                    </w:trPr>
                    <w:tc>
                      <w:tcPr>
                        <w:tcW w:w="4538" w:type="dxa"/>
                        <w:gridSpan w:val="2"/>
                      </w:tcPr>
                      <w:p>
                        <w:pPr>
                          <w:pStyle w:val="TableParagraph"/>
                          <w:spacing w:before="6"/>
                          <w:ind w:left="0"/>
                          <w:rPr>
                            <w:sz w:val="22"/>
                          </w:rPr>
                        </w:pPr>
                      </w:p>
                      <w:p>
                        <w:pPr>
                          <w:pStyle w:val="TableParagraph"/>
                          <w:ind w:left="1371"/>
                          <w:rPr>
                            <w:b/>
                            <w:sz w:val="20"/>
                          </w:rPr>
                        </w:pPr>
                        <w:r>
                          <w:rPr>
                            <w:b/>
                            <w:sz w:val="20"/>
                          </w:rPr>
                          <w:t>TUMOR PRIMARIO</w:t>
                        </w:r>
                      </w:p>
                    </w:tc>
                  </w:tr>
                  <w:tr>
                    <w:trPr>
                      <w:trHeight w:val="322" w:hRule="atLeast"/>
                    </w:trPr>
                    <w:tc>
                      <w:tcPr>
                        <w:tcW w:w="852" w:type="dxa"/>
                      </w:tcPr>
                      <w:p>
                        <w:pPr>
                          <w:pStyle w:val="TableParagraph"/>
                          <w:spacing w:before="23"/>
                          <w:ind w:left="135" w:right="126"/>
                          <w:jc w:val="center"/>
                          <w:rPr>
                            <w:b/>
                            <w:sz w:val="20"/>
                          </w:rPr>
                        </w:pPr>
                        <w:r>
                          <w:rPr>
                            <w:b/>
                            <w:sz w:val="20"/>
                          </w:rPr>
                          <w:t>Tx</w:t>
                        </w:r>
                      </w:p>
                    </w:tc>
                    <w:tc>
                      <w:tcPr>
                        <w:tcW w:w="3686" w:type="dxa"/>
                      </w:tcPr>
                      <w:p>
                        <w:pPr>
                          <w:pStyle w:val="TableParagraph"/>
                          <w:spacing w:before="27"/>
                          <w:rPr>
                            <w:sz w:val="20"/>
                          </w:rPr>
                        </w:pPr>
                        <w:r>
                          <w:rPr>
                            <w:sz w:val="20"/>
                          </w:rPr>
                          <w:t>Tumor desconocido</w:t>
                        </w:r>
                      </w:p>
                    </w:tc>
                  </w:tr>
                  <w:tr>
                    <w:trPr>
                      <w:trHeight w:val="318" w:hRule="atLeast"/>
                    </w:trPr>
                    <w:tc>
                      <w:tcPr>
                        <w:tcW w:w="852" w:type="dxa"/>
                      </w:tcPr>
                      <w:p>
                        <w:pPr>
                          <w:pStyle w:val="TableParagraph"/>
                          <w:spacing w:before="19"/>
                          <w:ind w:left="135" w:right="126"/>
                          <w:jc w:val="center"/>
                          <w:rPr>
                            <w:b/>
                            <w:sz w:val="20"/>
                          </w:rPr>
                        </w:pPr>
                        <w:r>
                          <w:rPr>
                            <w:b/>
                            <w:sz w:val="20"/>
                          </w:rPr>
                          <w:t>T0</w:t>
                        </w:r>
                      </w:p>
                    </w:tc>
                    <w:tc>
                      <w:tcPr>
                        <w:tcW w:w="3686" w:type="dxa"/>
                      </w:tcPr>
                      <w:p>
                        <w:pPr>
                          <w:pStyle w:val="TableParagraph"/>
                          <w:spacing w:before="23"/>
                          <w:rPr>
                            <w:sz w:val="20"/>
                          </w:rPr>
                        </w:pPr>
                        <w:r>
                          <w:rPr>
                            <w:sz w:val="20"/>
                          </w:rPr>
                          <w:t>Sin evidencia de tumor primario</w:t>
                        </w:r>
                      </w:p>
                    </w:tc>
                  </w:tr>
                  <w:tr>
                    <w:trPr>
                      <w:trHeight w:val="321" w:hRule="atLeast"/>
                    </w:trPr>
                    <w:tc>
                      <w:tcPr>
                        <w:tcW w:w="852" w:type="dxa"/>
                      </w:tcPr>
                      <w:p>
                        <w:pPr>
                          <w:pStyle w:val="TableParagraph"/>
                          <w:spacing w:before="23"/>
                          <w:ind w:left="132" w:right="126"/>
                          <w:jc w:val="center"/>
                          <w:rPr>
                            <w:b/>
                            <w:sz w:val="20"/>
                          </w:rPr>
                        </w:pPr>
                        <w:r>
                          <w:rPr>
                            <w:b/>
                            <w:sz w:val="20"/>
                          </w:rPr>
                          <w:t>Tis</w:t>
                        </w:r>
                      </w:p>
                    </w:tc>
                    <w:tc>
                      <w:tcPr>
                        <w:tcW w:w="3686" w:type="dxa"/>
                      </w:tcPr>
                      <w:p>
                        <w:pPr>
                          <w:pStyle w:val="TableParagraph"/>
                          <w:spacing w:before="27"/>
                          <w:rPr>
                            <w:sz w:val="20"/>
                          </w:rPr>
                        </w:pPr>
                        <w:r>
                          <w:rPr>
                            <w:sz w:val="20"/>
                          </w:rPr>
                          <w:t>Carcinoma in situ</w:t>
                        </w:r>
                      </w:p>
                    </w:tc>
                  </w:tr>
                  <w:tr>
                    <w:trPr>
                      <w:trHeight w:val="1906" w:hRule="atLeast"/>
                    </w:trPr>
                    <w:tc>
                      <w:tcPr>
                        <w:tcW w:w="852" w:type="dxa"/>
                      </w:tcPr>
                      <w:p>
                        <w:pPr>
                          <w:pStyle w:val="TableParagraph"/>
                          <w:spacing w:before="23"/>
                          <w:ind w:left="135" w:right="126"/>
                          <w:jc w:val="center"/>
                          <w:rPr>
                            <w:b/>
                            <w:sz w:val="20"/>
                          </w:rPr>
                        </w:pPr>
                        <w:r>
                          <w:rPr>
                            <w:b/>
                            <w:sz w:val="20"/>
                          </w:rPr>
                          <w:t>T1</w:t>
                        </w:r>
                      </w:p>
                      <w:p>
                        <w:pPr>
                          <w:pStyle w:val="TableParagraph"/>
                          <w:spacing w:line="276" w:lineRule="auto" w:before="33"/>
                          <w:ind w:left="135" w:right="126"/>
                          <w:jc w:val="center"/>
                          <w:rPr>
                            <w:b/>
                            <w:sz w:val="20"/>
                          </w:rPr>
                        </w:pPr>
                        <w:r>
                          <w:rPr>
                            <w:b/>
                            <w:sz w:val="20"/>
                          </w:rPr>
                          <w:t>T1mic</w:t>
                        </w:r>
                        <w:r>
                          <w:rPr>
                            <w:b/>
                            <w:w w:val="99"/>
                            <w:sz w:val="20"/>
                          </w:rPr>
                          <w:t> </w:t>
                        </w:r>
                        <w:r>
                          <w:rPr>
                            <w:b/>
                            <w:sz w:val="20"/>
                          </w:rPr>
                          <w:t>T1a T1b T1c</w:t>
                        </w:r>
                      </w:p>
                    </w:tc>
                    <w:tc>
                      <w:tcPr>
                        <w:tcW w:w="3686" w:type="dxa"/>
                      </w:tcPr>
                      <w:p>
                        <w:pPr>
                          <w:pStyle w:val="TableParagraph"/>
                          <w:spacing w:line="276" w:lineRule="auto" w:before="27"/>
                          <w:ind w:right="224"/>
                          <w:rPr>
                            <w:sz w:val="20"/>
                          </w:rPr>
                        </w:pPr>
                        <w:r>
                          <w:rPr>
                            <w:sz w:val="20"/>
                          </w:rPr>
                          <w:t>Tumor de 2cm o menos en su diámetro mayor</w:t>
                        </w:r>
                      </w:p>
                      <w:p>
                        <w:pPr>
                          <w:pStyle w:val="TableParagraph"/>
                          <w:spacing w:line="276" w:lineRule="auto"/>
                          <w:ind w:right="224"/>
                          <w:rPr>
                            <w:sz w:val="20"/>
                          </w:rPr>
                        </w:pPr>
                        <w:r>
                          <w:rPr>
                            <w:sz w:val="20"/>
                          </w:rPr>
                          <w:t>Microinvasor de de menos 0,1 cm en su diámetro mayor</w:t>
                        </w:r>
                      </w:p>
                      <w:p>
                        <w:pPr>
                          <w:pStyle w:val="TableParagraph"/>
                          <w:spacing w:before="1"/>
                          <w:rPr>
                            <w:sz w:val="20"/>
                          </w:rPr>
                        </w:pPr>
                        <w:r>
                          <w:rPr>
                            <w:sz w:val="20"/>
                          </w:rPr>
                          <w:t>Tumor de o,5 cm o menos.</w:t>
                        </w:r>
                      </w:p>
                      <w:p>
                        <w:pPr>
                          <w:pStyle w:val="TableParagraph"/>
                          <w:spacing w:line="276" w:lineRule="auto" w:before="34"/>
                          <w:ind w:right="224"/>
                          <w:rPr>
                            <w:sz w:val="20"/>
                          </w:rPr>
                        </w:pPr>
                        <w:r>
                          <w:rPr>
                            <w:sz w:val="20"/>
                          </w:rPr>
                          <w:t>Tumor mayor de o,5 y hasta 1 cm Tumor mayor de 1 cm y hasta 2 cm</w:t>
                        </w:r>
                      </w:p>
                    </w:tc>
                  </w:tr>
                  <w:tr>
                    <w:trPr>
                      <w:trHeight w:val="414" w:hRule="atLeast"/>
                    </w:trPr>
                    <w:tc>
                      <w:tcPr>
                        <w:tcW w:w="852" w:type="dxa"/>
                      </w:tcPr>
                      <w:p>
                        <w:pPr>
                          <w:pStyle w:val="TableParagraph"/>
                          <w:spacing w:before="23"/>
                          <w:ind w:left="135" w:right="126"/>
                          <w:jc w:val="center"/>
                          <w:rPr>
                            <w:b/>
                            <w:sz w:val="20"/>
                          </w:rPr>
                        </w:pPr>
                        <w:r>
                          <w:rPr>
                            <w:b/>
                            <w:sz w:val="20"/>
                          </w:rPr>
                          <w:t>T2</w:t>
                        </w:r>
                      </w:p>
                    </w:tc>
                    <w:tc>
                      <w:tcPr>
                        <w:tcW w:w="3686" w:type="dxa"/>
                      </w:tcPr>
                      <w:p>
                        <w:pPr>
                          <w:pStyle w:val="TableParagraph"/>
                          <w:spacing w:before="27"/>
                          <w:rPr>
                            <w:sz w:val="20"/>
                          </w:rPr>
                        </w:pPr>
                        <w:r>
                          <w:rPr>
                            <w:sz w:val="20"/>
                          </w:rPr>
                          <w:t>Tumor mayor de 2cm y hasta 5 cm</w:t>
                        </w:r>
                      </w:p>
                    </w:tc>
                  </w:tr>
                  <w:tr>
                    <w:trPr>
                      <w:trHeight w:val="321" w:hRule="atLeast"/>
                    </w:trPr>
                    <w:tc>
                      <w:tcPr>
                        <w:tcW w:w="852" w:type="dxa"/>
                      </w:tcPr>
                      <w:p>
                        <w:pPr>
                          <w:pStyle w:val="TableParagraph"/>
                          <w:spacing w:before="23"/>
                          <w:ind w:left="135" w:right="126"/>
                          <w:jc w:val="center"/>
                          <w:rPr>
                            <w:b/>
                            <w:sz w:val="20"/>
                          </w:rPr>
                        </w:pPr>
                        <w:r>
                          <w:rPr>
                            <w:b/>
                            <w:sz w:val="20"/>
                          </w:rPr>
                          <w:t>T3</w:t>
                        </w:r>
                      </w:p>
                    </w:tc>
                    <w:tc>
                      <w:tcPr>
                        <w:tcW w:w="3686" w:type="dxa"/>
                      </w:tcPr>
                      <w:p>
                        <w:pPr>
                          <w:pStyle w:val="TableParagraph"/>
                          <w:spacing w:before="27"/>
                          <w:rPr>
                            <w:sz w:val="20"/>
                          </w:rPr>
                        </w:pPr>
                        <w:r>
                          <w:rPr>
                            <w:sz w:val="20"/>
                          </w:rPr>
                          <w:t>Tumor mayor de 5 cm</w:t>
                        </w:r>
                      </w:p>
                    </w:tc>
                  </w:tr>
                  <w:tr>
                    <w:trPr>
                      <w:trHeight w:val="586" w:hRule="atLeast"/>
                    </w:trPr>
                    <w:tc>
                      <w:tcPr>
                        <w:tcW w:w="852" w:type="dxa"/>
                      </w:tcPr>
                      <w:p>
                        <w:pPr>
                          <w:pStyle w:val="TableParagraph"/>
                          <w:spacing w:before="23"/>
                          <w:ind w:left="135" w:right="126"/>
                          <w:jc w:val="center"/>
                          <w:rPr>
                            <w:b/>
                            <w:sz w:val="20"/>
                          </w:rPr>
                        </w:pPr>
                        <w:r>
                          <w:rPr>
                            <w:b/>
                            <w:sz w:val="20"/>
                          </w:rPr>
                          <w:t>T4</w:t>
                        </w:r>
                      </w:p>
                    </w:tc>
                    <w:tc>
                      <w:tcPr>
                        <w:tcW w:w="3686" w:type="dxa"/>
                      </w:tcPr>
                      <w:p>
                        <w:pPr>
                          <w:pStyle w:val="TableParagraph"/>
                          <w:spacing w:line="276" w:lineRule="auto" w:before="27"/>
                          <w:rPr>
                            <w:sz w:val="20"/>
                          </w:rPr>
                        </w:pPr>
                        <w:r>
                          <w:rPr>
                            <w:sz w:val="20"/>
                          </w:rPr>
                          <w:t>Tumor de cualquier tamaño con extensión a pared torácica o a piel.</w:t>
                        </w:r>
                      </w:p>
                    </w:tc>
                  </w:tr>
                  <w:tr>
                    <w:trPr>
                      <w:trHeight w:val="317" w:hRule="atLeast"/>
                    </w:trPr>
                    <w:tc>
                      <w:tcPr>
                        <w:tcW w:w="852" w:type="dxa"/>
                      </w:tcPr>
                      <w:p>
                        <w:pPr>
                          <w:pStyle w:val="TableParagraph"/>
                          <w:spacing w:before="19"/>
                          <w:ind w:left="132" w:right="126"/>
                          <w:jc w:val="center"/>
                          <w:rPr>
                            <w:b/>
                            <w:sz w:val="20"/>
                          </w:rPr>
                        </w:pPr>
                        <w:r>
                          <w:rPr>
                            <w:b/>
                            <w:sz w:val="20"/>
                          </w:rPr>
                          <w:t>T4a</w:t>
                        </w:r>
                      </w:p>
                    </w:tc>
                    <w:tc>
                      <w:tcPr>
                        <w:tcW w:w="3686" w:type="dxa"/>
                      </w:tcPr>
                      <w:p>
                        <w:pPr>
                          <w:pStyle w:val="TableParagraph"/>
                          <w:spacing w:before="23"/>
                          <w:rPr>
                            <w:sz w:val="20"/>
                          </w:rPr>
                        </w:pPr>
                        <w:r>
                          <w:rPr>
                            <w:sz w:val="20"/>
                          </w:rPr>
                          <w:t>Extensión a pared torácica</w:t>
                        </w:r>
                      </w:p>
                    </w:tc>
                  </w:tr>
                  <w:tr>
                    <w:trPr>
                      <w:trHeight w:val="586" w:hRule="atLeast"/>
                    </w:trPr>
                    <w:tc>
                      <w:tcPr>
                        <w:tcW w:w="852" w:type="dxa"/>
                      </w:tcPr>
                      <w:p>
                        <w:pPr>
                          <w:pStyle w:val="TableParagraph"/>
                          <w:spacing w:before="23"/>
                          <w:ind w:left="135" w:right="126"/>
                          <w:jc w:val="center"/>
                          <w:rPr>
                            <w:b/>
                            <w:sz w:val="20"/>
                          </w:rPr>
                        </w:pPr>
                        <w:r>
                          <w:rPr>
                            <w:b/>
                            <w:sz w:val="20"/>
                          </w:rPr>
                          <w:t>T4b</w:t>
                        </w:r>
                      </w:p>
                    </w:tc>
                    <w:tc>
                      <w:tcPr>
                        <w:tcW w:w="3686" w:type="dxa"/>
                      </w:tcPr>
                      <w:p>
                        <w:pPr>
                          <w:pStyle w:val="TableParagraph"/>
                          <w:spacing w:line="276" w:lineRule="auto" w:before="27"/>
                          <w:ind w:right="224"/>
                          <w:rPr>
                            <w:sz w:val="20"/>
                          </w:rPr>
                        </w:pPr>
                        <w:r>
                          <w:rPr>
                            <w:sz w:val="20"/>
                          </w:rPr>
                          <w:t>Piel con edema, ulceración o nódulos satélites en la mama.</w:t>
                        </w:r>
                      </w:p>
                    </w:tc>
                  </w:tr>
                  <w:tr>
                    <w:trPr>
                      <w:trHeight w:val="321" w:hRule="atLeast"/>
                    </w:trPr>
                    <w:tc>
                      <w:tcPr>
                        <w:tcW w:w="852" w:type="dxa"/>
                      </w:tcPr>
                      <w:p>
                        <w:pPr>
                          <w:pStyle w:val="TableParagraph"/>
                          <w:spacing w:before="23"/>
                          <w:ind w:left="132" w:right="126"/>
                          <w:jc w:val="center"/>
                          <w:rPr>
                            <w:b/>
                            <w:sz w:val="20"/>
                          </w:rPr>
                        </w:pPr>
                        <w:r>
                          <w:rPr>
                            <w:b/>
                            <w:sz w:val="20"/>
                          </w:rPr>
                          <w:t>T4c</w:t>
                        </w:r>
                      </w:p>
                    </w:tc>
                    <w:tc>
                      <w:tcPr>
                        <w:tcW w:w="3686" w:type="dxa"/>
                      </w:tcPr>
                      <w:p>
                        <w:pPr>
                          <w:pStyle w:val="TableParagraph"/>
                          <w:spacing w:before="27"/>
                          <w:rPr>
                            <w:sz w:val="20"/>
                          </w:rPr>
                        </w:pPr>
                        <w:r>
                          <w:rPr>
                            <w:sz w:val="20"/>
                          </w:rPr>
                          <w:t>Suma de a+ b</w:t>
                        </w:r>
                      </w:p>
                    </w:tc>
                  </w:tr>
                  <w:tr>
                    <w:trPr>
                      <w:trHeight w:val="518" w:hRule="atLeast"/>
                    </w:trPr>
                    <w:tc>
                      <w:tcPr>
                        <w:tcW w:w="852" w:type="dxa"/>
                      </w:tcPr>
                      <w:p>
                        <w:pPr>
                          <w:pStyle w:val="TableParagraph"/>
                          <w:spacing w:before="19"/>
                          <w:ind w:left="135" w:right="126"/>
                          <w:jc w:val="center"/>
                          <w:rPr>
                            <w:b/>
                            <w:sz w:val="20"/>
                          </w:rPr>
                        </w:pPr>
                        <w:r>
                          <w:rPr>
                            <w:b/>
                            <w:sz w:val="20"/>
                          </w:rPr>
                          <w:t>T4d</w:t>
                        </w:r>
                      </w:p>
                    </w:tc>
                    <w:tc>
                      <w:tcPr>
                        <w:tcW w:w="3686" w:type="dxa"/>
                      </w:tcPr>
                      <w:p>
                        <w:pPr>
                          <w:pStyle w:val="TableParagraph"/>
                          <w:ind w:left="0"/>
                          <w:rPr>
                            <w:rFonts w:ascii="Times New Roman"/>
                            <w:sz w:val="20"/>
                          </w:rPr>
                        </w:pPr>
                      </w:p>
                    </w:tc>
                  </w:tr>
                  <w:tr>
                    <w:trPr>
                      <w:trHeight w:val="762" w:hRule="atLeast"/>
                    </w:trPr>
                    <w:tc>
                      <w:tcPr>
                        <w:tcW w:w="4538" w:type="dxa"/>
                        <w:gridSpan w:val="2"/>
                      </w:tcPr>
                      <w:p>
                        <w:pPr>
                          <w:pStyle w:val="TableParagraph"/>
                          <w:spacing w:before="11"/>
                          <w:ind w:left="0"/>
                          <w:rPr>
                            <w:sz w:val="22"/>
                          </w:rPr>
                        </w:pPr>
                      </w:p>
                      <w:p>
                        <w:pPr>
                          <w:pStyle w:val="TableParagraph"/>
                          <w:ind w:left="423"/>
                          <w:rPr>
                            <w:b/>
                            <w:sz w:val="20"/>
                          </w:rPr>
                        </w:pPr>
                        <w:r>
                          <w:rPr>
                            <w:b/>
                            <w:sz w:val="20"/>
                          </w:rPr>
                          <w:t>NÓDULOS LINFÁTICOS REGIONALES</w:t>
                        </w:r>
                      </w:p>
                    </w:tc>
                  </w:tr>
                  <w:tr>
                    <w:trPr>
                      <w:trHeight w:val="321" w:hRule="atLeast"/>
                    </w:trPr>
                    <w:tc>
                      <w:tcPr>
                        <w:tcW w:w="852" w:type="dxa"/>
                      </w:tcPr>
                      <w:p>
                        <w:pPr>
                          <w:pStyle w:val="TableParagraph"/>
                          <w:spacing w:before="19"/>
                          <w:ind w:left="128" w:right="126"/>
                          <w:jc w:val="center"/>
                          <w:rPr>
                            <w:b/>
                            <w:sz w:val="20"/>
                          </w:rPr>
                        </w:pPr>
                        <w:r>
                          <w:rPr>
                            <w:b/>
                            <w:sz w:val="20"/>
                          </w:rPr>
                          <w:t>N0</w:t>
                        </w:r>
                      </w:p>
                    </w:tc>
                    <w:tc>
                      <w:tcPr>
                        <w:tcW w:w="3686" w:type="dxa"/>
                      </w:tcPr>
                      <w:p>
                        <w:pPr>
                          <w:pStyle w:val="TableParagraph"/>
                          <w:spacing w:before="23"/>
                          <w:rPr>
                            <w:sz w:val="20"/>
                          </w:rPr>
                        </w:pPr>
                        <w:r>
                          <w:rPr>
                            <w:sz w:val="20"/>
                          </w:rPr>
                          <w:t>No se palpan ganglios axilares</w:t>
                        </w:r>
                      </w:p>
                    </w:tc>
                  </w:tr>
                  <w:tr>
                    <w:trPr>
                      <w:trHeight w:val="581" w:hRule="atLeast"/>
                    </w:trPr>
                    <w:tc>
                      <w:tcPr>
                        <w:tcW w:w="852" w:type="dxa"/>
                      </w:tcPr>
                      <w:p>
                        <w:pPr>
                          <w:pStyle w:val="TableParagraph"/>
                          <w:spacing w:before="19"/>
                          <w:ind w:left="128" w:right="126"/>
                          <w:jc w:val="center"/>
                          <w:rPr>
                            <w:b/>
                            <w:sz w:val="20"/>
                          </w:rPr>
                        </w:pPr>
                        <w:r>
                          <w:rPr>
                            <w:b/>
                            <w:sz w:val="20"/>
                          </w:rPr>
                          <w:t>N1</w:t>
                        </w:r>
                      </w:p>
                    </w:tc>
                    <w:tc>
                      <w:tcPr>
                        <w:tcW w:w="3686" w:type="dxa"/>
                      </w:tcPr>
                      <w:p>
                        <w:pPr>
                          <w:pStyle w:val="TableParagraph"/>
                          <w:spacing w:line="276" w:lineRule="auto" w:before="23"/>
                          <w:ind w:right="224"/>
                          <w:rPr>
                            <w:sz w:val="20"/>
                          </w:rPr>
                        </w:pPr>
                        <w:r>
                          <w:rPr>
                            <w:sz w:val="20"/>
                          </w:rPr>
                          <w:t>Ganglios axilares fijos del lado del tumor</w:t>
                        </w:r>
                      </w:p>
                    </w:tc>
                  </w:tr>
                  <w:tr>
                    <w:trPr>
                      <w:trHeight w:val="586" w:hRule="atLeast"/>
                    </w:trPr>
                    <w:tc>
                      <w:tcPr>
                        <w:tcW w:w="852" w:type="dxa"/>
                      </w:tcPr>
                      <w:p>
                        <w:pPr>
                          <w:pStyle w:val="TableParagraph"/>
                          <w:spacing w:before="23"/>
                          <w:ind w:left="128" w:right="126"/>
                          <w:jc w:val="center"/>
                          <w:rPr>
                            <w:b/>
                            <w:sz w:val="20"/>
                          </w:rPr>
                        </w:pPr>
                        <w:r>
                          <w:rPr>
                            <w:b/>
                            <w:sz w:val="20"/>
                          </w:rPr>
                          <w:t>N2</w:t>
                        </w:r>
                      </w:p>
                    </w:tc>
                    <w:tc>
                      <w:tcPr>
                        <w:tcW w:w="3686" w:type="dxa"/>
                      </w:tcPr>
                      <w:p>
                        <w:pPr>
                          <w:pStyle w:val="TableParagraph"/>
                          <w:spacing w:line="276" w:lineRule="auto" w:before="27"/>
                          <w:ind w:right="224"/>
                          <w:rPr>
                            <w:sz w:val="20"/>
                          </w:rPr>
                        </w:pPr>
                        <w:r>
                          <w:rPr>
                            <w:sz w:val="20"/>
                          </w:rPr>
                          <w:t>Ganglios axilares fijos en el mismo lado en ausencia de metástasis</w:t>
                        </w:r>
                      </w:p>
                    </w:tc>
                  </w:tr>
                  <w:tr>
                    <w:trPr>
                      <w:trHeight w:val="586" w:hRule="atLeast"/>
                    </w:trPr>
                    <w:tc>
                      <w:tcPr>
                        <w:tcW w:w="852" w:type="dxa"/>
                      </w:tcPr>
                      <w:p>
                        <w:pPr>
                          <w:pStyle w:val="TableParagraph"/>
                          <w:spacing w:before="23"/>
                          <w:ind w:left="128" w:right="126"/>
                          <w:jc w:val="center"/>
                          <w:rPr>
                            <w:b/>
                            <w:sz w:val="20"/>
                          </w:rPr>
                        </w:pPr>
                        <w:r>
                          <w:rPr>
                            <w:b/>
                            <w:sz w:val="20"/>
                          </w:rPr>
                          <w:t>N3</w:t>
                        </w:r>
                      </w:p>
                    </w:tc>
                    <w:tc>
                      <w:tcPr>
                        <w:tcW w:w="3686" w:type="dxa"/>
                      </w:tcPr>
                      <w:p>
                        <w:pPr>
                          <w:pStyle w:val="TableParagraph"/>
                          <w:spacing w:line="276" w:lineRule="auto" w:before="27"/>
                          <w:ind w:right="903"/>
                          <w:rPr>
                            <w:sz w:val="20"/>
                          </w:rPr>
                        </w:pPr>
                        <w:r>
                          <w:rPr>
                            <w:sz w:val="20"/>
                          </w:rPr>
                          <w:t>Metástasis en ganglios infra o supraclaviculares.</w:t>
                        </w:r>
                      </w:p>
                    </w:tc>
                  </w:tr>
                  <w:tr>
                    <w:trPr>
                      <w:trHeight w:val="758" w:hRule="atLeast"/>
                    </w:trPr>
                    <w:tc>
                      <w:tcPr>
                        <w:tcW w:w="4538" w:type="dxa"/>
                        <w:gridSpan w:val="2"/>
                      </w:tcPr>
                      <w:p>
                        <w:pPr>
                          <w:pStyle w:val="TableParagraph"/>
                          <w:spacing w:before="6"/>
                          <w:ind w:left="0"/>
                          <w:rPr>
                            <w:sz w:val="22"/>
                          </w:rPr>
                        </w:pPr>
                      </w:p>
                      <w:p>
                        <w:pPr>
                          <w:pStyle w:val="TableParagraph"/>
                          <w:ind w:left="1601" w:right="1598"/>
                          <w:jc w:val="center"/>
                          <w:rPr>
                            <w:b/>
                            <w:sz w:val="20"/>
                          </w:rPr>
                        </w:pPr>
                        <w:r>
                          <w:rPr>
                            <w:b/>
                            <w:sz w:val="20"/>
                          </w:rPr>
                          <w:t>METÁSTASIS</w:t>
                        </w:r>
                      </w:p>
                    </w:tc>
                  </w:tr>
                  <w:tr>
                    <w:trPr>
                      <w:trHeight w:val="586" w:hRule="atLeast"/>
                    </w:trPr>
                    <w:tc>
                      <w:tcPr>
                        <w:tcW w:w="852" w:type="dxa"/>
                      </w:tcPr>
                      <w:p>
                        <w:pPr>
                          <w:pStyle w:val="TableParagraph"/>
                          <w:spacing w:before="23"/>
                          <w:ind w:left="128" w:right="126"/>
                          <w:jc w:val="center"/>
                          <w:rPr>
                            <w:b/>
                            <w:sz w:val="20"/>
                          </w:rPr>
                        </w:pPr>
                        <w:r>
                          <w:rPr>
                            <w:b/>
                            <w:sz w:val="20"/>
                          </w:rPr>
                          <w:t>MX</w:t>
                        </w:r>
                      </w:p>
                    </w:tc>
                    <w:tc>
                      <w:tcPr>
                        <w:tcW w:w="3686" w:type="dxa"/>
                      </w:tcPr>
                      <w:p>
                        <w:pPr>
                          <w:pStyle w:val="TableParagraph"/>
                          <w:spacing w:line="276" w:lineRule="auto" w:before="27"/>
                          <w:rPr>
                            <w:sz w:val="20"/>
                          </w:rPr>
                        </w:pPr>
                        <w:r>
                          <w:rPr>
                            <w:sz w:val="20"/>
                          </w:rPr>
                          <w:t>No se pueden evaluar metástasis distantes</w:t>
                        </w:r>
                      </w:p>
                    </w:tc>
                  </w:tr>
                  <w:tr>
                    <w:trPr>
                      <w:trHeight w:val="322" w:hRule="atLeast"/>
                    </w:trPr>
                    <w:tc>
                      <w:tcPr>
                        <w:tcW w:w="852" w:type="dxa"/>
                      </w:tcPr>
                      <w:p>
                        <w:pPr>
                          <w:pStyle w:val="TableParagraph"/>
                          <w:spacing w:before="23"/>
                          <w:ind w:left="130" w:right="126"/>
                          <w:jc w:val="center"/>
                          <w:rPr>
                            <w:b/>
                            <w:sz w:val="20"/>
                          </w:rPr>
                        </w:pPr>
                        <w:r>
                          <w:rPr>
                            <w:b/>
                            <w:sz w:val="20"/>
                          </w:rPr>
                          <w:t>M0</w:t>
                        </w:r>
                      </w:p>
                    </w:tc>
                    <w:tc>
                      <w:tcPr>
                        <w:tcW w:w="3686" w:type="dxa"/>
                      </w:tcPr>
                      <w:p>
                        <w:pPr>
                          <w:pStyle w:val="TableParagraph"/>
                          <w:spacing w:before="27"/>
                          <w:rPr>
                            <w:sz w:val="20"/>
                          </w:rPr>
                        </w:pPr>
                        <w:r>
                          <w:rPr>
                            <w:sz w:val="20"/>
                          </w:rPr>
                          <w:t>No hay metástasis a distancia</w:t>
                        </w:r>
                      </w:p>
                    </w:tc>
                  </w:tr>
                  <w:tr>
                    <w:trPr>
                      <w:trHeight w:val="321" w:hRule="atLeast"/>
                    </w:trPr>
                    <w:tc>
                      <w:tcPr>
                        <w:tcW w:w="852" w:type="dxa"/>
                      </w:tcPr>
                      <w:p>
                        <w:pPr>
                          <w:pStyle w:val="TableParagraph"/>
                          <w:spacing w:before="19"/>
                          <w:ind w:left="130" w:right="126"/>
                          <w:jc w:val="center"/>
                          <w:rPr>
                            <w:b/>
                            <w:sz w:val="20"/>
                          </w:rPr>
                        </w:pPr>
                        <w:r>
                          <w:rPr>
                            <w:b/>
                            <w:sz w:val="20"/>
                          </w:rPr>
                          <w:t>M1</w:t>
                        </w:r>
                      </w:p>
                    </w:tc>
                    <w:tc>
                      <w:tcPr>
                        <w:tcW w:w="3686" w:type="dxa"/>
                      </w:tcPr>
                      <w:p>
                        <w:pPr>
                          <w:pStyle w:val="TableParagraph"/>
                          <w:spacing w:before="23"/>
                          <w:rPr>
                            <w:sz w:val="20"/>
                          </w:rPr>
                        </w:pPr>
                        <w:r>
                          <w:rPr>
                            <w:sz w:val="20"/>
                          </w:rPr>
                          <w:t>Metástasis a distancia</w:t>
                        </w:r>
                      </w:p>
                    </w:tc>
                  </w:tr>
                </w:tbl>
                <w:p>
                  <w:pPr>
                    <w:pStyle w:val="BodyText"/>
                  </w:pPr>
                </w:p>
              </w:txbxContent>
            </v:textbox>
            <w10:wrap type="none"/>
          </v:shape>
        </w:pict>
      </w:r>
    </w:p>
    <w:tbl>
      <w:tblPr>
        <w:tblW w:w="0" w:type="auto"/>
        <w:jc w:val="left"/>
        <w:tblInd w:w="6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97"/>
        <w:gridCol w:w="993"/>
        <w:gridCol w:w="1277"/>
        <w:gridCol w:w="708"/>
      </w:tblGrid>
      <w:tr>
        <w:trPr>
          <w:trHeight w:val="465" w:hRule="atLeast"/>
        </w:trPr>
        <w:tc>
          <w:tcPr>
            <w:tcW w:w="4475" w:type="dxa"/>
            <w:gridSpan w:val="4"/>
          </w:tcPr>
          <w:p>
            <w:pPr>
              <w:pStyle w:val="TableParagraph"/>
              <w:spacing w:line="225" w:lineRule="exact"/>
              <w:ind w:left="106"/>
              <w:rPr>
                <w:sz w:val="20"/>
              </w:rPr>
            </w:pPr>
            <w:r>
              <w:rPr>
                <w:b/>
                <w:sz w:val="20"/>
              </w:rPr>
              <w:t>Tabla 3. </w:t>
            </w:r>
            <w:r>
              <w:rPr>
                <w:sz w:val="20"/>
              </w:rPr>
              <w:t>Estadios de la enfermedad</w:t>
            </w:r>
          </w:p>
        </w:tc>
      </w:tr>
      <w:tr>
        <w:trPr>
          <w:trHeight w:val="462" w:hRule="atLeast"/>
        </w:trPr>
        <w:tc>
          <w:tcPr>
            <w:tcW w:w="1497" w:type="dxa"/>
          </w:tcPr>
          <w:p>
            <w:pPr>
              <w:pStyle w:val="TableParagraph"/>
              <w:spacing w:line="221" w:lineRule="exact"/>
              <w:ind w:left="106"/>
              <w:rPr>
                <w:b/>
                <w:sz w:val="20"/>
              </w:rPr>
            </w:pPr>
            <w:r>
              <w:rPr>
                <w:b/>
                <w:sz w:val="20"/>
              </w:rPr>
              <w:t>Estadio I</w:t>
            </w:r>
          </w:p>
        </w:tc>
        <w:tc>
          <w:tcPr>
            <w:tcW w:w="993" w:type="dxa"/>
          </w:tcPr>
          <w:p>
            <w:pPr>
              <w:pStyle w:val="TableParagraph"/>
              <w:spacing w:line="225" w:lineRule="exact"/>
              <w:ind w:left="154" w:right="152"/>
              <w:jc w:val="center"/>
              <w:rPr>
                <w:sz w:val="20"/>
              </w:rPr>
            </w:pPr>
            <w:r>
              <w:rPr>
                <w:sz w:val="20"/>
              </w:rPr>
              <w:t>T1</w:t>
            </w:r>
          </w:p>
        </w:tc>
        <w:tc>
          <w:tcPr>
            <w:tcW w:w="1277" w:type="dxa"/>
          </w:tcPr>
          <w:p>
            <w:pPr>
              <w:pStyle w:val="TableParagraph"/>
              <w:spacing w:line="225" w:lineRule="exact"/>
              <w:ind w:left="283" w:right="283"/>
              <w:jc w:val="center"/>
              <w:rPr>
                <w:sz w:val="20"/>
              </w:rPr>
            </w:pPr>
            <w:r>
              <w:rPr>
                <w:sz w:val="20"/>
              </w:rPr>
              <w:t>N0</w:t>
            </w:r>
          </w:p>
        </w:tc>
        <w:tc>
          <w:tcPr>
            <w:tcW w:w="708" w:type="dxa"/>
          </w:tcPr>
          <w:p>
            <w:pPr>
              <w:pStyle w:val="TableParagraph"/>
              <w:spacing w:line="225" w:lineRule="exact"/>
              <w:ind w:left="190" w:right="189"/>
              <w:jc w:val="center"/>
              <w:rPr>
                <w:sz w:val="20"/>
              </w:rPr>
            </w:pPr>
            <w:r>
              <w:rPr>
                <w:sz w:val="20"/>
              </w:rPr>
              <w:t>M0</w:t>
            </w:r>
          </w:p>
        </w:tc>
      </w:tr>
      <w:tr>
        <w:trPr>
          <w:trHeight w:val="465" w:hRule="atLeast"/>
        </w:trPr>
        <w:tc>
          <w:tcPr>
            <w:tcW w:w="1497" w:type="dxa"/>
          </w:tcPr>
          <w:p>
            <w:pPr>
              <w:pStyle w:val="TableParagraph"/>
              <w:spacing w:line="225" w:lineRule="exact"/>
              <w:ind w:left="106"/>
              <w:rPr>
                <w:b/>
                <w:sz w:val="20"/>
              </w:rPr>
            </w:pPr>
            <w:r>
              <w:rPr>
                <w:b/>
                <w:sz w:val="20"/>
              </w:rPr>
              <w:t>Estadio IIA</w:t>
            </w:r>
          </w:p>
        </w:tc>
        <w:tc>
          <w:tcPr>
            <w:tcW w:w="993" w:type="dxa"/>
          </w:tcPr>
          <w:p>
            <w:pPr>
              <w:pStyle w:val="TableParagraph"/>
              <w:spacing w:line="229" w:lineRule="exact"/>
              <w:ind w:left="154" w:right="152"/>
              <w:jc w:val="center"/>
              <w:rPr>
                <w:sz w:val="20"/>
              </w:rPr>
            </w:pPr>
            <w:r>
              <w:rPr>
                <w:sz w:val="20"/>
              </w:rPr>
              <w:t>T2</w:t>
            </w:r>
          </w:p>
        </w:tc>
        <w:tc>
          <w:tcPr>
            <w:tcW w:w="1277" w:type="dxa"/>
          </w:tcPr>
          <w:p>
            <w:pPr>
              <w:pStyle w:val="TableParagraph"/>
              <w:spacing w:line="229" w:lineRule="exact"/>
              <w:ind w:left="283" w:right="283"/>
              <w:jc w:val="center"/>
              <w:rPr>
                <w:sz w:val="20"/>
              </w:rPr>
            </w:pPr>
            <w:r>
              <w:rPr>
                <w:sz w:val="20"/>
              </w:rPr>
              <w:t>N0</w:t>
            </w:r>
          </w:p>
        </w:tc>
        <w:tc>
          <w:tcPr>
            <w:tcW w:w="708" w:type="dxa"/>
          </w:tcPr>
          <w:p>
            <w:pPr>
              <w:pStyle w:val="TableParagraph"/>
              <w:spacing w:line="229" w:lineRule="exact"/>
              <w:ind w:left="190" w:right="189"/>
              <w:jc w:val="center"/>
              <w:rPr>
                <w:sz w:val="20"/>
              </w:rPr>
            </w:pPr>
            <w:r>
              <w:rPr>
                <w:sz w:val="20"/>
              </w:rPr>
              <w:t>M0</w:t>
            </w:r>
          </w:p>
        </w:tc>
      </w:tr>
      <w:tr>
        <w:trPr>
          <w:trHeight w:val="462" w:hRule="atLeast"/>
        </w:trPr>
        <w:tc>
          <w:tcPr>
            <w:tcW w:w="1497" w:type="dxa"/>
          </w:tcPr>
          <w:p>
            <w:pPr>
              <w:pStyle w:val="TableParagraph"/>
              <w:spacing w:line="222" w:lineRule="exact"/>
              <w:ind w:left="106"/>
              <w:rPr>
                <w:b/>
                <w:sz w:val="20"/>
              </w:rPr>
            </w:pPr>
            <w:r>
              <w:rPr>
                <w:b/>
                <w:sz w:val="20"/>
              </w:rPr>
              <w:t>Estadio IIB</w:t>
            </w:r>
          </w:p>
        </w:tc>
        <w:tc>
          <w:tcPr>
            <w:tcW w:w="993" w:type="dxa"/>
          </w:tcPr>
          <w:p>
            <w:pPr>
              <w:pStyle w:val="TableParagraph"/>
              <w:spacing w:line="226" w:lineRule="exact"/>
              <w:ind w:left="154" w:right="152"/>
              <w:jc w:val="center"/>
              <w:rPr>
                <w:sz w:val="20"/>
              </w:rPr>
            </w:pPr>
            <w:r>
              <w:rPr>
                <w:sz w:val="20"/>
              </w:rPr>
              <w:t>T3</w:t>
            </w:r>
          </w:p>
        </w:tc>
        <w:tc>
          <w:tcPr>
            <w:tcW w:w="1277" w:type="dxa"/>
          </w:tcPr>
          <w:p>
            <w:pPr>
              <w:pStyle w:val="TableParagraph"/>
              <w:spacing w:line="226" w:lineRule="exact"/>
              <w:ind w:left="283" w:right="283"/>
              <w:jc w:val="center"/>
              <w:rPr>
                <w:sz w:val="20"/>
              </w:rPr>
            </w:pPr>
            <w:r>
              <w:rPr>
                <w:sz w:val="20"/>
              </w:rPr>
              <w:t>N0</w:t>
            </w:r>
          </w:p>
        </w:tc>
        <w:tc>
          <w:tcPr>
            <w:tcW w:w="708" w:type="dxa"/>
          </w:tcPr>
          <w:p>
            <w:pPr>
              <w:pStyle w:val="TableParagraph"/>
              <w:spacing w:line="226" w:lineRule="exact"/>
              <w:ind w:left="190" w:right="189"/>
              <w:jc w:val="center"/>
              <w:rPr>
                <w:sz w:val="20"/>
              </w:rPr>
            </w:pPr>
            <w:r>
              <w:rPr>
                <w:sz w:val="20"/>
              </w:rPr>
              <w:t>M0</w:t>
            </w:r>
          </w:p>
        </w:tc>
      </w:tr>
      <w:tr>
        <w:trPr>
          <w:trHeight w:val="465" w:hRule="atLeast"/>
        </w:trPr>
        <w:tc>
          <w:tcPr>
            <w:tcW w:w="1497" w:type="dxa"/>
          </w:tcPr>
          <w:p>
            <w:pPr>
              <w:pStyle w:val="TableParagraph"/>
              <w:spacing w:line="225" w:lineRule="exact"/>
              <w:ind w:left="106"/>
              <w:rPr>
                <w:b/>
                <w:sz w:val="20"/>
              </w:rPr>
            </w:pPr>
            <w:r>
              <w:rPr>
                <w:b/>
                <w:sz w:val="20"/>
              </w:rPr>
              <w:t>Estadio IIIA</w:t>
            </w:r>
          </w:p>
        </w:tc>
        <w:tc>
          <w:tcPr>
            <w:tcW w:w="993" w:type="dxa"/>
          </w:tcPr>
          <w:p>
            <w:pPr>
              <w:pStyle w:val="TableParagraph"/>
              <w:spacing w:line="229" w:lineRule="exact"/>
              <w:ind w:left="154" w:right="152"/>
              <w:jc w:val="center"/>
              <w:rPr>
                <w:sz w:val="20"/>
              </w:rPr>
            </w:pPr>
            <w:r>
              <w:rPr>
                <w:sz w:val="20"/>
              </w:rPr>
              <w:t>T4</w:t>
            </w:r>
          </w:p>
        </w:tc>
        <w:tc>
          <w:tcPr>
            <w:tcW w:w="1277" w:type="dxa"/>
          </w:tcPr>
          <w:p>
            <w:pPr>
              <w:pStyle w:val="TableParagraph"/>
              <w:spacing w:line="229" w:lineRule="exact"/>
              <w:ind w:left="283" w:right="283"/>
              <w:jc w:val="center"/>
              <w:rPr>
                <w:sz w:val="20"/>
              </w:rPr>
            </w:pPr>
            <w:r>
              <w:rPr>
                <w:sz w:val="20"/>
              </w:rPr>
              <w:t>N0</w:t>
            </w:r>
          </w:p>
        </w:tc>
        <w:tc>
          <w:tcPr>
            <w:tcW w:w="708" w:type="dxa"/>
          </w:tcPr>
          <w:p>
            <w:pPr>
              <w:pStyle w:val="TableParagraph"/>
              <w:spacing w:line="229" w:lineRule="exact"/>
              <w:ind w:left="190" w:right="189"/>
              <w:jc w:val="center"/>
              <w:rPr>
                <w:sz w:val="20"/>
              </w:rPr>
            </w:pPr>
            <w:r>
              <w:rPr>
                <w:sz w:val="20"/>
              </w:rPr>
              <w:t>M0</w:t>
            </w:r>
          </w:p>
        </w:tc>
      </w:tr>
      <w:tr>
        <w:trPr>
          <w:trHeight w:val="465" w:hRule="atLeast"/>
        </w:trPr>
        <w:tc>
          <w:tcPr>
            <w:tcW w:w="1497" w:type="dxa"/>
          </w:tcPr>
          <w:p>
            <w:pPr>
              <w:pStyle w:val="TableParagraph"/>
              <w:spacing w:line="225" w:lineRule="exact"/>
              <w:ind w:left="106"/>
              <w:rPr>
                <w:b/>
                <w:sz w:val="20"/>
              </w:rPr>
            </w:pPr>
            <w:r>
              <w:rPr>
                <w:b/>
                <w:sz w:val="20"/>
              </w:rPr>
              <w:t>Estadio IIIB</w:t>
            </w:r>
          </w:p>
        </w:tc>
        <w:tc>
          <w:tcPr>
            <w:tcW w:w="993" w:type="dxa"/>
          </w:tcPr>
          <w:p>
            <w:pPr>
              <w:pStyle w:val="TableParagraph"/>
              <w:spacing w:line="229" w:lineRule="exact"/>
              <w:ind w:left="154" w:right="154"/>
              <w:jc w:val="center"/>
              <w:rPr>
                <w:sz w:val="20"/>
              </w:rPr>
            </w:pPr>
            <w:r>
              <w:rPr>
                <w:sz w:val="20"/>
              </w:rPr>
              <w:t>Todo T</w:t>
            </w:r>
          </w:p>
        </w:tc>
        <w:tc>
          <w:tcPr>
            <w:tcW w:w="1277" w:type="dxa"/>
          </w:tcPr>
          <w:p>
            <w:pPr>
              <w:pStyle w:val="TableParagraph"/>
              <w:spacing w:line="229" w:lineRule="exact"/>
              <w:ind w:left="283" w:right="283"/>
              <w:jc w:val="center"/>
              <w:rPr>
                <w:sz w:val="20"/>
              </w:rPr>
            </w:pPr>
            <w:r>
              <w:rPr>
                <w:sz w:val="20"/>
              </w:rPr>
              <w:t>N1</w:t>
            </w:r>
          </w:p>
        </w:tc>
        <w:tc>
          <w:tcPr>
            <w:tcW w:w="708" w:type="dxa"/>
          </w:tcPr>
          <w:p>
            <w:pPr>
              <w:pStyle w:val="TableParagraph"/>
              <w:spacing w:line="229" w:lineRule="exact"/>
              <w:ind w:left="190" w:right="189"/>
              <w:jc w:val="center"/>
              <w:rPr>
                <w:sz w:val="20"/>
              </w:rPr>
            </w:pPr>
            <w:r>
              <w:rPr>
                <w:sz w:val="20"/>
              </w:rPr>
              <w:t>M0</w:t>
            </w:r>
          </w:p>
        </w:tc>
      </w:tr>
      <w:tr>
        <w:trPr>
          <w:trHeight w:val="462" w:hRule="atLeast"/>
        </w:trPr>
        <w:tc>
          <w:tcPr>
            <w:tcW w:w="1497" w:type="dxa"/>
          </w:tcPr>
          <w:p>
            <w:pPr>
              <w:pStyle w:val="TableParagraph"/>
              <w:spacing w:line="221" w:lineRule="exact"/>
              <w:ind w:left="106"/>
              <w:rPr>
                <w:b/>
                <w:sz w:val="20"/>
              </w:rPr>
            </w:pPr>
            <w:r>
              <w:rPr>
                <w:b/>
                <w:sz w:val="20"/>
              </w:rPr>
              <w:t>Estadio IV</w:t>
            </w:r>
          </w:p>
        </w:tc>
        <w:tc>
          <w:tcPr>
            <w:tcW w:w="993" w:type="dxa"/>
          </w:tcPr>
          <w:p>
            <w:pPr>
              <w:pStyle w:val="TableParagraph"/>
              <w:spacing w:line="225" w:lineRule="exact"/>
              <w:ind w:left="154" w:right="154"/>
              <w:jc w:val="center"/>
              <w:rPr>
                <w:sz w:val="20"/>
              </w:rPr>
            </w:pPr>
            <w:r>
              <w:rPr>
                <w:sz w:val="20"/>
              </w:rPr>
              <w:t>Todo T</w:t>
            </w:r>
          </w:p>
        </w:tc>
        <w:tc>
          <w:tcPr>
            <w:tcW w:w="1277" w:type="dxa"/>
          </w:tcPr>
          <w:p>
            <w:pPr>
              <w:pStyle w:val="TableParagraph"/>
              <w:spacing w:line="225" w:lineRule="exact"/>
              <w:ind w:left="287" w:right="283"/>
              <w:jc w:val="center"/>
              <w:rPr>
                <w:sz w:val="20"/>
              </w:rPr>
            </w:pPr>
            <w:r>
              <w:rPr>
                <w:sz w:val="20"/>
              </w:rPr>
              <w:t>Todo N</w:t>
            </w:r>
          </w:p>
        </w:tc>
        <w:tc>
          <w:tcPr>
            <w:tcW w:w="708" w:type="dxa"/>
          </w:tcPr>
          <w:p>
            <w:pPr>
              <w:pStyle w:val="TableParagraph"/>
              <w:spacing w:line="225" w:lineRule="exact"/>
              <w:ind w:left="190" w:right="189"/>
              <w:jc w:val="center"/>
              <w:rPr>
                <w:sz w:val="20"/>
              </w:rPr>
            </w:pPr>
            <w:r>
              <w:rPr>
                <w:sz w:val="20"/>
              </w:rPr>
              <w:t>M1</w:t>
            </w:r>
          </w:p>
        </w:tc>
      </w:tr>
    </w:tbl>
    <w:p>
      <w:pPr>
        <w:pStyle w:val="BodyText"/>
        <w:rPr>
          <w:i/>
          <w:sz w:val="20"/>
        </w:rPr>
      </w:pPr>
    </w:p>
    <w:p>
      <w:pPr>
        <w:pStyle w:val="BodyText"/>
        <w:spacing w:before="8"/>
        <w:rPr>
          <w:i/>
        </w:rPr>
      </w:pPr>
    </w:p>
    <w:p>
      <w:pPr>
        <w:pStyle w:val="Heading4"/>
        <w:ind w:left="6482"/>
        <w:jc w:val="both"/>
      </w:pPr>
      <w:r>
        <w:rPr/>
        <w:t>TRATAMIENTO</w:t>
      </w:r>
    </w:p>
    <w:p>
      <w:pPr>
        <w:pStyle w:val="BodyText"/>
        <w:rPr>
          <w:b/>
          <w:sz w:val="21"/>
        </w:rPr>
      </w:pPr>
    </w:p>
    <w:p>
      <w:pPr>
        <w:pStyle w:val="BodyText"/>
        <w:spacing w:line="276" w:lineRule="auto"/>
        <w:ind w:left="6482" w:right="1436"/>
        <w:jc w:val="both"/>
      </w:pPr>
      <w:r>
        <w:rPr/>
        <w:t>El abordaje va a depender de la estadificación de la neoplasia según los criterios establecidos. Básicamente se puede dividir en:</w:t>
      </w:r>
    </w:p>
    <w:p>
      <w:pPr>
        <w:pStyle w:val="BodyText"/>
        <w:tabs>
          <w:tab w:pos="8052" w:val="left" w:leader="none"/>
          <w:tab w:pos="8840" w:val="left" w:leader="none"/>
          <w:tab w:pos="9786" w:val="left" w:leader="none"/>
        </w:tabs>
        <w:spacing w:line="276" w:lineRule="auto" w:before="202"/>
        <w:ind w:left="6482" w:right="1433"/>
        <w:jc w:val="both"/>
      </w:pPr>
      <w:r>
        <w:rPr>
          <w:b/>
          <w:i/>
        </w:rPr>
        <w:t>Enfermedad temprana</w:t>
      </w:r>
      <w:r>
        <w:rPr/>
        <w:t>: todos los esfuerzos están enfocados en el objetivo de curación, </w:t>
      </w:r>
      <w:r>
        <w:rPr>
          <w:spacing w:val="-3"/>
        </w:rPr>
        <w:t>la </w:t>
      </w:r>
      <w:r>
        <w:rPr/>
        <w:t>mayoría de los tumores son abordados quirúrgicamente. Posteriormente mediante</w:t>
        <w:tab/>
        <w:t>a</w:t>
        <w:tab/>
        <w:t>los</w:t>
        <w:tab/>
        <w:t>resultados anatomopatológicos (TNM, grado histológico, invasión a vasos linfáticos y vasculares, sobre expresión de HER-2, índice e proliferación Ki67) se planifica un tratamiento adyuvante con</w:t>
      </w:r>
      <w:r>
        <w:rPr>
          <w:spacing w:val="-9"/>
        </w:rPr>
        <w:t> </w:t>
      </w:r>
      <w:r>
        <w:rPr/>
        <w:t>quimioterapia.</w:t>
      </w:r>
    </w:p>
    <w:p>
      <w:pPr>
        <w:pStyle w:val="BodyText"/>
        <w:spacing w:line="276" w:lineRule="auto" w:before="201"/>
        <w:ind w:left="6482" w:right="1432"/>
        <w:jc w:val="both"/>
      </w:pPr>
      <w:r>
        <w:rPr>
          <w:b/>
          <w:i/>
        </w:rPr>
        <w:t>Enfermedad localmente avanzada: </w:t>
      </w:r>
      <w:r>
        <w:rPr/>
        <w:t>se da inicialmente una terapia de medicamentos quimioterapéuticos neoadyuvante , con la intención de reducir el volumen tumoral, aumentar las posibilidades de resección , seguida de una intervención quirúrgica.</w:t>
      </w:r>
    </w:p>
    <w:p>
      <w:pPr>
        <w:pStyle w:val="BodyText"/>
        <w:spacing w:line="276" w:lineRule="auto" w:before="201"/>
        <w:ind w:left="6482" w:right="1434"/>
        <w:jc w:val="both"/>
      </w:pPr>
      <w:r>
        <w:rPr>
          <w:b/>
          <w:i/>
        </w:rPr>
        <w:t>Enfermedad metastásica: </w:t>
      </w:r>
      <w:r>
        <w:rPr/>
        <w:t>En estos casos todos los esfuerzos están enfocados en el objetivo de </w:t>
      </w:r>
      <w:r>
        <w:rPr>
          <w:spacing w:val="-3"/>
        </w:rPr>
        <w:t>la </w:t>
      </w:r>
      <w:r>
        <w:rPr/>
        <w:t>paliación, (Medicina Paliativa) con </w:t>
      </w:r>
      <w:r>
        <w:rPr>
          <w:spacing w:val="-3"/>
        </w:rPr>
        <w:t>la </w:t>
      </w:r>
      <w:r>
        <w:rPr/>
        <w:t>intención de aumentar su probabilidad de sobrevida, disminuir los síntomas asociados al tumor y mejorar </w:t>
      </w:r>
      <w:r>
        <w:rPr>
          <w:spacing w:val="-3"/>
        </w:rPr>
        <w:t>la </w:t>
      </w:r>
      <w:r>
        <w:rPr/>
        <w:t>calidad de</w:t>
      </w:r>
      <w:r>
        <w:rPr>
          <w:spacing w:val="-4"/>
        </w:rPr>
        <w:t> </w:t>
      </w:r>
      <w:r>
        <w:rPr/>
        <w:t>vida.</w:t>
      </w:r>
    </w:p>
    <w:p>
      <w:pPr>
        <w:spacing w:after="0" w:line="276" w:lineRule="auto"/>
        <w:jc w:val="both"/>
        <w:sectPr>
          <w:footerReference w:type="default" r:id="rId50"/>
          <w:footerReference w:type="even" r:id="rId51"/>
          <w:pgSz w:w="12240" w:h="15840"/>
          <w:pgMar w:footer="882" w:header="963" w:top="1180" w:bottom="1080" w:left="0" w:right="0"/>
          <w:pgNumType w:start="11"/>
        </w:sectPr>
      </w:pPr>
    </w:p>
    <w:p>
      <w:pPr>
        <w:pStyle w:val="BodyText"/>
        <w:spacing w:before="7"/>
        <w:rPr>
          <w:sz w:val="13"/>
        </w:rPr>
      </w:pPr>
    </w:p>
    <w:p>
      <w:pPr>
        <w:pStyle w:val="Heading4"/>
        <w:spacing w:before="92"/>
      </w:pPr>
      <w:r>
        <w:rPr/>
        <w:t>BIBLIOGRAFIA</w:t>
      </w:r>
    </w:p>
    <w:p>
      <w:pPr>
        <w:pStyle w:val="BodyText"/>
        <w:spacing w:before="9"/>
        <w:rPr>
          <w:b/>
          <w:sz w:val="20"/>
        </w:rPr>
      </w:pPr>
    </w:p>
    <w:p>
      <w:pPr>
        <w:pStyle w:val="ListParagraph"/>
        <w:numPr>
          <w:ilvl w:val="1"/>
          <w:numId w:val="8"/>
        </w:numPr>
        <w:tabs>
          <w:tab w:pos="1800" w:val="left" w:leader="none"/>
          <w:tab w:pos="1801" w:val="left" w:leader="none"/>
        </w:tabs>
        <w:spacing w:line="240" w:lineRule="auto" w:before="0" w:after="0"/>
        <w:ind w:left="1800" w:right="0" w:hanging="360"/>
        <w:jc w:val="left"/>
        <w:rPr>
          <w:rFonts w:ascii="Symbol" w:hAnsi="Symbol"/>
          <w:sz w:val="20"/>
        </w:rPr>
      </w:pPr>
      <w:r>
        <w:rPr>
          <w:sz w:val="20"/>
        </w:rPr>
        <w:t>Farreras, C. Rozman (2012) Medicina Interna XII Edición Barcelona:</w:t>
      </w:r>
      <w:r>
        <w:rPr>
          <w:spacing w:val="1"/>
          <w:sz w:val="20"/>
        </w:rPr>
        <w:t> </w:t>
      </w:r>
      <w:r>
        <w:rPr>
          <w:sz w:val="20"/>
        </w:rPr>
        <w:t>Elsevier.</w:t>
      </w:r>
    </w:p>
    <w:p>
      <w:pPr>
        <w:pStyle w:val="ListParagraph"/>
        <w:numPr>
          <w:ilvl w:val="1"/>
          <w:numId w:val="8"/>
        </w:numPr>
        <w:tabs>
          <w:tab w:pos="1800" w:val="left" w:leader="none"/>
          <w:tab w:pos="1801" w:val="left" w:leader="none"/>
        </w:tabs>
        <w:spacing w:line="240" w:lineRule="auto" w:before="34" w:after="0"/>
        <w:ind w:left="1800" w:right="0" w:hanging="360"/>
        <w:jc w:val="left"/>
        <w:rPr>
          <w:rFonts w:ascii="Symbol" w:hAnsi="Symbol"/>
          <w:sz w:val="20"/>
        </w:rPr>
      </w:pPr>
      <w:r>
        <w:rPr>
          <w:sz w:val="20"/>
        </w:rPr>
        <w:t>Piris, M .Gómez, N Taramino (2015) Manual AMIR Ginecología y Obstetricia. España:</w:t>
      </w:r>
      <w:r>
        <w:rPr>
          <w:spacing w:val="-4"/>
          <w:sz w:val="20"/>
        </w:rPr>
        <w:t> </w:t>
      </w:r>
      <w:r>
        <w:rPr>
          <w:sz w:val="20"/>
        </w:rPr>
        <w:t>MARBAN.</w:t>
      </w:r>
    </w:p>
    <w:p>
      <w:pPr>
        <w:pStyle w:val="ListParagraph"/>
        <w:numPr>
          <w:ilvl w:val="1"/>
          <w:numId w:val="8"/>
        </w:numPr>
        <w:tabs>
          <w:tab w:pos="1800" w:val="left" w:leader="none"/>
          <w:tab w:pos="1801" w:val="left" w:leader="none"/>
        </w:tabs>
        <w:spacing w:line="276" w:lineRule="auto" w:before="30" w:after="0"/>
        <w:ind w:left="1800" w:right="2130" w:hanging="360"/>
        <w:jc w:val="left"/>
        <w:rPr>
          <w:rFonts w:ascii="Symbol" w:hAnsi="Symbol"/>
          <w:sz w:val="20"/>
        </w:rPr>
      </w:pPr>
      <w:r>
        <w:rPr>
          <w:sz w:val="20"/>
        </w:rPr>
        <w:t>Jiménez G. (2010) Folleto Tratamiento Médico del Cáncer Hospital Dr. Rafael Angel</w:t>
      </w:r>
      <w:r>
        <w:rPr>
          <w:spacing w:val="-34"/>
          <w:sz w:val="20"/>
        </w:rPr>
        <w:t> </w:t>
      </w:r>
      <w:r>
        <w:rPr>
          <w:sz w:val="20"/>
        </w:rPr>
        <w:t>Calderón Guardia. Costa Rica, Editorial Universidad de Costa</w:t>
      </w:r>
      <w:r>
        <w:rPr>
          <w:spacing w:val="-5"/>
          <w:sz w:val="20"/>
        </w:rPr>
        <w:t> </w:t>
      </w:r>
      <w:r>
        <w:rPr>
          <w:sz w:val="20"/>
        </w:rPr>
        <w:t>Rica.</w:t>
      </w:r>
    </w:p>
    <w:p>
      <w:pPr>
        <w:pStyle w:val="ListParagraph"/>
        <w:numPr>
          <w:ilvl w:val="1"/>
          <w:numId w:val="8"/>
        </w:numPr>
        <w:tabs>
          <w:tab w:pos="1801" w:val="left" w:leader="none"/>
        </w:tabs>
        <w:spacing w:line="276" w:lineRule="auto" w:before="0" w:after="0"/>
        <w:ind w:left="1800" w:right="2080" w:hanging="360"/>
        <w:jc w:val="both"/>
        <w:rPr>
          <w:rFonts w:ascii="Symbol" w:hAnsi="Symbol"/>
          <w:sz w:val="20"/>
        </w:rPr>
      </w:pPr>
      <w:r>
        <w:rPr>
          <w:sz w:val="20"/>
        </w:rPr>
        <w:t>Quirós – Alpizar , Y. Jiménez- Rodríguez (2010) Carcinomas invasores triples negativos de la glándula mamria: incidencia y características clínico –patológicas revista vol 52 Revista Acta Médica Costarricense.</w:t>
      </w:r>
    </w:p>
    <w:p>
      <w:pPr>
        <w:pStyle w:val="BodyText"/>
        <w:spacing w:before="6"/>
        <w:rPr>
          <w:sz w:val="17"/>
        </w:rPr>
      </w:pPr>
    </w:p>
    <w:p>
      <w:pPr>
        <w:tabs>
          <w:tab w:pos="7582" w:val="left" w:leader="none"/>
        </w:tabs>
        <w:spacing w:before="0"/>
        <w:ind w:left="1440" w:right="0" w:firstLine="0"/>
        <w:jc w:val="left"/>
        <w:rPr>
          <w:sz w:val="20"/>
        </w:rPr>
      </w:pPr>
      <w:r>
        <w:rPr>
          <w:sz w:val="20"/>
        </w:rPr>
        <w:t>Recepción: 30 Noviembre</w:t>
      </w:r>
      <w:r>
        <w:rPr>
          <w:spacing w:val="-1"/>
          <w:sz w:val="20"/>
        </w:rPr>
        <w:t> </w:t>
      </w:r>
      <w:r>
        <w:rPr>
          <w:sz w:val="20"/>
        </w:rPr>
        <w:t>de</w:t>
      </w:r>
      <w:r>
        <w:rPr>
          <w:spacing w:val="-2"/>
          <w:sz w:val="20"/>
        </w:rPr>
        <w:t> </w:t>
      </w:r>
      <w:r>
        <w:rPr>
          <w:sz w:val="20"/>
        </w:rPr>
        <w:t>2016</w:t>
        <w:tab/>
        <w:t>Aprobación: 10 Diciembre de</w:t>
      </w:r>
      <w:r>
        <w:rPr>
          <w:spacing w:val="-1"/>
          <w:sz w:val="20"/>
        </w:rPr>
        <w:t> </w:t>
      </w:r>
      <w:r>
        <w:rPr>
          <w:sz w:val="20"/>
        </w:rPr>
        <w:t>2016</w:t>
      </w:r>
    </w:p>
    <w:p>
      <w:pPr>
        <w:spacing w:after="0"/>
        <w:jc w:val="left"/>
        <w:rPr>
          <w:sz w:val="20"/>
        </w:rPr>
        <w:sectPr>
          <w:pgSz w:w="12240" w:h="15840"/>
          <w:pgMar w:header="963" w:footer="872" w:top="1180" w:bottom="1060" w:left="0" w:right="0"/>
        </w:sectPr>
      </w:pPr>
    </w:p>
    <w:p>
      <w:pPr>
        <w:pStyle w:val="Heading3"/>
        <w:ind w:left="2776" w:right="523"/>
      </w:pPr>
      <w:r>
        <w:rPr/>
        <w:pict>
          <v:group style="position:absolute;margin-left:72.199997pt;margin-top:4.179631pt;width:103pt;height:466.85pt;mso-position-horizontal-relative:page;mso-position-vertical-relative:paragraph;z-index:1504" coordorigin="1444,84" coordsize="2060,9337">
            <v:shape style="position:absolute;left:1444;top:84;width:2060;height:9336" type="#_x0000_t75" stroked="false">
              <v:imagedata r:id="rId55" o:title=""/>
            </v:shape>
            <v:shape style="position:absolute;left:1612;top:83;width:1740;height:975" type="#_x0000_t202" filled="false" stroked="false">
              <v:textbox inset="0,0,0,0">
                <w:txbxContent>
                  <w:p>
                    <w:pPr>
                      <w:spacing w:line="179" w:lineRule="exact" w:before="0"/>
                      <w:ind w:left="0" w:right="0" w:firstLine="0"/>
                      <w:jc w:val="left"/>
                      <w:rPr>
                        <w:sz w:val="16"/>
                      </w:rPr>
                    </w:pPr>
                    <w:r>
                      <w:rPr>
                        <w:sz w:val="16"/>
                      </w:rPr>
                      <w:t>Revista Médica Sinergia</w:t>
                    </w:r>
                  </w:p>
                  <w:p>
                    <w:pPr>
                      <w:spacing w:line="240" w:lineRule="auto" w:before="9"/>
                      <w:rPr>
                        <w:sz w:val="18"/>
                      </w:rPr>
                    </w:pPr>
                  </w:p>
                  <w:p>
                    <w:pPr>
                      <w:spacing w:before="0"/>
                      <w:ind w:left="268" w:right="0" w:firstLine="0"/>
                      <w:jc w:val="left"/>
                      <w:rPr>
                        <w:sz w:val="16"/>
                      </w:rPr>
                    </w:pPr>
                    <w:r>
                      <w:rPr>
                        <w:sz w:val="16"/>
                      </w:rPr>
                      <w:t>ISSN 2215-4523</w:t>
                    </w:r>
                  </w:p>
                  <w:p>
                    <w:pPr>
                      <w:spacing w:line="261" w:lineRule="auto" w:before="12"/>
                      <w:ind w:left="20" w:right="33" w:firstLine="399"/>
                      <w:jc w:val="left"/>
                      <w:rPr>
                        <w:sz w:val="16"/>
                      </w:rPr>
                    </w:pPr>
                    <w:r>
                      <w:rPr>
                        <w:sz w:val="16"/>
                      </w:rPr>
                      <w:t>Vol.2 Num:1 Enero 2017 pp:13 - 21</w:t>
                    </w:r>
                  </w:p>
                </w:txbxContent>
              </v:textbox>
              <w10:wrap type="none"/>
            </v:shape>
            <v:shape style="position:absolute;left:1444;top:8413;width:1772;height:775" type="#_x0000_t202" filled="false" stroked="false">
              <v:textbox inset="0,0,0,0">
                <w:txbxContent>
                  <w:p>
                    <w:pPr>
                      <w:spacing w:line="259" w:lineRule="auto" w:before="0"/>
                      <w:ind w:left="0" w:right="0" w:firstLine="0"/>
                      <w:jc w:val="left"/>
                      <w:rPr>
                        <w:sz w:val="16"/>
                      </w:rPr>
                    </w:pPr>
                    <w:r>
                      <w:rPr>
                        <w:sz w:val="16"/>
                      </w:rPr>
                      <w:t>*Médico General. Universidad de Ciencias Médicas (UCIMED). San José - Costa Rica</w:t>
                    </w:r>
                  </w:p>
                </w:txbxContent>
              </v:textbox>
              <w10:wrap type="none"/>
            </v:shape>
            <w10:wrap type="none"/>
          </v:group>
        </w:pict>
      </w:r>
      <w:r>
        <w:rPr/>
        <w:t>ADENOCARCINOMA GASTRICO</w:t>
      </w:r>
    </w:p>
    <w:p>
      <w:pPr>
        <w:spacing w:before="53"/>
        <w:ind w:left="2776" w:right="525" w:firstLine="0"/>
        <w:jc w:val="center"/>
        <w:rPr>
          <w:sz w:val="20"/>
        </w:rPr>
      </w:pPr>
      <w:r>
        <w:rPr>
          <w:sz w:val="20"/>
        </w:rPr>
        <w:t>(GASTRIC ADENOCARCINOMA)</w:t>
      </w:r>
    </w:p>
    <w:p>
      <w:pPr>
        <w:pStyle w:val="BodyText"/>
        <w:spacing w:before="10"/>
        <w:rPr>
          <w:sz w:val="23"/>
        </w:rPr>
      </w:pPr>
    </w:p>
    <w:p>
      <w:pPr>
        <w:pStyle w:val="BodyText"/>
        <w:ind w:right="1432"/>
        <w:jc w:val="right"/>
      </w:pPr>
      <w:r>
        <w:rPr/>
        <w:t>* Esteban Sánchez Gaitán</w:t>
      </w:r>
    </w:p>
    <w:p>
      <w:pPr>
        <w:pStyle w:val="BodyText"/>
        <w:rPr>
          <w:sz w:val="14"/>
        </w:rPr>
      </w:pPr>
    </w:p>
    <w:p>
      <w:pPr>
        <w:pStyle w:val="BodyText"/>
        <w:spacing w:before="93"/>
        <w:ind w:left="3829"/>
      </w:pPr>
      <w:r>
        <w:rPr/>
        <w:drawing>
          <wp:anchor distT="0" distB="0" distL="0" distR="0" allowOverlap="1" layoutInCell="1" locked="0" behindDoc="1" simplePos="0" relativeHeight="268370711">
            <wp:simplePos x="0" y="0"/>
            <wp:positionH relativeFrom="page">
              <wp:posOffset>2333625</wp:posOffset>
            </wp:positionH>
            <wp:positionV relativeFrom="paragraph">
              <wp:posOffset>9751</wp:posOffset>
            </wp:positionV>
            <wp:extent cx="4638675" cy="5105400"/>
            <wp:effectExtent l="0" t="0" r="0" b="0"/>
            <wp:wrapNone/>
            <wp:docPr id="49" name="image38.png" descr=""/>
            <wp:cNvGraphicFramePr>
              <a:graphicFrameLocks noChangeAspect="1"/>
            </wp:cNvGraphicFramePr>
            <a:graphic>
              <a:graphicData uri="http://schemas.openxmlformats.org/drawingml/2006/picture">
                <pic:pic>
                  <pic:nvPicPr>
                    <pic:cNvPr id="50" name="image38.png"/>
                    <pic:cNvPicPr/>
                  </pic:nvPicPr>
                  <pic:blipFill>
                    <a:blip r:embed="rId56" cstate="print"/>
                    <a:stretch>
                      <a:fillRect/>
                    </a:stretch>
                  </pic:blipFill>
                  <pic:spPr>
                    <a:xfrm>
                      <a:off x="0" y="0"/>
                      <a:ext cx="4638675" cy="5105400"/>
                    </a:xfrm>
                    <a:prstGeom prst="rect">
                      <a:avLst/>
                    </a:prstGeom>
                  </pic:spPr>
                </pic:pic>
              </a:graphicData>
            </a:graphic>
          </wp:anchor>
        </w:drawing>
      </w:r>
      <w:r>
        <w:rPr/>
        <w:t>RESUMEN</w:t>
      </w:r>
    </w:p>
    <w:p>
      <w:pPr>
        <w:pStyle w:val="BodyText"/>
        <w:spacing w:line="276" w:lineRule="auto" w:before="38"/>
        <w:ind w:left="3829" w:right="1579"/>
      </w:pPr>
      <w:r>
        <w:rPr/>
        <w:t>Las personas jóvenes y blancas son más propensas a tener cáncer gástrico proximal, mientras que la población asiática, afroamericana e hispana tienen más probabilidades de tener cáncer distal.</w:t>
      </w:r>
    </w:p>
    <w:p>
      <w:pPr>
        <w:pStyle w:val="BodyText"/>
        <w:spacing w:line="276" w:lineRule="auto" w:before="2"/>
        <w:ind w:left="3829" w:right="1616"/>
      </w:pPr>
      <w:r>
        <w:rPr/>
        <w:t>Helicobacter pylori es el factor de riesgo predominante para el cáncer gástrico.</w:t>
      </w:r>
    </w:p>
    <w:p>
      <w:pPr>
        <w:pStyle w:val="BodyText"/>
        <w:spacing w:line="278" w:lineRule="auto"/>
        <w:ind w:left="3829" w:right="1468"/>
      </w:pPr>
      <w:r>
        <w:rPr/>
        <w:t>Los síntomas del cáncer gástrico no son específicos y pueden simular otras enfermedades gastroduodenales no neoplásicas.</w:t>
      </w:r>
    </w:p>
    <w:p>
      <w:pPr>
        <w:pStyle w:val="BodyText"/>
        <w:spacing w:line="276" w:lineRule="auto" w:before="1"/>
        <w:ind w:left="3829" w:right="1468"/>
      </w:pPr>
      <w:r>
        <w:rPr/>
        <w:t>La resección quirúrgica es el único tratamiento para el Ca gástrico, pero en una etapa avanzada de Ca previene la resección curativa para la mayoría de los pacientes</w:t>
      </w:r>
    </w:p>
    <w:p>
      <w:pPr>
        <w:pStyle w:val="BodyText"/>
        <w:spacing w:before="6"/>
        <w:rPr>
          <w:sz w:val="25"/>
        </w:rPr>
      </w:pPr>
    </w:p>
    <w:p>
      <w:pPr>
        <w:pStyle w:val="BodyText"/>
        <w:ind w:left="3829"/>
      </w:pPr>
      <w:r>
        <w:rPr/>
        <w:t>DESCRIPTORES</w:t>
      </w:r>
    </w:p>
    <w:p>
      <w:pPr>
        <w:pStyle w:val="BodyText"/>
        <w:spacing w:before="38"/>
        <w:ind w:left="3829"/>
      </w:pPr>
      <w:r>
        <w:rPr/>
        <w:t>Adenocarcinoma gástrico, helicobacter pylori, reflujo, cáncer gástrico.</w:t>
      </w:r>
    </w:p>
    <w:p>
      <w:pPr>
        <w:pStyle w:val="BodyText"/>
        <w:spacing w:before="5"/>
        <w:rPr>
          <w:sz w:val="28"/>
        </w:rPr>
      </w:pPr>
    </w:p>
    <w:p>
      <w:pPr>
        <w:pStyle w:val="BodyText"/>
        <w:ind w:left="3829"/>
      </w:pPr>
      <w:r>
        <w:rPr/>
        <w:t>SUMMARY</w:t>
      </w:r>
    </w:p>
    <w:p>
      <w:pPr>
        <w:pStyle w:val="BodyText"/>
        <w:spacing w:line="276" w:lineRule="auto" w:before="38"/>
        <w:ind w:left="3829" w:right="1472"/>
      </w:pPr>
      <w:r>
        <w:rPr/>
        <w:t>Young and white people are more likely to have proximal gastric cancer, while the Asian, African American, and Hispanic population are more likely to have distal cancers.</w:t>
      </w:r>
    </w:p>
    <w:p>
      <w:pPr>
        <w:pStyle w:val="BodyText"/>
        <w:spacing w:line="276" w:lineRule="auto" w:before="1"/>
        <w:ind w:left="3829" w:right="1670"/>
      </w:pPr>
      <w:r>
        <w:rPr/>
        <w:t>Helicobacter pylori is the predominant risk factor for Gastric Cancer. The symptoms of gastric cancer are not specific and can mimic other non-neoplastic gastroduodenal diseases.</w:t>
      </w:r>
    </w:p>
    <w:p>
      <w:pPr>
        <w:pStyle w:val="BodyText"/>
        <w:spacing w:line="276" w:lineRule="auto" w:before="1"/>
        <w:ind w:left="3829" w:right="1820"/>
      </w:pPr>
      <w:r>
        <w:rPr/>
        <w:t>Surgical resection is the only treatment for gastric Ca, but in an advanced stage of Ca prevents curative resection for most patients</w:t>
      </w:r>
    </w:p>
    <w:p>
      <w:pPr>
        <w:pStyle w:val="BodyText"/>
        <w:spacing w:before="2"/>
        <w:rPr>
          <w:sz w:val="25"/>
        </w:rPr>
      </w:pPr>
    </w:p>
    <w:p>
      <w:pPr>
        <w:pStyle w:val="BodyText"/>
        <w:ind w:left="3829"/>
      </w:pPr>
      <w:r>
        <w:rPr/>
        <w:t>KEYWORDS</w:t>
      </w:r>
    </w:p>
    <w:p>
      <w:pPr>
        <w:pStyle w:val="BodyText"/>
        <w:spacing w:before="47"/>
        <w:ind w:left="3829"/>
      </w:pPr>
      <w:r>
        <w:rPr/>
        <w:t>Gastric adenocarcinoma, helicobacter pylori, reflux, gastric cancer.</w:t>
      </w:r>
    </w:p>
    <w:p>
      <w:pPr>
        <w:pStyle w:val="BodyText"/>
        <w:rPr>
          <w:sz w:val="20"/>
        </w:rPr>
      </w:pPr>
    </w:p>
    <w:p>
      <w:pPr>
        <w:spacing w:after="0"/>
        <w:rPr>
          <w:sz w:val="20"/>
        </w:rPr>
        <w:sectPr>
          <w:headerReference w:type="default" r:id="rId52"/>
          <w:footerReference w:type="default" r:id="rId53"/>
          <w:footerReference w:type="even" r:id="rId54"/>
          <w:pgSz w:w="12240" w:h="15840"/>
          <w:pgMar w:header="0" w:footer="882" w:top="1360" w:bottom="1080" w:left="0" w:right="0"/>
          <w:pgNumType w:start="13"/>
        </w:sectPr>
      </w:pPr>
    </w:p>
    <w:p>
      <w:pPr>
        <w:pStyle w:val="Heading4"/>
        <w:spacing w:before="227"/>
      </w:pPr>
      <w:r>
        <w:rPr/>
        <w:t>EPIDEMIOLOGIA</w:t>
      </w:r>
    </w:p>
    <w:p>
      <w:pPr>
        <w:pStyle w:val="BodyText"/>
        <w:spacing w:before="5"/>
        <w:rPr>
          <w:b/>
          <w:sz w:val="21"/>
        </w:rPr>
      </w:pPr>
    </w:p>
    <w:p>
      <w:pPr>
        <w:pStyle w:val="BodyText"/>
        <w:spacing w:line="276" w:lineRule="auto"/>
        <w:ind w:left="1440"/>
        <w:jc w:val="both"/>
      </w:pPr>
      <w:r>
        <w:rPr/>
        <w:t>La incidencia de cáncer (ca) gástrico se mantiene estable durante la última década. Se ha observado un aumento de cánceres gástricos proximales. Los adultos jóvenes y blancos tienen mayor probabilidad de presentar cáncer gástrico proximal.</w:t>
      </w:r>
    </w:p>
    <w:p>
      <w:pPr>
        <w:pStyle w:val="BodyText"/>
        <w:spacing w:line="276" w:lineRule="auto" w:before="201"/>
        <w:ind w:left="1440"/>
        <w:jc w:val="both"/>
      </w:pPr>
      <w:r>
        <w:rPr/>
        <w:t>No se conocen del todo las razones de la disminución en la incidencia de cáncer</w:t>
      </w:r>
    </w:p>
    <w:p>
      <w:pPr>
        <w:pStyle w:val="BodyText"/>
        <w:spacing w:before="11"/>
        <w:rPr>
          <w:sz w:val="19"/>
        </w:rPr>
      </w:pPr>
      <w:r>
        <w:rPr/>
        <w:br w:type="column"/>
      </w:r>
      <w:r>
        <w:rPr>
          <w:sz w:val="19"/>
        </w:rPr>
      </w:r>
    </w:p>
    <w:p>
      <w:pPr>
        <w:pStyle w:val="BodyText"/>
        <w:spacing w:line="276" w:lineRule="auto"/>
        <w:ind w:left="681" w:right="1438"/>
        <w:jc w:val="both"/>
      </w:pPr>
      <w:r>
        <w:rPr/>
        <w:t>gástrico en la década de 1930 (aunque algunos atribuyen la disminución de la incidencia de la introducción de la refrigeración y al consumo de frutas y hortalizas frescas).</w:t>
      </w:r>
    </w:p>
    <w:p>
      <w:pPr>
        <w:pStyle w:val="Heading4"/>
        <w:spacing w:before="199"/>
        <w:ind w:left="681"/>
      </w:pPr>
      <w:r>
        <w:rPr/>
        <w:t>FACTORES DE RIESGO</w:t>
      </w:r>
    </w:p>
    <w:p>
      <w:pPr>
        <w:pStyle w:val="BodyText"/>
        <w:rPr>
          <w:b/>
          <w:sz w:val="21"/>
        </w:rPr>
      </w:pPr>
    </w:p>
    <w:p>
      <w:pPr>
        <w:pStyle w:val="Heading6"/>
        <w:spacing w:before="1"/>
        <w:ind w:left="681"/>
        <w:rPr>
          <w:i/>
        </w:rPr>
      </w:pPr>
      <w:r>
        <w:rPr>
          <w:i/>
        </w:rPr>
        <w:t>Carcinógenos ambientales</w:t>
      </w:r>
    </w:p>
    <w:p>
      <w:pPr>
        <w:pStyle w:val="BodyText"/>
        <w:spacing w:before="10"/>
        <w:rPr>
          <w:b/>
          <w:i/>
          <w:sz w:val="20"/>
        </w:rPr>
      </w:pPr>
    </w:p>
    <w:p>
      <w:pPr>
        <w:pStyle w:val="ListParagraph"/>
        <w:numPr>
          <w:ilvl w:val="0"/>
          <w:numId w:val="8"/>
        </w:numPr>
        <w:tabs>
          <w:tab w:pos="1401" w:val="left" w:leader="none"/>
          <w:tab w:pos="1402" w:val="left" w:leader="none"/>
        </w:tabs>
        <w:spacing w:line="268" w:lineRule="auto" w:before="0" w:after="0"/>
        <w:ind w:left="1401" w:right="1645" w:hanging="360"/>
        <w:jc w:val="left"/>
        <w:rPr>
          <w:sz w:val="22"/>
        </w:rPr>
      </w:pPr>
      <w:r>
        <w:rPr>
          <w:sz w:val="22"/>
        </w:rPr>
        <w:t>alta ingesta de sal en alimentos en conserva</w:t>
      </w:r>
      <w:r>
        <w:rPr>
          <w:spacing w:val="-1"/>
          <w:sz w:val="22"/>
        </w:rPr>
        <w:t> </w:t>
      </w:r>
      <w:r>
        <w:rPr>
          <w:sz w:val="22"/>
        </w:rPr>
        <w:t>(nitritos).</w:t>
      </w:r>
    </w:p>
    <w:p>
      <w:pPr>
        <w:spacing w:after="0" w:line="268" w:lineRule="auto"/>
        <w:jc w:val="left"/>
        <w:rPr>
          <w:sz w:val="22"/>
        </w:rPr>
        <w:sectPr>
          <w:type w:val="continuous"/>
          <w:pgSz w:w="12240" w:h="15840"/>
          <w:pgMar w:top="1500" w:bottom="0" w:left="0" w:right="0"/>
          <w:cols w:num="2" w:equalWidth="0">
            <w:col w:w="5761" w:space="40"/>
            <w:col w:w="6439"/>
          </w:cols>
        </w:sectPr>
      </w:pPr>
    </w:p>
    <w:p>
      <w:pPr>
        <w:pStyle w:val="BodyText"/>
        <w:rPr>
          <w:sz w:val="20"/>
        </w:rPr>
      </w:pPr>
    </w:p>
    <w:p>
      <w:pPr>
        <w:spacing w:after="0"/>
        <w:rPr>
          <w:sz w:val="20"/>
        </w:rPr>
        <w:sectPr>
          <w:headerReference w:type="even" r:id="rId57"/>
          <w:headerReference w:type="default" r:id="rId58"/>
          <w:pgSz w:w="12240" w:h="15840"/>
          <w:pgMar w:header="723" w:footer="872" w:top="940" w:bottom="1060" w:left="0" w:right="0"/>
        </w:sectPr>
      </w:pPr>
    </w:p>
    <w:p>
      <w:pPr>
        <w:pStyle w:val="BodyText"/>
        <w:spacing w:before="10"/>
      </w:pPr>
    </w:p>
    <w:p>
      <w:pPr>
        <w:pStyle w:val="ListParagraph"/>
        <w:numPr>
          <w:ilvl w:val="1"/>
          <w:numId w:val="8"/>
        </w:numPr>
        <w:tabs>
          <w:tab w:pos="2160" w:val="left" w:leader="none"/>
          <w:tab w:pos="2161" w:val="left" w:leader="none"/>
        </w:tabs>
        <w:spacing w:line="268" w:lineRule="auto" w:before="0" w:after="0"/>
        <w:ind w:left="2160" w:right="406" w:hanging="360"/>
        <w:jc w:val="left"/>
        <w:rPr>
          <w:rFonts w:ascii="Symbol"/>
          <w:sz w:val="22"/>
        </w:rPr>
      </w:pPr>
      <w:r>
        <w:rPr>
          <w:sz w:val="22"/>
        </w:rPr>
        <w:t>baja ingesta de frutas y verduras frescas.</w:t>
      </w:r>
    </w:p>
    <w:p>
      <w:pPr>
        <w:pStyle w:val="ListParagraph"/>
        <w:numPr>
          <w:ilvl w:val="1"/>
          <w:numId w:val="8"/>
        </w:numPr>
        <w:tabs>
          <w:tab w:pos="2160" w:val="left" w:leader="none"/>
          <w:tab w:pos="2161" w:val="left" w:leader="none"/>
        </w:tabs>
        <w:spacing w:line="273" w:lineRule="auto" w:before="11" w:after="0"/>
        <w:ind w:left="2160" w:right="180" w:hanging="360"/>
        <w:jc w:val="left"/>
        <w:rPr>
          <w:rFonts w:ascii="Symbol" w:hAnsi="Symbol"/>
          <w:sz w:val="22"/>
        </w:rPr>
      </w:pPr>
      <w:r>
        <w:rPr>
          <w:sz w:val="22"/>
        </w:rPr>
        <w:t>migración de una zona de alto riesgo a uno de bajo riesgo se asocia con una menor</w:t>
      </w:r>
      <w:r>
        <w:rPr>
          <w:spacing w:val="-19"/>
          <w:sz w:val="22"/>
        </w:rPr>
        <w:t> </w:t>
      </w:r>
      <w:r>
        <w:rPr>
          <w:sz w:val="22"/>
        </w:rPr>
        <w:t>probabilidad de desarrollar cáncer</w:t>
      </w:r>
      <w:r>
        <w:rPr>
          <w:spacing w:val="-6"/>
          <w:sz w:val="22"/>
        </w:rPr>
        <w:t> </w:t>
      </w:r>
      <w:r>
        <w:rPr>
          <w:sz w:val="22"/>
        </w:rPr>
        <w:t>gástrico</w:t>
      </w:r>
    </w:p>
    <w:p>
      <w:pPr>
        <w:pStyle w:val="Heading6"/>
        <w:spacing w:before="204"/>
        <w:rPr>
          <w:i/>
        </w:rPr>
      </w:pPr>
      <w:r>
        <w:rPr>
          <w:i/>
        </w:rPr>
        <w:t>Lesiones pre malignas</w:t>
      </w:r>
    </w:p>
    <w:p>
      <w:pPr>
        <w:pStyle w:val="BodyText"/>
        <w:spacing w:before="8"/>
        <w:rPr>
          <w:b/>
          <w:i/>
          <w:sz w:val="20"/>
        </w:rPr>
      </w:pPr>
    </w:p>
    <w:p>
      <w:pPr>
        <w:pStyle w:val="BodyText"/>
        <w:ind w:left="1440"/>
      </w:pPr>
      <w:r>
        <w:rPr>
          <w:u w:val="single"/>
        </w:rPr>
        <w:t>Pólipos adenomatosos</w:t>
      </w:r>
    </w:p>
    <w:p>
      <w:pPr>
        <w:pStyle w:val="BodyText"/>
        <w:spacing w:before="5"/>
        <w:rPr>
          <w:sz w:val="20"/>
        </w:rPr>
      </w:pPr>
    </w:p>
    <w:p>
      <w:pPr>
        <w:pStyle w:val="ListParagraph"/>
        <w:numPr>
          <w:ilvl w:val="1"/>
          <w:numId w:val="8"/>
        </w:numPr>
        <w:tabs>
          <w:tab w:pos="2161" w:val="left" w:leader="none"/>
        </w:tabs>
        <w:spacing w:line="273" w:lineRule="auto" w:before="1" w:after="0"/>
        <w:ind w:left="2160" w:right="1" w:hanging="360"/>
        <w:jc w:val="both"/>
        <w:rPr>
          <w:rFonts w:ascii="Symbol" w:hAnsi="Symbol"/>
          <w:sz w:val="22"/>
        </w:rPr>
      </w:pPr>
      <w:r>
        <w:rPr>
          <w:sz w:val="22"/>
        </w:rPr>
        <w:t>El riesgo de desarrollar carcinoma se estima entre el 10% y el 20%, los pólipos mayores de 2 cm de diámetro tienen un mayor</w:t>
      </w:r>
      <w:r>
        <w:rPr>
          <w:spacing w:val="-11"/>
          <w:sz w:val="22"/>
        </w:rPr>
        <w:t> </w:t>
      </w:r>
      <w:r>
        <w:rPr>
          <w:sz w:val="22"/>
        </w:rPr>
        <w:t>riesgo</w:t>
      </w:r>
    </w:p>
    <w:p>
      <w:pPr>
        <w:pStyle w:val="ListParagraph"/>
        <w:numPr>
          <w:ilvl w:val="1"/>
          <w:numId w:val="8"/>
        </w:numPr>
        <w:tabs>
          <w:tab w:pos="2160" w:val="left" w:leader="none"/>
          <w:tab w:pos="2161" w:val="left" w:leader="none"/>
        </w:tabs>
        <w:spacing w:line="268" w:lineRule="auto" w:before="6" w:after="0"/>
        <w:ind w:left="2160" w:right="5" w:hanging="360"/>
        <w:jc w:val="left"/>
        <w:rPr>
          <w:rFonts w:ascii="Symbol" w:hAnsi="Symbol"/>
          <w:sz w:val="22"/>
        </w:rPr>
      </w:pPr>
      <w:r>
        <w:rPr>
          <w:sz w:val="22"/>
        </w:rPr>
        <w:t>Los pólipos adenomatosos múltiples aumentan el riesgo de</w:t>
      </w:r>
      <w:r>
        <w:rPr>
          <w:spacing w:val="-11"/>
          <w:sz w:val="22"/>
        </w:rPr>
        <w:t> </w:t>
      </w:r>
      <w:r>
        <w:rPr>
          <w:sz w:val="22"/>
        </w:rPr>
        <w:t>cáncer.</w:t>
      </w:r>
    </w:p>
    <w:p>
      <w:pPr>
        <w:pStyle w:val="ListParagraph"/>
        <w:numPr>
          <w:ilvl w:val="1"/>
          <w:numId w:val="8"/>
        </w:numPr>
        <w:tabs>
          <w:tab w:pos="2161" w:val="left" w:leader="none"/>
        </w:tabs>
        <w:spacing w:line="273" w:lineRule="auto" w:before="11" w:after="0"/>
        <w:ind w:left="2160" w:right="0" w:hanging="360"/>
        <w:jc w:val="both"/>
        <w:rPr>
          <w:rFonts w:ascii="Symbol" w:hAnsi="Symbol"/>
          <w:sz w:val="22"/>
        </w:rPr>
      </w:pPr>
      <w:r>
        <w:rPr>
          <w:sz w:val="22"/>
        </w:rPr>
        <w:t>Un pólipo adenomatoso es un marcador de riesgo para desarrollar un cáncer en otros sitios de </w:t>
      </w:r>
      <w:r>
        <w:rPr>
          <w:spacing w:val="-3"/>
          <w:sz w:val="22"/>
        </w:rPr>
        <w:t>la </w:t>
      </w:r>
      <w:r>
        <w:rPr>
          <w:sz w:val="22"/>
        </w:rPr>
        <w:t>mucosa</w:t>
      </w:r>
      <w:r>
        <w:rPr>
          <w:spacing w:val="-5"/>
          <w:sz w:val="22"/>
        </w:rPr>
        <w:t> </w:t>
      </w:r>
      <w:r>
        <w:rPr>
          <w:sz w:val="22"/>
        </w:rPr>
        <w:t>gástrica</w:t>
      </w:r>
    </w:p>
    <w:p>
      <w:pPr>
        <w:pStyle w:val="Heading6"/>
        <w:spacing w:before="204"/>
        <w:rPr>
          <w:i/>
        </w:rPr>
      </w:pPr>
      <w:r>
        <w:rPr>
          <w:i/>
        </w:rPr>
        <w:t>Gastritis</w:t>
      </w:r>
    </w:p>
    <w:p>
      <w:pPr>
        <w:pStyle w:val="BodyText"/>
        <w:spacing w:before="4"/>
        <w:rPr>
          <w:b/>
          <w:i/>
          <w:sz w:val="20"/>
        </w:rPr>
      </w:pPr>
    </w:p>
    <w:p>
      <w:pPr>
        <w:pStyle w:val="BodyText"/>
        <w:spacing w:line="276" w:lineRule="auto"/>
        <w:ind w:left="1440" w:right="1"/>
        <w:jc w:val="both"/>
      </w:pPr>
      <w:r>
        <w:rPr/>
        <w:t>La incidencia de cáncer gástrico y gastritis atrófica aumenta con la edad. La gastritis crónica se asocia con la metaplasia intestinal y displasia de la mucosa. Estas características histológicas se observan a menudo en la mucosa adyacente al cáncer gástrico.</w:t>
      </w:r>
    </w:p>
    <w:p>
      <w:pPr>
        <w:pStyle w:val="BodyText"/>
        <w:spacing w:before="202"/>
        <w:ind w:left="1440"/>
      </w:pPr>
      <w:r>
        <w:rPr>
          <w:u w:val="single"/>
        </w:rPr>
        <w:t>Gastritis más anemia perniciosa</w:t>
      </w:r>
    </w:p>
    <w:p>
      <w:pPr>
        <w:pStyle w:val="BodyText"/>
        <w:spacing w:before="5"/>
        <w:rPr>
          <w:sz w:val="20"/>
        </w:rPr>
      </w:pPr>
    </w:p>
    <w:p>
      <w:pPr>
        <w:pStyle w:val="BodyText"/>
        <w:spacing w:line="276" w:lineRule="auto"/>
        <w:ind w:left="1440" w:right="1"/>
        <w:jc w:val="both"/>
      </w:pPr>
      <w:r>
        <w:rPr/>
        <w:t>La anemia perniciosa está presente en el 3% de las personas mayores de 60 años. Se caracteriza</w:t>
      </w:r>
      <w:r>
        <w:rPr>
          <w:spacing w:val="-1"/>
        </w:rPr>
        <w:t> </w:t>
      </w:r>
      <w:r>
        <w:rPr/>
        <w:t>por:</w:t>
      </w:r>
    </w:p>
    <w:p>
      <w:pPr>
        <w:pStyle w:val="ListParagraph"/>
        <w:numPr>
          <w:ilvl w:val="1"/>
          <w:numId w:val="8"/>
        </w:numPr>
        <w:tabs>
          <w:tab w:pos="2160" w:val="left" w:leader="none"/>
          <w:tab w:pos="2161" w:val="left" w:leader="none"/>
        </w:tabs>
        <w:spacing w:line="240" w:lineRule="auto" w:before="198" w:after="0"/>
        <w:ind w:left="2160" w:right="0" w:hanging="360"/>
        <w:jc w:val="left"/>
        <w:rPr>
          <w:rFonts w:ascii="Symbol"/>
          <w:sz w:val="22"/>
        </w:rPr>
      </w:pPr>
      <w:r>
        <w:rPr>
          <w:sz w:val="22"/>
        </w:rPr>
        <w:t>Atrofia de </w:t>
      </w:r>
      <w:r>
        <w:rPr>
          <w:spacing w:val="-3"/>
          <w:sz w:val="22"/>
        </w:rPr>
        <w:t>la</w:t>
      </w:r>
      <w:r>
        <w:rPr>
          <w:spacing w:val="2"/>
          <w:sz w:val="22"/>
        </w:rPr>
        <w:t> </w:t>
      </w:r>
      <w:r>
        <w:rPr>
          <w:sz w:val="22"/>
        </w:rPr>
        <w:t>mucosa</w:t>
      </w:r>
    </w:p>
    <w:p>
      <w:pPr>
        <w:pStyle w:val="ListParagraph"/>
        <w:numPr>
          <w:ilvl w:val="1"/>
          <w:numId w:val="8"/>
        </w:numPr>
        <w:tabs>
          <w:tab w:pos="2160" w:val="left" w:leader="none"/>
          <w:tab w:pos="2161" w:val="left" w:leader="none"/>
          <w:tab w:pos="3131" w:val="left" w:leader="none"/>
          <w:tab w:pos="3586" w:val="left" w:leader="none"/>
          <w:tab w:pos="4481" w:val="left" w:leader="none"/>
          <w:tab w:pos="5644" w:val="left" w:leader="none"/>
        </w:tabs>
        <w:spacing w:line="268" w:lineRule="auto" w:before="37" w:after="0"/>
        <w:ind w:left="2160" w:right="5" w:hanging="360"/>
        <w:jc w:val="left"/>
        <w:rPr>
          <w:rFonts w:ascii="Symbol" w:hAnsi="Symbol"/>
          <w:sz w:val="22"/>
        </w:rPr>
      </w:pPr>
      <w:r>
        <w:rPr>
          <w:sz w:val="22"/>
        </w:rPr>
        <w:t>Pérdida</w:t>
        <w:tab/>
        <w:t>de</w:t>
        <w:tab/>
        <w:t>células</w:t>
        <w:tab/>
        <w:t>parietales</w:t>
        <w:tab/>
        <w:t>y principales</w:t>
      </w:r>
    </w:p>
    <w:p>
      <w:pPr>
        <w:pStyle w:val="ListParagraph"/>
        <w:numPr>
          <w:ilvl w:val="1"/>
          <w:numId w:val="8"/>
        </w:numPr>
        <w:tabs>
          <w:tab w:pos="2160" w:val="left" w:leader="none"/>
          <w:tab w:pos="2161" w:val="left" w:leader="none"/>
        </w:tabs>
        <w:spacing w:line="240" w:lineRule="auto" w:before="10" w:after="0"/>
        <w:ind w:left="2160" w:right="0" w:hanging="360"/>
        <w:jc w:val="left"/>
        <w:rPr>
          <w:rFonts w:ascii="Symbol"/>
          <w:sz w:val="22"/>
        </w:rPr>
      </w:pPr>
      <w:r>
        <w:rPr>
          <w:sz w:val="22"/>
        </w:rPr>
        <w:t>Hipoclorhidria e</w:t>
      </w:r>
      <w:r>
        <w:rPr>
          <w:spacing w:val="-5"/>
          <w:sz w:val="22"/>
        </w:rPr>
        <w:t> </w:t>
      </w:r>
      <w:r>
        <w:rPr>
          <w:sz w:val="22"/>
        </w:rPr>
        <w:t>hipergastrinemia</w:t>
      </w:r>
    </w:p>
    <w:p>
      <w:pPr>
        <w:pStyle w:val="BodyText"/>
        <w:spacing w:before="6"/>
        <w:rPr>
          <w:sz w:val="20"/>
        </w:rPr>
      </w:pPr>
    </w:p>
    <w:p>
      <w:pPr>
        <w:pStyle w:val="BodyText"/>
        <w:spacing w:line="276" w:lineRule="auto" w:before="1"/>
        <w:ind w:left="1440" w:right="2"/>
        <w:jc w:val="both"/>
      </w:pPr>
      <w:r>
        <w:rPr/>
        <w:t>Las personas con anemia perniciosa con más de 5 años de evolución, tienen el doble riesgo de padecer cáncer gástrico.</w:t>
      </w:r>
    </w:p>
    <w:p>
      <w:pPr>
        <w:pStyle w:val="BodyText"/>
        <w:spacing w:before="8"/>
      </w:pPr>
      <w:r>
        <w:rPr/>
        <w:br w:type="column"/>
      </w:r>
      <w:r>
        <w:rPr/>
      </w:r>
    </w:p>
    <w:p>
      <w:pPr>
        <w:pStyle w:val="BodyText"/>
        <w:spacing w:line="276" w:lineRule="auto"/>
        <w:ind w:left="679" w:right="1432"/>
        <w:jc w:val="both"/>
      </w:pPr>
      <w:r>
        <w:rPr/>
        <w:t>La evidencia indica un mayor riesgo de Ca gástrico en pacientes con anemia perniciosa, pero el riesgo no es lo suficientemente alto como para justificar vigilancia endoscópica periódica.</w:t>
      </w:r>
    </w:p>
    <w:p>
      <w:pPr>
        <w:pStyle w:val="BodyText"/>
        <w:spacing w:before="202"/>
        <w:ind w:left="679"/>
        <w:jc w:val="both"/>
      </w:pPr>
      <w:r>
        <w:rPr>
          <w:u w:val="single"/>
        </w:rPr>
        <w:t>Metaplasia intestinal</w:t>
      </w:r>
    </w:p>
    <w:p>
      <w:pPr>
        <w:pStyle w:val="BodyText"/>
        <w:spacing w:before="4"/>
        <w:rPr>
          <w:sz w:val="20"/>
        </w:rPr>
      </w:pPr>
    </w:p>
    <w:p>
      <w:pPr>
        <w:pStyle w:val="BodyText"/>
        <w:spacing w:line="276" w:lineRule="auto" w:before="1"/>
        <w:ind w:left="679" w:right="1436"/>
        <w:jc w:val="both"/>
      </w:pPr>
      <w:r>
        <w:rPr/>
        <w:t>La presencia de glándulas intestinales dentro de </w:t>
      </w:r>
      <w:r>
        <w:rPr>
          <w:spacing w:val="-3"/>
        </w:rPr>
        <w:t>la </w:t>
      </w:r>
      <w:r>
        <w:rPr/>
        <w:t>mucosa gástrica, también se asocia comúnmente con gastritis y cáncer gástrico, pero NO hay evidencia directa para </w:t>
      </w:r>
      <w:r>
        <w:rPr>
          <w:spacing w:val="-3"/>
        </w:rPr>
        <w:t>la </w:t>
      </w:r>
      <w:r>
        <w:rPr/>
        <w:t>progresión de metaplasia intestinal a Ca</w:t>
      </w:r>
      <w:r>
        <w:rPr>
          <w:spacing w:val="-1"/>
        </w:rPr>
        <w:t> </w:t>
      </w:r>
      <w:r>
        <w:rPr/>
        <w:t>gástrico.</w:t>
      </w:r>
    </w:p>
    <w:p>
      <w:pPr>
        <w:pStyle w:val="Heading6"/>
        <w:spacing w:before="202"/>
        <w:ind w:left="679"/>
        <w:jc w:val="both"/>
        <w:rPr>
          <w:i/>
        </w:rPr>
      </w:pPr>
      <w:r>
        <w:rPr>
          <w:i/>
        </w:rPr>
        <w:t>Helicobacter pylori</w:t>
      </w:r>
    </w:p>
    <w:p>
      <w:pPr>
        <w:pStyle w:val="BodyText"/>
        <w:spacing w:before="9"/>
        <w:rPr>
          <w:b/>
          <w:i/>
          <w:sz w:val="20"/>
        </w:rPr>
      </w:pPr>
    </w:p>
    <w:p>
      <w:pPr>
        <w:pStyle w:val="BodyText"/>
        <w:spacing w:line="276" w:lineRule="auto"/>
        <w:ind w:left="679" w:right="1437"/>
        <w:jc w:val="both"/>
      </w:pPr>
      <w:r>
        <w:rPr/>
        <w:t>El Helicobacter pylori es el factor de riesgo predominante para el Ca gastrico. La seropositividad para H. pylori aumenta el riesgo de cáncer en aproximadamente tres veces en Estados Unidos.</w:t>
      </w:r>
    </w:p>
    <w:p>
      <w:pPr>
        <w:pStyle w:val="BodyText"/>
        <w:spacing w:line="276" w:lineRule="auto" w:before="202"/>
        <w:ind w:left="679" w:right="1439"/>
        <w:jc w:val="both"/>
      </w:pPr>
      <w:r>
        <w:rPr/>
        <w:t>La infección con H. pylori se asocia con un mayor riesgo de adenocarcinoma con los dos principales tipos histológicos y de los tumores del cuerpo o antro del estómago.</w:t>
      </w:r>
    </w:p>
    <w:p>
      <w:pPr>
        <w:pStyle w:val="BodyText"/>
        <w:spacing w:line="276" w:lineRule="auto" w:before="203"/>
        <w:ind w:left="679" w:right="1436"/>
        <w:jc w:val="both"/>
      </w:pPr>
      <w:r>
        <w:rPr/>
        <w:t>Por el contrario, la infección por H. pylori no es un factor de riesgo para los cánceres de la unión gastroesofágica, que frecuentemente se asocian con anormalidades de la mucosa del esófago de Barrett y que parecen seguir el patrón de desarrollo de la metaplasia a la displasia al carcinoma.</w:t>
      </w:r>
    </w:p>
    <w:p>
      <w:pPr>
        <w:pStyle w:val="BodyText"/>
        <w:spacing w:line="276" w:lineRule="auto" w:before="202"/>
        <w:ind w:left="679" w:right="1433"/>
        <w:jc w:val="both"/>
      </w:pPr>
      <w:r>
        <w:rPr/>
        <w:t>El supuesto mecanismo de carcinogénesis relacionado con </w:t>
      </w:r>
      <w:r>
        <w:rPr>
          <w:spacing w:val="-3"/>
        </w:rPr>
        <w:t>la </w:t>
      </w:r>
      <w:r>
        <w:rPr/>
        <w:t>infección por H. pylori se debe a </w:t>
      </w:r>
      <w:r>
        <w:rPr>
          <w:spacing w:val="-3"/>
        </w:rPr>
        <w:t>la </w:t>
      </w:r>
      <w:r>
        <w:rPr/>
        <w:t>conocida asociación entre </w:t>
      </w:r>
      <w:r>
        <w:rPr>
          <w:spacing w:val="-3"/>
        </w:rPr>
        <w:t>la </w:t>
      </w:r>
      <w:r>
        <w:rPr/>
        <w:t>gastritis atrófica crónica y </w:t>
      </w:r>
      <w:r>
        <w:rPr>
          <w:spacing w:val="-3"/>
        </w:rPr>
        <w:t>la </w:t>
      </w:r>
      <w:r>
        <w:rPr/>
        <w:t>inflamación, y el posterior desarrollo de adenocarcinoma gástrico. A pesar de esta conocida asociación, H. pylori no puede explicar únicamente </w:t>
      </w:r>
      <w:r>
        <w:rPr>
          <w:spacing w:val="-3"/>
        </w:rPr>
        <w:t>la </w:t>
      </w:r>
      <w:r>
        <w:rPr/>
        <w:t>carcinogénesis</w:t>
      </w:r>
      <w:r>
        <w:rPr>
          <w:spacing w:val="-1"/>
        </w:rPr>
        <w:t> </w:t>
      </w:r>
      <w:r>
        <w:rPr/>
        <w:t>gástrica.</w:t>
      </w:r>
    </w:p>
    <w:p>
      <w:pPr>
        <w:pStyle w:val="BodyText"/>
        <w:spacing w:before="201"/>
        <w:ind w:left="679"/>
        <w:jc w:val="both"/>
      </w:pPr>
      <w:r>
        <w:rPr/>
        <w:t>Fenotipos de la infección de H. pylori:</w:t>
      </w:r>
    </w:p>
    <w:p>
      <w:pPr>
        <w:spacing w:after="0"/>
        <w:jc w:val="both"/>
        <w:sectPr>
          <w:type w:val="continuous"/>
          <w:pgSz w:w="12240" w:h="15840"/>
          <w:pgMar w:top="1500" w:bottom="0" w:left="0" w:right="0"/>
          <w:cols w:num="2" w:equalWidth="0">
            <w:col w:w="5763" w:space="40"/>
            <w:col w:w="6437"/>
          </w:cols>
        </w:sectPr>
      </w:pPr>
    </w:p>
    <w:p>
      <w:pPr>
        <w:pStyle w:val="BodyText"/>
        <w:rPr>
          <w:sz w:val="20"/>
        </w:rPr>
      </w:pPr>
    </w:p>
    <w:p>
      <w:pPr>
        <w:spacing w:after="0"/>
        <w:rPr>
          <w:sz w:val="20"/>
        </w:rPr>
        <w:sectPr>
          <w:pgSz w:w="12240" w:h="15840"/>
          <w:pgMar w:header="723" w:footer="882" w:top="940" w:bottom="1080" w:left="0" w:right="0"/>
        </w:sectPr>
      </w:pPr>
    </w:p>
    <w:p>
      <w:pPr>
        <w:pStyle w:val="BodyText"/>
        <w:spacing w:before="10"/>
      </w:pPr>
    </w:p>
    <w:p>
      <w:pPr>
        <w:pStyle w:val="ListParagraph"/>
        <w:numPr>
          <w:ilvl w:val="1"/>
          <w:numId w:val="8"/>
        </w:numPr>
        <w:tabs>
          <w:tab w:pos="2160" w:val="left" w:leader="none"/>
          <w:tab w:pos="2161" w:val="left" w:leader="none"/>
        </w:tabs>
        <w:spacing w:line="240" w:lineRule="auto" w:before="0" w:after="0"/>
        <w:ind w:left="2160" w:right="0" w:hanging="360"/>
        <w:jc w:val="left"/>
        <w:rPr>
          <w:rFonts w:ascii="Symbol" w:hAnsi="Symbol"/>
          <w:sz w:val="22"/>
        </w:rPr>
      </w:pPr>
      <w:r>
        <w:rPr>
          <w:sz w:val="22"/>
        </w:rPr>
        <w:t>Cáncer</w:t>
      </w:r>
      <w:r>
        <w:rPr>
          <w:spacing w:val="-4"/>
          <w:sz w:val="22"/>
        </w:rPr>
        <w:t> </w:t>
      </w:r>
      <w:r>
        <w:rPr>
          <w:sz w:val="22"/>
        </w:rPr>
        <w:t>gástrico</w:t>
      </w:r>
    </w:p>
    <w:p>
      <w:pPr>
        <w:pStyle w:val="ListParagraph"/>
        <w:numPr>
          <w:ilvl w:val="1"/>
          <w:numId w:val="9"/>
        </w:numPr>
        <w:tabs>
          <w:tab w:pos="2881" w:val="left" w:leader="none"/>
        </w:tabs>
        <w:spacing w:line="240" w:lineRule="auto" w:before="33" w:after="0"/>
        <w:ind w:left="2881" w:right="0" w:hanging="360"/>
        <w:jc w:val="left"/>
        <w:rPr>
          <w:sz w:val="22"/>
        </w:rPr>
      </w:pPr>
      <w:r>
        <w:rPr>
          <w:sz w:val="22"/>
        </w:rPr>
        <w:t>1% de los</w:t>
      </w:r>
      <w:r>
        <w:rPr>
          <w:spacing w:val="-2"/>
          <w:sz w:val="22"/>
        </w:rPr>
        <w:t> </w:t>
      </w:r>
      <w:r>
        <w:rPr>
          <w:sz w:val="22"/>
        </w:rPr>
        <w:t>infectados</w:t>
      </w:r>
    </w:p>
    <w:p>
      <w:pPr>
        <w:pStyle w:val="ListParagraph"/>
        <w:numPr>
          <w:ilvl w:val="1"/>
          <w:numId w:val="9"/>
        </w:numPr>
        <w:tabs>
          <w:tab w:pos="2881" w:val="left" w:leader="none"/>
        </w:tabs>
        <w:spacing w:line="276" w:lineRule="auto" w:before="39" w:after="0"/>
        <w:ind w:left="2881" w:right="0" w:hanging="360"/>
        <w:jc w:val="both"/>
        <w:rPr>
          <w:sz w:val="22"/>
        </w:rPr>
      </w:pPr>
      <w:r>
        <w:rPr>
          <w:sz w:val="22"/>
        </w:rPr>
        <w:t>Gastritis predominante en el cuerpo, gastritis atrófica multifocal.</w:t>
      </w:r>
    </w:p>
    <w:p>
      <w:pPr>
        <w:pStyle w:val="ListParagraph"/>
        <w:numPr>
          <w:ilvl w:val="1"/>
          <w:numId w:val="9"/>
        </w:numPr>
        <w:tabs>
          <w:tab w:pos="2881" w:val="left" w:leader="none"/>
        </w:tabs>
        <w:spacing w:line="276" w:lineRule="auto" w:before="0" w:after="0"/>
        <w:ind w:left="2881" w:right="1" w:hanging="360"/>
        <w:jc w:val="both"/>
        <w:rPr>
          <w:sz w:val="22"/>
        </w:rPr>
      </w:pPr>
      <w:r>
        <w:rPr>
          <w:sz w:val="22"/>
        </w:rPr>
        <w:t>Altos niveles de gastrina, hipoclorhidria / aclorhidria, y baja relación pepsinógeno I / </w:t>
      </w:r>
      <w:r>
        <w:rPr>
          <w:spacing w:val="-2"/>
          <w:sz w:val="22"/>
        </w:rPr>
        <w:t>II.</w:t>
      </w:r>
    </w:p>
    <w:p>
      <w:pPr>
        <w:pStyle w:val="BodyText"/>
        <w:spacing w:before="5"/>
        <w:rPr>
          <w:sz w:val="25"/>
        </w:rPr>
      </w:pPr>
    </w:p>
    <w:p>
      <w:pPr>
        <w:pStyle w:val="ListParagraph"/>
        <w:numPr>
          <w:ilvl w:val="1"/>
          <w:numId w:val="8"/>
        </w:numPr>
        <w:tabs>
          <w:tab w:pos="2160" w:val="left" w:leader="none"/>
          <w:tab w:pos="2161" w:val="left" w:leader="none"/>
        </w:tabs>
        <w:spacing w:line="240" w:lineRule="auto" w:before="0" w:after="0"/>
        <w:ind w:left="2160" w:right="0" w:hanging="360"/>
        <w:jc w:val="left"/>
        <w:rPr>
          <w:rFonts w:ascii="Symbol"/>
          <w:sz w:val="22"/>
        </w:rPr>
      </w:pPr>
      <w:r>
        <w:rPr>
          <w:sz w:val="22"/>
        </w:rPr>
        <w:t>Gastritis</w:t>
      </w:r>
      <w:r>
        <w:rPr>
          <w:spacing w:val="-1"/>
          <w:sz w:val="22"/>
        </w:rPr>
        <w:t> </w:t>
      </w:r>
      <w:r>
        <w:rPr>
          <w:sz w:val="22"/>
        </w:rPr>
        <w:t>simple</w:t>
      </w:r>
    </w:p>
    <w:p>
      <w:pPr>
        <w:pStyle w:val="ListParagraph"/>
        <w:numPr>
          <w:ilvl w:val="0"/>
          <w:numId w:val="16"/>
        </w:numPr>
        <w:tabs>
          <w:tab w:pos="2521" w:val="left" w:leader="none"/>
        </w:tabs>
        <w:spacing w:line="240" w:lineRule="auto" w:before="33" w:after="0"/>
        <w:ind w:left="2521" w:right="0" w:hanging="361"/>
        <w:jc w:val="left"/>
        <w:rPr>
          <w:sz w:val="22"/>
        </w:rPr>
      </w:pPr>
      <w:r>
        <w:rPr>
          <w:sz w:val="22"/>
        </w:rPr>
        <w:t>Mayoría de los pacientes.</w:t>
      </w:r>
    </w:p>
    <w:p>
      <w:pPr>
        <w:pStyle w:val="ListParagraph"/>
        <w:numPr>
          <w:ilvl w:val="0"/>
          <w:numId w:val="16"/>
        </w:numPr>
        <w:tabs>
          <w:tab w:pos="2521" w:val="left" w:leader="none"/>
        </w:tabs>
        <w:spacing w:line="240" w:lineRule="auto" w:before="39" w:after="0"/>
        <w:ind w:left="2521" w:right="0" w:hanging="361"/>
        <w:jc w:val="left"/>
        <w:rPr>
          <w:sz w:val="22"/>
        </w:rPr>
      </w:pPr>
      <w:r>
        <w:rPr>
          <w:sz w:val="22"/>
        </w:rPr>
        <w:t>Sin clínica</w:t>
      </w:r>
      <w:r>
        <w:rPr>
          <w:spacing w:val="-2"/>
          <w:sz w:val="22"/>
        </w:rPr>
        <w:t> </w:t>
      </w:r>
      <w:r>
        <w:rPr>
          <w:sz w:val="22"/>
        </w:rPr>
        <w:t>significativa</w:t>
      </w:r>
    </w:p>
    <w:p>
      <w:pPr>
        <w:pStyle w:val="BodyText"/>
        <w:spacing w:before="9"/>
        <w:rPr>
          <w:sz w:val="28"/>
        </w:rPr>
      </w:pPr>
    </w:p>
    <w:p>
      <w:pPr>
        <w:pStyle w:val="ListParagraph"/>
        <w:numPr>
          <w:ilvl w:val="1"/>
          <w:numId w:val="8"/>
        </w:numPr>
        <w:tabs>
          <w:tab w:pos="2160" w:val="left" w:leader="none"/>
          <w:tab w:pos="2161" w:val="left" w:leader="none"/>
        </w:tabs>
        <w:spacing w:line="240" w:lineRule="auto" w:before="0" w:after="0"/>
        <w:ind w:left="2160" w:right="0" w:hanging="360"/>
        <w:jc w:val="left"/>
        <w:rPr>
          <w:rFonts w:ascii="Symbol" w:hAnsi="Symbol"/>
          <w:sz w:val="22"/>
        </w:rPr>
      </w:pPr>
      <w:r>
        <w:rPr>
          <w:sz w:val="22"/>
        </w:rPr>
        <w:t>Úlcera</w:t>
      </w:r>
      <w:r>
        <w:rPr>
          <w:spacing w:val="-1"/>
          <w:sz w:val="22"/>
        </w:rPr>
        <w:t> </w:t>
      </w:r>
      <w:r>
        <w:rPr>
          <w:sz w:val="22"/>
        </w:rPr>
        <w:t>duodenal</w:t>
      </w:r>
    </w:p>
    <w:p>
      <w:pPr>
        <w:pStyle w:val="ListParagraph"/>
        <w:numPr>
          <w:ilvl w:val="0"/>
          <w:numId w:val="17"/>
        </w:numPr>
        <w:tabs>
          <w:tab w:pos="2161" w:val="left" w:leader="none"/>
        </w:tabs>
        <w:spacing w:line="240" w:lineRule="auto" w:before="33" w:after="0"/>
        <w:ind w:left="2160" w:right="0" w:hanging="360"/>
        <w:jc w:val="left"/>
        <w:rPr>
          <w:sz w:val="22"/>
        </w:rPr>
      </w:pPr>
      <w:r>
        <w:rPr>
          <w:sz w:val="22"/>
        </w:rPr>
        <w:t>10% -15% de los s</w:t>
      </w:r>
      <w:r>
        <w:rPr>
          <w:spacing w:val="-4"/>
          <w:sz w:val="22"/>
        </w:rPr>
        <w:t> </w:t>
      </w:r>
      <w:r>
        <w:rPr>
          <w:sz w:val="22"/>
        </w:rPr>
        <w:t>infectados</w:t>
      </w:r>
    </w:p>
    <w:p>
      <w:pPr>
        <w:pStyle w:val="ListParagraph"/>
        <w:numPr>
          <w:ilvl w:val="0"/>
          <w:numId w:val="17"/>
        </w:numPr>
        <w:tabs>
          <w:tab w:pos="2161" w:val="left" w:leader="none"/>
        </w:tabs>
        <w:spacing w:line="240" w:lineRule="auto" w:before="39" w:after="0"/>
        <w:ind w:left="2160" w:right="0" w:hanging="360"/>
        <w:jc w:val="left"/>
        <w:rPr>
          <w:sz w:val="22"/>
        </w:rPr>
      </w:pPr>
      <w:r>
        <w:rPr>
          <w:sz w:val="22"/>
        </w:rPr>
        <w:t>Gastritis antral</w:t>
      </w:r>
      <w:r>
        <w:rPr>
          <w:spacing w:val="-6"/>
          <w:sz w:val="22"/>
        </w:rPr>
        <w:t> </w:t>
      </w:r>
      <w:r>
        <w:rPr>
          <w:sz w:val="22"/>
        </w:rPr>
        <w:t>predominante</w:t>
      </w:r>
    </w:p>
    <w:p>
      <w:pPr>
        <w:pStyle w:val="ListParagraph"/>
        <w:numPr>
          <w:ilvl w:val="0"/>
          <w:numId w:val="17"/>
        </w:numPr>
        <w:tabs>
          <w:tab w:pos="2161" w:val="left" w:leader="none"/>
        </w:tabs>
        <w:spacing w:line="240" w:lineRule="auto" w:before="39" w:after="0"/>
        <w:ind w:left="2160" w:right="0" w:hanging="360"/>
        <w:jc w:val="left"/>
        <w:rPr>
          <w:sz w:val="22"/>
        </w:rPr>
      </w:pPr>
      <w:r>
        <w:rPr>
          <w:sz w:val="22"/>
        </w:rPr>
        <w:t>Alta gastrina y secreción</w:t>
      </w:r>
      <w:r>
        <w:rPr>
          <w:spacing w:val="-7"/>
          <w:sz w:val="22"/>
        </w:rPr>
        <w:t> </w:t>
      </w:r>
      <w:r>
        <w:rPr>
          <w:sz w:val="22"/>
        </w:rPr>
        <w:t>ácido</w:t>
      </w:r>
    </w:p>
    <w:p>
      <w:pPr>
        <w:pStyle w:val="ListParagraph"/>
        <w:numPr>
          <w:ilvl w:val="0"/>
          <w:numId w:val="17"/>
        </w:numPr>
        <w:tabs>
          <w:tab w:pos="2161" w:val="left" w:leader="none"/>
          <w:tab w:pos="3550" w:val="left" w:leader="none"/>
          <w:tab w:pos="4769" w:val="left" w:leader="none"/>
          <w:tab w:pos="5588" w:val="left" w:leader="none"/>
        </w:tabs>
        <w:spacing w:line="278" w:lineRule="auto" w:before="35" w:after="0"/>
        <w:ind w:left="2160" w:right="1" w:hanging="360"/>
        <w:jc w:val="left"/>
        <w:rPr>
          <w:sz w:val="22"/>
        </w:rPr>
      </w:pPr>
      <w:r>
        <w:rPr>
          <w:sz w:val="22"/>
        </w:rPr>
        <w:t>Proporciona</w:t>
        <w:tab/>
        <w:t>protección</w:t>
        <w:tab/>
        <w:t>contra</w:t>
        <w:tab/>
        <w:t>el desarrollo de cáncer</w:t>
      </w:r>
      <w:r>
        <w:rPr>
          <w:spacing w:val="-6"/>
          <w:sz w:val="22"/>
        </w:rPr>
        <w:t> </w:t>
      </w:r>
      <w:r>
        <w:rPr>
          <w:sz w:val="22"/>
        </w:rPr>
        <w:t>gástrico</w:t>
      </w:r>
    </w:p>
    <w:p>
      <w:pPr>
        <w:pStyle w:val="BodyText"/>
        <w:spacing w:line="276" w:lineRule="auto" w:before="199"/>
        <w:ind w:left="1440"/>
        <w:jc w:val="both"/>
      </w:pPr>
      <w:r>
        <w:rPr/>
        <w:t>La distribución geográfica de estos tres fenotipos es variable, en ciertas partes de Asia es común el fenotipo de cáncer gástrico. Actualmente en todo el mundo se estima que aproximadamente del 50% al 75% de la mortalidad por cáncer gástrico es atribuible a la infección de H. pylori.</w:t>
      </w:r>
    </w:p>
    <w:p>
      <w:pPr>
        <w:pStyle w:val="BodyText"/>
        <w:spacing w:before="201"/>
        <w:ind w:left="1440"/>
        <w:jc w:val="both"/>
      </w:pPr>
      <w:r>
        <w:rPr/>
        <w:t>Otros cofactores:</w:t>
      </w:r>
    </w:p>
    <w:p>
      <w:pPr>
        <w:pStyle w:val="BodyText"/>
        <w:spacing w:before="9"/>
        <w:rPr>
          <w:sz w:val="20"/>
        </w:rPr>
      </w:pPr>
    </w:p>
    <w:p>
      <w:pPr>
        <w:pStyle w:val="ListParagraph"/>
        <w:numPr>
          <w:ilvl w:val="1"/>
          <w:numId w:val="8"/>
        </w:numPr>
        <w:tabs>
          <w:tab w:pos="2160" w:val="left" w:leader="none"/>
          <w:tab w:pos="2161" w:val="left" w:leader="none"/>
        </w:tabs>
        <w:spacing w:line="240" w:lineRule="auto" w:before="0" w:after="0"/>
        <w:ind w:left="2160" w:right="0" w:hanging="360"/>
        <w:jc w:val="left"/>
        <w:rPr>
          <w:rFonts w:ascii="Symbol"/>
          <w:sz w:val="22"/>
        </w:rPr>
      </w:pPr>
      <w:r>
        <w:rPr>
          <w:sz w:val="22"/>
        </w:rPr>
        <w:t>Factores de virulencia</w:t>
      </w:r>
      <w:r>
        <w:rPr>
          <w:spacing w:val="-8"/>
          <w:sz w:val="22"/>
        </w:rPr>
        <w:t> </w:t>
      </w:r>
      <w:r>
        <w:rPr>
          <w:sz w:val="22"/>
        </w:rPr>
        <w:t>bacteriana</w:t>
      </w:r>
    </w:p>
    <w:p>
      <w:pPr>
        <w:pStyle w:val="ListParagraph"/>
        <w:numPr>
          <w:ilvl w:val="1"/>
          <w:numId w:val="8"/>
        </w:numPr>
        <w:tabs>
          <w:tab w:pos="2160" w:val="left" w:leader="none"/>
          <w:tab w:pos="2161" w:val="left" w:leader="none"/>
        </w:tabs>
        <w:spacing w:line="240" w:lineRule="auto" w:before="34" w:after="0"/>
        <w:ind w:left="2160" w:right="0" w:hanging="360"/>
        <w:jc w:val="left"/>
        <w:rPr>
          <w:rFonts w:ascii="Symbol"/>
          <w:sz w:val="22"/>
        </w:rPr>
      </w:pPr>
      <w:r>
        <w:rPr>
          <w:sz w:val="22"/>
        </w:rPr>
        <w:t>Exposiciones</w:t>
      </w:r>
      <w:r>
        <w:rPr>
          <w:spacing w:val="-1"/>
          <w:sz w:val="22"/>
        </w:rPr>
        <w:t> </w:t>
      </w:r>
      <w:r>
        <w:rPr>
          <w:sz w:val="22"/>
        </w:rPr>
        <w:t>ambientales</w:t>
      </w:r>
    </w:p>
    <w:p>
      <w:pPr>
        <w:pStyle w:val="ListParagraph"/>
        <w:numPr>
          <w:ilvl w:val="1"/>
          <w:numId w:val="8"/>
        </w:numPr>
        <w:tabs>
          <w:tab w:pos="2160" w:val="left" w:leader="none"/>
          <w:tab w:pos="2161" w:val="left" w:leader="none"/>
        </w:tabs>
        <w:spacing w:line="240" w:lineRule="auto" w:before="35" w:after="0"/>
        <w:ind w:left="2160" w:right="0" w:hanging="360"/>
        <w:jc w:val="left"/>
        <w:rPr>
          <w:rFonts w:ascii="Symbol" w:hAnsi="Symbol"/>
          <w:sz w:val="22"/>
        </w:rPr>
      </w:pPr>
      <w:r>
        <w:rPr>
          <w:sz w:val="22"/>
        </w:rPr>
        <w:t>Factores genéticos del</w:t>
      </w:r>
      <w:r>
        <w:rPr>
          <w:spacing w:val="-8"/>
          <w:sz w:val="22"/>
        </w:rPr>
        <w:t> </w:t>
      </w:r>
      <w:r>
        <w:rPr>
          <w:sz w:val="22"/>
        </w:rPr>
        <w:t>huésped</w:t>
      </w:r>
    </w:p>
    <w:p>
      <w:pPr>
        <w:pStyle w:val="BodyText"/>
        <w:spacing w:before="4"/>
        <w:rPr>
          <w:sz w:val="20"/>
        </w:rPr>
      </w:pPr>
    </w:p>
    <w:p>
      <w:pPr>
        <w:pStyle w:val="Heading4"/>
        <w:jc w:val="both"/>
      </w:pPr>
      <w:r>
        <w:rPr/>
        <w:t>CIRUGÍA GÁSTRICA PREVIA</w:t>
      </w:r>
    </w:p>
    <w:p>
      <w:pPr>
        <w:pStyle w:val="BodyText"/>
        <w:rPr>
          <w:b/>
          <w:sz w:val="21"/>
        </w:rPr>
      </w:pPr>
    </w:p>
    <w:p>
      <w:pPr>
        <w:pStyle w:val="BodyText"/>
        <w:spacing w:line="276" w:lineRule="auto"/>
        <w:ind w:left="1440" w:right="1"/>
        <w:jc w:val="both"/>
      </w:pPr>
      <w:r>
        <w:rPr/>
        <w:t>El cáncer del remanente gástrico es una verdadera entidad clínica. El cáncer gástrico probablemente se desarrolla más en pacientes con gastrectomía parcial previa;pacientes con anastomosis gastrojejunal (Billroth II) que con anastomosis gastroduodenal (Billroth I). El riesgo relativo se incrementa hasta 15</w:t>
      </w:r>
      <w:r>
        <w:rPr>
          <w:spacing w:val="43"/>
        </w:rPr>
        <w:t> </w:t>
      </w:r>
      <w:r>
        <w:rPr/>
        <w:t>años</w:t>
      </w:r>
    </w:p>
    <w:p>
      <w:pPr>
        <w:pStyle w:val="BodyText"/>
        <w:spacing w:before="8"/>
      </w:pPr>
      <w:r>
        <w:rPr/>
        <w:br w:type="column"/>
      </w:r>
      <w:r>
        <w:rPr/>
      </w:r>
    </w:p>
    <w:p>
      <w:pPr>
        <w:pStyle w:val="BodyText"/>
        <w:spacing w:line="276" w:lineRule="auto"/>
        <w:ind w:left="679" w:right="1436"/>
        <w:jc w:val="both"/>
      </w:pPr>
      <w:r>
        <w:rPr/>
        <w:t>después de la resección gástrica. Después de 25 años el riesgo se triplica respecto al valor de control Se desconocen los mecanismos celulares que contribuyen al desarrollo de neoplasias en el estómago remanente. Posibles hipótesis:</w:t>
      </w:r>
    </w:p>
    <w:p>
      <w:pPr>
        <w:pStyle w:val="ListParagraph"/>
        <w:numPr>
          <w:ilvl w:val="0"/>
          <w:numId w:val="8"/>
        </w:numPr>
        <w:tabs>
          <w:tab w:pos="1399" w:val="left" w:leader="none"/>
          <w:tab w:pos="1400" w:val="left" w:leader="none"/>
        </w:tabs>
        <w:spacing w:line="240" w:lineRule="auto" w:before="198" w:after="0"/>
        <w:ind w:left="1399" w:right="0" w:hanging="360"/>
        <w:jc w:val="left"/>
        <w:rPr>
          <w:sz w:val="22"/>
        </w:rPr>
      </w:pPr>
      <w:r>
        <w:rPr>
          <w:sz w:val="22"/>
        </w:rPr>
        <w:t>Disminución del pH</w:t>
      </w:r>
      <w:r>
        <w:rPr>
          <w:spacing w:val="-8"/>
          <w:sz w:val="22"/>
        </w:rPr>
        <w:t> </w:t>
      </w:r>
      <w:r>
        <w:rPr>
          <w:sz w:val="22"/>
        </w:rPr>
        <w:t>luminal</w:t>
      </w:r>
    </w:p>
    <w:p>
      <w:pPr>
        <w:pStyle w:val="ListParagraph"/>
        <w:numPr>
          <w:ilvl w:val="0"/>
          <w:numId w:val="8"/>
        </w:numPr>
        <w:tabs>
          <w:tab w:pos="1400" w:val="left" w:leader="none"/>
        </w:tabs>
        <w:spacing w:line="273" w:lineRule="auto" w:before="38" w:after="0"/>
        <w:ind w:left="1399" w:right="1429" w:hanging="360"/>
        <w:jc w:val="both"/>
        <w:rPr>
          <w:sz w:val="22"/>
        </w:rPr>
      </w:pPr>
      <w:r>
        <w:rPr>
          <w:sz w:val="22"/>
        </w:rPr>
        <w:t>Sobrecrecimiento bacteriano con aumento de </w:t>
      </w:r>
      <w:r>
        <w:rPr>
          <w:spacing w:val="-3"/>
          <w:sz w:val="22"/>
        </w:rPr>
        <w:t>la </w:t>
      </w:r>
      <w:r>
        <w:rPr>
          <w:sz w:val="22"/>
        </w:rPr>
        <w:t>producción de </w:t>
      </w:r>
      <w:r>
        <w:rPr>
          <w:spacing w:val="1"/>
          <w:sz w:val="22"/>
        </w:rPr>
        <w:t>N- </w:t>
      </w:r>
      <w:r>
        <w:rPr>
          <w:sz w:val="22"/>
        </w:rPr>
        <w:t>nitroso</w:t>
      </w:r>
      <w:r>
        <w:rPr>
          <w:spacing w:val="-1"/>
          <w:sz w:val="22"/>
        </w:rPr>
        <w:t> </w:t>
      </w:r>
      <w:r>
        <w:rPr>
          <w:sz w:val="22"/>
        </w:rPr>
        <w:t>carcinógenos</w:t>
      </w:r>
    </w:p>
    <w:p>
      <w:pPr>
        <w:pStyle w:val="ListParagraph"/>
        <w:numPr>
          <w:ilvl w:val="0"/>
          <w:numId w:val="8"/>
        </w:numPr>
        <w:tabs>
          <w:tab w:pos="1399" w:val="left" w:leader="none"/>
          <w:tab w:pos="1400" w:val="left" w:leader="none"/>
        </w:tabs>
        <w:spacing w:line="240" w:lineRule="auto" w:before="6" w:after="0"/>
        <w:ind w:left="1399" w:right="0" w:hanging="360"/>
        <w:jc w:val="left"/>
        <w:rPr>
          <w:sz w:val="22"/>
        </w:rPr>
      </w:pPr>
      <w:r>
        <w:rPr>
          <w:sz w:val="22"/>
        </w:rPr>
        <w:t>Reflujo de los ácidos</w:t>
      </w:r>
      <w:r>
        <w:rPr>
          <w:spacing w:val="-6"/>
          <w:sz w:val="22"/>
        </w:rPr>
        <w:t> </w:t>
      </w:r>
      <w:r>
        <w:rPr>
          <w:sz w:val="22"/>
        </w:rPr>
        <w:t>biliares</w:t>
      </w:r>
    </w:p>
    <w:p>
      <w:pPr>
        <w:pStyle w:val="BodyText"/>
        <w:spacing w:line="276" w:lineRule="auto" w:before="233"/>
        <w:ind w:left="679" w:right="1438"/>
        <w:jc w:val="both"/>
      </w:pPr>
      <w:r>
        <w:rPr/>
        <w:t>La vagotomía en una cirugía gástrica para enfermedad benigna, no parece aumentar el riesgo de</w:t>
      </w:r>
      <w:r>
        <w:rPr>
          <w:spacing w:val="-7"/>
        </w:rPr>
        <w:t> </w:t>
      </w:r>
      <w:r>
        <w:rPr/>
        <w:t>cáncer.</w:t>
      </w:r>
    </w:p>
    <w:p>
      <w:pPr>
        <w:spacing w:line="278" w:lineRule="auto" w:before="193"/>
        <w:ind w:left="679" w:right="1437" w:firstLine="0"/>
        <w:jc w:val="both"/>
        <w:rPr>
          <w:i/>
          <w:sz w:val="22"/>
        </w:rPr>
      </w:pPr>
      <w:r>
        <w:rPr>
          <w:i/>
          <w:sz w:val="22"/>
        </w:rPr>
        <w:t>Alteraciones genéticas: inestabilidad </w:t>
      </w:r>
      <w:r>
        <w:rPr>
          <w:i/>
          <w:sz w:val="22"/>
        </w:rPr>
        <w:t>microsatélital alta (MSI-H)</w:t>
      </w:r>
    </w:p>
    <w:p>
      <w:pPr>
        <w:pStyle w:val="ListParagraph"/>
        <w:numPr>
          <w:ilvl w:val="0"/>
          <w:numId w:val="8"/>
        </w:numPr>
        <w:tabs>
          <w:tab w:pos="1399" w:val="left" w:leader="none"/>
          <w:tab w:pos="1400" w:val="left" w:leader="none"/>
        </w:tabs>
        <w:spacing w:line="273" w:lineRule="auto" w:before="205" w:after="0"/>
        <w:ind w:left="1399" w:right="1525" w:hanging="360"/>
        <w:jc w:val="left"/>
        <w:rPr>
          <w:sz w:val="22"/>
        </w:rPr>
      </w:pPr>
      <w:r>
        <w:rPr>
          <w:sz w:val="22"/>
        </w:rPr>
        <w:t>La incidencia es mucho mayor en el cáncer del remanente gástrico (43%) que en el cáncer gástrico esporádico</w:t>
      </w:r>
      <w:r>
        <w:rPr>
          <w:spacing w:val="-1"/>
          <w:sz w:val="22"/>
        </w:rPr>
        <w:t> </w:t>
      </w:r>
      <w:r>
        <w:rPr>
          <w:sz w:val="22"/>
        </w:rPr>
        <w:t>(6%).</w:t>
      </w:r>
    </w:p>
    <w:p>
      <w:pPr>
        <w:pStyle w:val="ListParagraph"/>
        <w:numPr>
          <w:ilvl w:val="0"/>
          <w:numId w:val="8"/>
        </w:numPr>
        <w:tabs>
          <w:tab w:pos="1399" w:val="left" w:leader="none"/>
          <w:tab w:pos="1400" w:val="left" w:leader="none"/>
        </w:tabs>
        <w:spacing w:line="273" w:lineRule="auto" w:before="2" w:after="0"/>
        <w:ind w:left="1399" w:right="1476" w:hanging="360"/>
        <w:jc w:val="left"/>
        <w:rPr>
          <w:sz w:val="22"/>
        </w:rPr>
      </w:pPr>
      <w:r>
        <w:rPr>
          <w:sz w:val="22"/>
        </w:rPr>
        <w:t>La incidencia es mayor en pacientes con anastomosis Billroth II (67%) que con anastomosis Billroth I (11%).</w:t>
      </w:r>
    </w:p>
    <w:p>
      <w:pPr>
        <w:pStyle w:val="ListParagraph"/>
        <w:numPr>
          <w:ilvl w:val="0"/>
          <w:numId w:val="8"/>
        </w:numPr>
        <w:tabs>
          <w:tab w:pos="1399" w:val="left" w:leader="none"/>
          <w:tab w:pos="1400" w:val="left" w:leader="none"/>
        </w:tabs>
        <w:spacing w:line="276" w:lineRule="auto" w:before="6" w:after="0"/>
        <w:ind w:left="1399" w:right="1624" w:hanging="360"/>
        <w:jc w:val="left"/>
        <w:rPr>
          <w:sz w:val="22"/>
        </w:rPr>
      </w:pPr>
      <w:r>
        <w:rPr>
          <w:sz w:val="22"/>
        </w:rPr>
        <w:t>Los tumores de fenotipo MSI-H se asocian significativamente con</w:t>
      </w:r>
      <w:r>
        <w:rPr>
          <w:spacing w:val="-16"/>
          <w:sz w:val="22"/>
        </w:rPr>
        <w:t> </w:t>
      </w:r>
      <w:r>
        <w:rPr>
          <w:sz w:val="22"/>
        </w:rPr>
        <w:t>una falta de expresión de hMLH1 y hMSH2 (dos importantes genes de reparación de desajuste de</w:t>
      </w:r>
      <w:r>
        <w:rPr>
          <w:spacing w:val="-12"/>
          <w:sz w:val="22"/>
        </w:rPr>
        <w:t> </w:t>
      </w:r>
      <w:r>
        <w:rPr>
          <w:sz w:val="22"/>
        </w:rPr>
        <w:t>ADN).</w:t>
      </w:r>
    </w:p>
    <w:p>
      <w:pPr>
        <w:pStyle w:val="ListParagraph"/>
        <w:numPr>
          <w:ilvl w:val="0"/>
          <w:numId w:val="8"/>
        </w:numPr>
        <w:tabs>
          <w:tab w:pos="1399" w:val="left" w:leader="none"/>
          <w:tab w:pos="1400" w:val="left" w:leader="none"/>
        </w:tabs>
        <w:spacing w:line="276" w:lineRule="auto" w:before="0" w:after="0"/>
        <w:ind w:left="1399" w:right="1440" w:hanging="360"/>
        <w:jc w:val="left"/>
        <w:rPr>
          <w:sz w:val="22"/>
        </w:rPr>
      </w:pPr>
      <w:r>
        <w:rPr>
          <w:sz w:val="22"/>
        </w:rPr>
        <w:t>La supervivencia a 5 años está entre 7% y 33% para los cánceres de remanente</w:t>
      </w:r>
      <w:r>
        <w:rPr>
          <w:spacing w:val="-1"/>
          <w:sz w:val="22"/>
        </w:rPr>
        <w:t> </w:t>
      </w:r>
      <w:r>
        <w:rPr>
          <w:sz w:val="22"/>
        </w:rPr>
        <w:t>gástrico.</w:t>
      </w:r>
    </w:p>
    <w:p>
      <w:pPr>
        <w:pStyle w:val="BodyText"/>
        <w:rPr>
          <w:sz w:val="24"/>
        </w:rPr>
      </w:pPr>
    </w:p>
    <w:p>
      <w:pPr>
        <w:pStyle w:val="Heading4"/>
        <w:spacing w:before="211"/>
        <w:ind w:left="679"/>
      </w:pPr>
      <w:r>
        <w:rPr/>
        <w:t>MANIFESTACIONES CLINICAS</w:t>
      </w:r>
    </w:p>
    <w:p>
      <w:pPr>
        <w:pStyle w:val="BodyText"/>
        <w:rPr>
          <w:b/>
          <w:sz w:val="21"/>
        </w:rPr>
      </w:pPr>
    </w:p>
    <w:p>
      <w:pPr>
        <w:pStyle w:val="BodyText"/>
        <w:spacing w:line="276" w:lineRule="auto" w:before="1"/>
        <w:ind w:left="679" w:right="1439"/>
      </w:pPr>
      <w:r>
        <w:rPr/>
        <w:t>Los síntomas del cáncer gástrico no son específicos y pueden imitar otras enfermedades gastroduodenales no neoplásicas, especialmente la úlcera gástrica benigna.</w:t>
      </w:r>
    </w:p>
    <w:p>
      <w:pPr>
        <w:spacing w:after="0" w:line="276" w:lineRule="auto"/>
        <w:sectPr>
          <w:type w:val="continuous"/>
          <w:pgSz w:w="12240" w:h="15840"/>
          <w:pgMar w:top="1500" w:bottom="0" w:left="0" w:right="0"/>
          <w:cols w:num="2" w:equalWidth="0">
            <w:col w:w="5763" w:space="40"/>
            <w:col w:w="6437"/>
          </w:cols>
        </w:sectPr>
      </w:pPr>
    </w:p>
    <w:p>
      <w:pPr>
        <w:pStyle w:val="BodyText"/>
        <w:rPr>
          <w:sz w:val="20"/>
        </w:rPr>
      </w:pPr>
    </w:p>
    <w:p>
      <w:pPr>
        <w:spacing w:after="0"/>
        <w:rPr>
          <w:sz w:val="20"/>
        </w:rPr>
        <w:sectPr>
          <w:pgSz w:w="12240" w:h="15840"/>
          <w:pgMar w:header="723" w:footer="872" w:top="940" w:bottom="1060" w:left="0" w:right="0"/>
        </w:sect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10"/>
        <w:rPr>
          <w:sz w:val="26"/>
        </w:rPr>
      </w:pPr>
    </w:p>
    <w:p>
      <w:pPr>
        <w:pStyle w:val="Heading4"/>
      </w:pPr>
      <w:r>
        <w:rPr/>
        <w:t>DIAGNOSTICO Y TAMIZAJE</w:t>
      </w:r>
    </w:p>
    <w:p>
      <w:pPr>
        <w:pStyle w:val="BodyText"/>
        <w:spacing w:before="1"/>
        <w:rPr>
          <w:b/>
          <w:sz w:val="21"/>
        </w:rPr>
      </w:pPr>
    </w:p>
    <w:p>
      <w:pPr>
        <w:pStyle w:val="Heading5"/>
        <w:jc w:val="left"/>
      </w:pPr>
      <w:r>
        <w:rPr/>
        <w:t>Endoscopia alta</w:t>
      </w:r>
    </w:p>
    <w:p>
      <w:pPr>
        <w:pStyle w:val="BodyText"/>
        <w:spacing w:before="8"/>
        <w:rPr>
          <w:b/>
          <w:sz w:val="20"/>
        </w:rPr>
      </w:pPr>
    </w:p>
    <w:p>
      <w:pPr>
        <w:pStyle w:val="BodyText"/>
        <w:ind w:left="1440"/>
      </w:pPr>
      <w:r>
        <w:rPr/>
        <w:t>La endoscopia es el mejor método de</w:t>
      </w:r>
    </w:p>
    <w:p>
      <w:pPr>
        <w:pStyle w:val="BodyText"/>
        <w:spacing w:before="8"/>
      </w:pPr>
      <w:r>
        <w:rPr/>
        <w:br w:type="column"/>
      </w:r>
      <w:r>
        <w:rPr/>
      </w:r>
    </w:p>
    <w:p>
      <w:pPr>
        <w:pStyle w:val="BodyText"/>
        <w:spacing w:line="276" w:lineRule="auto"/>
        <w:ind w:left="1330" w:right="1438"/>
        <w:jc w:val="both"/>
      </w:pPr>
      <w:r>
        <w:rPr/>
        <w:t>estudio para el paciente con sospecha de Ca gástrico. En estadios tempranos, el cáncer gástrico puede aparecer como una lesión polipóide, placa, plana o como una úlcera poco profunda. Las lesiones avanzadas son típicamente ulceradas.</w:t>
      </w:r>
    </w:p>
    <w:p>
      <w:pPr>
        <w:spacing w:before="193"/>
        <w:ind w:left="1330" w:right="0" w:firstLine="0"/>
        <w:jc w:val="both"/>
        <w:rPr>
          <w:i/>
          <w:sz w:val="22"/>
        </w:rPr>
      </w:pPr>
      <w:r>
        <w:rPr/>
        <w:pict>
          <v:shape style="position:absolute;margin-left:66.425003pt;margin-top:-87.252129pt;width:225.7pt;height:422.5pt;mso-position-horizontal-relative:page;mso-position-vertical-relative:paragraph;z-index:1528"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84"/>
                    <w:gridCol w:w="2128"/>
                    <w:gridCol w:w="988"/>
                  </w:tblGrid>
                  <w:tr>
                    <w:trPr>
                      <w:trHeight w:val="681" w:hRule="atLeast"/>
                    </w:trPr>
                    <w:tc>
                      <w:tcPr>
                        <w:tcW w:w="4500" w:type="dxa"/>
                        <w:gridSpan w:val="3"/>
                      </w:tcPr>
                      <w:p>
                        <w:pPr>
                          <w:pStyle w:val="TableParagraph"/>
                          <w:spacing w:line="261" w:lineRule="auto"/>
                          <w:ind w:left="70" w:right="662"/>
                          <w:rPr>
                            <w:sz w:val="20"/>
                          </w:rPr>
                        </w:pPr>
                        <w:r>
                          <w:rPr>
                            <w:b/>
                            <w:sz w:val="22"/>
                          </w:rPr>
                          <w:t>Tabla 1. </w:t>
                        </w:r>
                        <w:r>
                          <w:rPr>
                            <w:sz w:val="20"/>
                          </w:rPr>
                          <w:t>Hallazgos tempranos del cáncer gástrico.</w:t>
                        </w:r>
                      </w:p>
                    </w:tc>
                  </w:tr>
                  <w:tr>
                    <w:trPr>
                      <w:trHeight w:val="433" w:hRule="atLeast"/>
                    </w:trPr>
                    <w:tc>
                      <w:tcPr>
                        <w:tcW w:w="1384" w:type="dxa"/>
                      </w:tcPr>
                      <w:p>
                        <w:pPr>
                          <w:pStyle w:val="TableParagraph"/>
                          <w:ind w:left="0"/>
                          <w:rPr>
                            <w:rFonts w:ascii="Times New Roman"/>
                            <w:sz w:val="20"/>
                          </w:rPr>
                        </w:pPr>
                      </w:p>
                    </w:tc>
                    <w:tc>
                      <w:tcPr>
                        <w:tcW w:w="2128" w:type="dxa"/>
                      </w:tcPr>
                      <w:p>
                        <w:pPr>
                          <w:pStyle w:val="TableParagraph"/>
                          <w:ind w:left="0"/>
                          <w:rPr>
                            <w:rFonts w:ascii="Times New Roman"/>
                            <w:sz w:val="20"/>
                          </w:rPr>
                        </w:pPr>
                      </w:p>
                    </w:tc>
                    <w:tc>
                      <w:tcPr>
                        <w:tcW w:w="988" w:type="dxa"/>
                      </w:tcPr>
                      <w:p>
                        <w:pPr>
                          <w:pStyle w:val="TableParagraph"/>
                          <w:ind w:left="0"/>
                          <w:rPr>
                            <w:rFonts w:ascii="Times New Roman"/>
                            <w:sz w:val="20"/>
                          </w:rPr>
                        </w:pPr>
                      </w:p>
                    </w:tc>
                  </w:tr>
                  <w:tr>
                    <w:trPr>
                      <w:trHeight w:val="3050" w:hRule="atLeast"/>
                    </w:trPr>
                    <w:tc>
                      <w:tcPr>
                        <w:tcW w:w="1384" w:type="dxa"/>
                      </w:tcPr>
                      <w:p>
                        <w:pPr>
                          <w:pStyle w:val="TableParagraph"/>
                          <w:spacing w:line="225" w:lineRule="exact"/>
                          <w:rPr>
                            <w:sz w:val="20"/>
                          </w:rPr>
                        </w:pPr>
                        <w:r>
                          <w:rPr>
                            <w:sz w:val="20"/>
                          </w:rPr>
                          <w:t>Dolor</w:t>
                        </w:r>
                      </w:p>
                    </w:tc>
                    <w:tc>
                      <w:tcPr>
                        <w:tcW w:w="2128" w:type="dxa"/>
                      </w:tcPr>
                      <w:p>
                        <w:pPr>
                          <w:pStyle w:val="TableParagraph"/>
                          <w:spacing w:line="259" w:lineRule="auto"/>
                          <w:ind w:right="119"/>
                          <w:rPr>
                            <w:sz w:val="20"/>
                          </w:rPr>
                        </w:pPr>
                        <w:r>
                          <w:rPr>
                            <w:sz w:val="20"/>
                          </w:rPr>
                          <w:t>Constante, no radiante, y no aliviado por la ingesta de</w:t>
                        </w:r>
                        <w:r>
                          <w:rPr>
                            <w:spacing w:val="-6"/>
                            <w:sz w:val="20"/>
                          </w:rPr>
                          <w:t> </w:t>
                        </w:r>
                        <w:r>
                          <w:rPr>
                            <w:sz w:val="20"/>
                          </w:rPr>
                          <w:t>alimentos.</w:t>
                        </w:r>
                      </w:p>
                      <w:p>
                        <w:pPr>
                          <w:pStyle w:val="TableParagraph"/>
                          <w:spacing w:line="259" w:lineRule="auto" w:before="165"/>
                          <w:ind w:right="256"/>
                          <w:rPr>
                            <w:sz w:val="20"/>
                          </w:rPr>
                        </w:pPr>
                        <w:r>
                          <w:rPr>
                            <w:sz w:val="20"/>
                          </w:rPr>
                          <w:t>Puede aliviarse, al menos temporalmente, por antiácidos o fármacos antisecretores gástricos</w:t>
                        </w:r>
                      </w:p>
                    </w:tc>
                    <w:tc>
                      <w:tcPr>
                        <w:tcW w:w="988" w:type="dxa"/>
                      </w:tcPr>
                      <w:p>
                        <w:pPr>
                          <w:pStyle w:val="TableParagraph"/>
                          <w:spacing w:line="225" w:lineRule="exact"/>
                          <w:ind w:left="108"/>
                          <w:rPr>
                            <w:sz w:val="20"/>
                          </w:rPr>
                        </w:pPr>
                        <w:r>
                          <w:rPr>
                            <w:sz w:val="20"/>
                          </w:rPr>
                          <w:t>70%</w:t>
                        </w:r>
                      </w:p>
                    </w:tc>
                  </w:tr>
                  <w:tr>
                    <w:trPr>
                      <w:trHeight w:val="1150" w:hRule="atLeast"/>
                    </w:trPr>
                    <w:tc>
                      <w:tcPr>
                        <w:tcW w:w="1384" w:type="dxa"/>
                      </w:tcPr>
                      <w:p>
                        <w:pPr>
                          <w:pStyle w:val="TableParagraph"/>
                          <w:spacing w:line="259" w:lineRule="auto"/>
                          <w:ind w:right="301"/>
                          <w:rPr>
                            <w:sz w:val="20"/>
                          </w:rPr>
                        </w:pPr>
                        <w:r>
                          <w:rPr>
                            <w:sz w:val="20"/>
                          </w:rPr>
                          <w:t>Anorexia, náuseas y pérdida de peso</w:t>
                        </w:r>
                      </w:p>
                    </w:tc>
                    <w:tc>
                      <w:tcPr>
                        <w:tcW w:w="2128" w:type="dxa"/>
                      </w:tcPr>
                      <w:p>
                        <w:pPr>
                          <w:pStyle w:val="TableParagraph"/>
                          <w:spacing w:line="259" w:lineRule="auto"/>
                          <w:ind w:right="145"/>
                          <w:rPr>
                            <w:sz w:val="20"/>
                          </w:rPr>
                        </w:pPr>
                        <w:r>
                          <w:rPr>
                            <w:sz w:val="20"/>
                          </w:rPr>
                          <w:t>Se vuelven cada vez más comunes con la progresión de la enfermedad</w:t>
                        </w:r>
                      </w:p>
                    </w:tc>
                    <w:tc>
                      <w:tcPr>
                        <w:tcW w:w="988" w:type="dxa"/>
                      </w:tcPr>
                      <w:p>
                        <w:pPr>
                          <w:pStyle w:val="TableParagraph"/>
                          <w:spacing w:line="226" w:lineRule="exact"/>
                          <w:ind w:left="108"/>
                          <w:rPr>
                            <w:sz w:val="20"/>
                          </w:rPr>
                        </w:pPr>
                        <w:r>
                          <w:rPr>
                            <w:sz w:val="20"/>
                          </w:rPr>
                          <w:t>50%</w:t>
                        </w:r>
                      </w:p>
                    </w:tc>
                  </w:tr>
                  <w:tr>
                    <w:trPr>
                      <w:trHeight w:val="410" w:hRule="atLeast"/>
                    </w:trPr>
                    <w:tc>
                      <w:tcPr>
                        <w:tcW w:w="1384" w:type="dxa"/>
                      </w:tcPr>
                      <w:p>
                        <w:pPr>
                          <w:pStyle w:val="TableParagraph"/>
                          <w:rPr>
                            <w:sz w:val="20"/>
                          </w:rPr>
                        </w:pPr>
                        <w:r>
                          <w:rPr>
                            <w:sz w:val="20"/>
                          </w:rPr>
                          <w:t>Disfagia</w:t>
                        </w:r>
                      </w:p>
                    </w:tc>
                    <w:tc>
                      <w:tcPr>
                        <w:tcW w:w="2128" w:type="dxa"/>
                      </w:tcPr>
                      <w:p>
                        <w:pPr>
                          <w:pStyle w:val="TableParagraph"/>
                          <w:ind w:left="0"/>
                          <w:rPr>
                            <w:rFonts w:ascii="Times New Roman"/>
                            <w:sz w:val="20"/>
                          </w:rPr>
                        </w:pPr>
                      </w:p>
                    </w:tc>
                    <w:tc>
                      <w:tcPr>
                        <w:tcW w:w="988" w:type="dxa"/>
                      </w:tcPr>
                      <w:p>
                        <w:pPr>
                          <w:pStyle w:val="TableParagraph"/>
                          <w:ind w:left="108"/>
                          <w:rPr>
                            <w:sz w:val="20"/>
                          </w:rPr>
                        </w:pPr>
                        <w:r>
                          <w:rPr>
                            <w:sz w:val="20"/>
                          </w:rPr>
                          <w:t>20%</w:t>
                        </w:r>
                      </w:p>
                    </w:tc>
                  </w:tr>
                  <w:tr>
                    <w:trPr>
                      <w:trHeight w:val="902" w:hRule="atLeast"/>
                    </w:trPr>
                    <w:tc>
                      <w:tcPr>
                        <w:tcW w:w="1384" w:type="dxa"/>
                      </w:tcPr>
                      <w:p>
                        <w:pPr>
                          <w:pStyle w:val="TableParagraph"/>
                          <w:spacing w:line="259" w:lineRule="auto"/>
                          <w:ind w:right="186"/>
                          <w:jc w:val="both"/>
                          <w:rPr>
                            <w:sz w:val="20"/>
                          </w:rPr>
                        </w:pPr>
                        <w:r>
                          <w:rPr>
                            <w:sz w:val="20"/>
                          </w:rPr>
                          <w:t>Hemorragia gastrointesti nal</w:t>
                        </w:r>
                      </w:p>
                    </w:tc>
                    <w:tc>
                      <w:tcPr>
                        <w:tcW w:w="2128" w:type="dxa"/>
                      </w:tcPr>
                      <w:p>
                        <w:pPr>
                          <w:pStyle w:val="TableParagraph"/>
                          <w:ind w:left="0"/>
                          <w:rPr>
                            <w:rFonts w:ascii="Times New Roman"/>
                            <w:sz w:val="20"/>
                          </w:rPr>
                        </w:pPr>
                      </w:p>
                    </w:tc>
                    <w:tc>
                      <w:tcPr>
                        <w:tcW w:w="988" w:type="dxa"/>
                      </w:tcPr>
                      <w:p>
                        <w:pPr>
                          <w:pStyle w:val="TableParagraph"/>
                          <w:spacing w:line="225" w:lineRule="exact"/>
                          <w:ind w:left="108"/>
                          <w:rPr>
                            <w:sz w:val="20"/>
                          </w:rPr>
                        </w:pPr>
                        <w:r>
                          <w:rPr>
                            <w:sz w:val="20"/>
                          </w:rPr>
                          <w:t>5%</w:t>
                        </w:r>
                      </w:p>
                    </w:tc>
                  </w:tr>
                  <w:tr>
                    <w:trPr>
                      <w:trHeight w:val="410" w:hRule="atLeast"/>
                    </w:trPr>
                    <w:tc>
                      <w:tcPr>
                        <w:tcW w:w="1384" w:type="dxa"/>
                      </w:tcPr>
                      <w:p>
                        <w:pPr>
                          <w:pStyle w:val="TableParagraph"/>
                          <w:spacing w:line="229" w:lineRule="exact"/>
                          <w:rPr>
                            <w:sz w:val="20"/>
                          </w:rPr>
                        </w:pPr>
                        <w:r>
                          <w:rPr>
                            <w:sz w:val="20"/>
                          </w:rPr>
                          <w:t>Perforación</w:t>
                        </w:r>
                      </w:p>
                    </w:tc>
                    <w:tc>
                      <w:tcPr>
                        <w:tcW w:w="2128" w:type="dxa"/>
                      </w:tcPr>
                      <w:p>
                        <w:pPr>
                          <w:pStyle w:val="TableParagraph"/>
                          <w:spacing w:line="229" w:lineRule="exact"/>
                          <w:rPr>
                            <w:sz w:val="20"/>
                          </w:rPr>
                        </w:pPr>
                        <w:r>
                          <w:rPr>
                            <w:sz w:val="20"/>
                          </w:rPr>
                          <w:t>raro</w:t>
                        </w:r>
                      </w:p>
                    </w:tc>
                    <w:tc>
                      <w:tcPr>
                        <w:tcW w:w="988" w:type="dxa"/>
                      </w:tcPr>
                      <w:p>
                        <w:pPr>
                          <w:pStyle w:val="TableParagraph"/>
                          <w:spacing w:line="229" w:lineRule="exact"/>
                          <w:ind w:left="108"/>
                          <w:rPr>
                            <w:sz w:val="20"/>
                          </w:rPr>
                        </w:pPr>
                        <w:r>
                          <w:rPr>
                            <w:sz w:val="20"/>
                          </w:rPr>
                          <w:t>1%</w:t>
                        </w:r>
                      </w:p>
                    </w:tc>
                  </w:tr>
                  <w:tr>
                    <w:trPr>
                      <w:trHeight w:val="658" w:hRule="atLeast"/>
                    </w:trPr>
                    <w:tc>
                      <w:tcPr>
                        <w:tcW w:w="1384" w:type="dxa"/>
                      </w:tcPr>
                      <w:p>
                        <w:pPr>
                          <w:pStyle w:val="TableParagraph"/>
                          <w:spacing w:line="264" w:lineRule="auto"/>
                          <w:ind w:right="301"/>
                          <w:rPr>
                            <w:sz w:val="20"/>
                          </w:rPr>
                        </w:pPr>
                        <w:r>
                          <w:rPr>
                            <w:sz w:val="20"/>
                          </w:rPr>
                          <w:t>Examen Físico</w:t>
                        </w:r>
                      </w:p>
                    </w:tc>
                    <w:tc>
                      <w:tcPr>
                        <w:tcW w:w="2128" w:type="dxa"/>
                      </w:tcPr>
                      <w:p>
                        <w:pPr>
                          <w:pStyle w:val="TableParagraph"/>
                          <w:spacing w:line="264" w:lineRule="auto"/>
                          <w:ind w:right="534"/>
                          <w:rPr>
                            <w:sz w:val="20"/>
                          </w:rPr>
                        </w:pPr>
                        <w:r>
                          <w:rPr>
                            <w:sz w:val="20"/>
                          </w:rPr>
                          <w:t>No existe clínica significativa</w:t>
                        </w:r>
                      </w:p>
                    </w:tc>
                    <w:tc>
                      <w:tcPr>
                        <w:tcW w:w="988" w:type="dxa"/>
                      </w:tcPr>
                      <w:p>
                        <w:pPr>
                          <w:pStyle w:val="TableParagraph"/>
                          <w:ind w:left="0"/>
                          <w:rPr>
                            <w:rFonts w:ascii="Times New Roman"/>
                            <w:sz w:val="20"/>
                          </w:rPr>
                        </w:pPr>
                      </w:p>
                    </w:tc>
                  </w:tr>
                  <w:tr>
                    <w:trPr>
                      <w:trHeight w:val="653" w:hRule="atLeast"/>
                    </w:trPr>
                    <w:tc>
                      <w:tcPr>
                        <w:tcW w:w="1384" w:type="dxa"/>
                      </w:tcPr>
                      <w:p>
                        <w:pPr>
                          <w:pStyle w:val="TableParagraph"/>
                          <w:spacing w:line="259" w:lineRule="auto"/>
                          <w:ind w:right="168"/>
                          <w:rPr>
                            <w:sz w:val="20"/>
                          </w:rPr>
                        </w:pPr>
                        <w:r>
                          <w:rPr>
                            <w:sz w:val="20"/>
                          </w:rPr>
                          <w:t>Guayaco en heces</w:t>
                        </w:r>
                      </w:p>
                    </w:tc>
                    <w:tc>
                      <w:tcPr>
                        <w:tcW w:w="2128" w:type="dxa"/>
                      </w:tcPr>
                      <w:p>
                        <w:pPr>
                          <w:pStyle w:val="TableParagraph"/>
                          <w:ind w:left="0"/>
                          <w:rPr>
                            <w:rFonts w:ascii="Times New Roman"/>
                            <w:sz w:val="20"/>
                          </w:rPr>
                        </w:pPr>
                      </w:p>
                    </w:tc>
                    <w:tc>
                      <w:tcPr>
                        <w:tcW w:w="988" w:type="dxa"/>
                      </w:tcPr>
                      <w:p>
                        <w:pPr>
                          <w:pStyle w:val="TableParagraph"/>
                          <w:spacing w:line="259" w:lineRule="auto"/>
                          <w:ind w:left="108" w:right="171"/>
                          <w:rPr>
                            <w:sz w:val="20"/>
                          </w:rPr>
                        </w:pPr>
                        <w:r>
                          <w:rPr>
                            <w:sz w:val="20"/>
                          </w:rPr>
                          <w:t>1/3 positivo</w:t>
                        </w:r>
                      </w:p>
                    </w:tc>
                  </w:tr>
                </w:tbl>
                <w:p>
                  <w:pPr>
                    <w:pStyle w:val="BodyText"/>
                  </w:pPr>
                </w:p>
              </w:txbxContent>
            </v:textbox>
            <w10:wrap type="none"/>
          </v:shape>
        </w:pict>
      </w:r>
      <w:r>
        <w:rPr>
          <w:i/>
          <w:sz w:val="22"/>
        </w:rPr>
        <w:t>Características de una ulcera maligna:</w:t>
      </w:r>
    </w:p>
    <w:p>
      <w:pPr>
        <w:pStyle w:val="BodyText"/>
        <w:spacing w:before="2"/>
        <w:rPr>
          <w:i/>
          <w:sz w:val="21"/>
        </w:rPr>
      </w:pPr>
    </w:p>
    <w:p>
      <w:pPr>
        <w:pStyle w:val="ListParagraph"/>
        <w:numPr>
          <w:ilvl w:val="1"/>
          <w:numId w:val="8"/>
        </w:numPr>
        <w:tabs>
          <w:tab w:pos="2051" w:val="left" w:leader="none"/>
          <w:tab w:pos="2052" w:val="left" w:leader="none"/>
        </w:tabs>
        <w:spacing w:line="273" w:lineRule="auto" w:before="0" w:after="0"/>
        <w:ind w:left="2051" w:right="1437" w:hanging="361"/>
        <w:jc w:val="left"/>
        <w:rPr>
          <w:rFonts w:ascii="Symbol" w:hAnsi="Symbol"/>
          <w:sz w:val="22"/>
        </w:rPr>
      </w:pPr>
      <w:r>
        <w:rPr>
          <w:sz w:val="22"/>
        </w:rPr>
        <w:t>Borde irregular (infiltración de las células</w:t>
      </w:r>
      <w:r>
        <w:rPr>
          <w:spacing w:val="-1"/>
          <w:sz w:val="22"/>
        </w:rPr>
        <w:t> </w:t>
      </w:r>
      <w:r>
        <w:rPr>
          <w:sz w:val="22"/>
        </w:rPr>
        <w:t>cancerosas).</w:t>
      </w:r>
    </w:p>
    <w:p>
      <w:pPr>
        <w:pStyle w:val="ListParagraph"/>
        <w:numPr>
          <w:ilvl w:val="1"/>
          <w:numId w:val="8"/>
        </w:numPr>
        <w:tabs>
          <w:tab w:pos="2051" w:val="left" w:leader="none"/>
          <w:tab w:pos="2052" w:val="left" w:leader="none"/>
        </w:tabs>
        <w:spacing w:line="240" w:lineRule="auto" w:before="1" w:after="0"/>
        <w:ind w:left="2051" w:right="0" w:hanging="361"/>
        <w:jc w:val="left"/>
        <w:rPr>
          <w:rFonts w:ascii="Symbol" w:hAnsi="Symbol"/>
          <w:sz w:val="22"/>
        </w:rPr>
      </w:pPr>
      <w:r>
        <w:rPr>
          <w:sz w:val="22"/>
        </w:rPr>
        <w:t>Base necrótica y</w:t>
      </w:r>
      <w:r>
        <w:rPr>
          <w:spacing w:val="-5"/>
          <w:sz w:val="22"/>
        </w:rPr>
        <w:t> </w:t>
      </w:r>
      <w:r>
        <w:rPr>
          <w:sz w:val="22"/>
        </w:rPr>
        <w:t>peluda.</w:t>
      </w:r>
    </w:p>
    <w:p>
      <w:pPr>
        <w:pStyle w:val="ListParagraph"/>
        <w:numPr>
          <w:ilvl w:val="1"/>
          <w:numId w:val="8"/>
        </w:numPr>
        <w:tabs>
          <w:tab w:pos="2051" w:val="left" w:leader="none"/>
          <w:tab w:pos="2052" w:val="left" w:leader="none"/>
        </w:tabs>
        <w:spacing w:line="268" w:lineRule="auto" w:before="38" w:after="0"/>
        <w:ind w:left="2051" w:right="1435" w:hanging="361"/>
        <w:jc w:val="left"/>
        <w:rPr>
          <w:rFonts w:ascii="Symbol" w:hAnsi="Symbol"/>
          <w:sz w:val="22"/>
        </w:rPr>
      </w:pPr>
      <w:r>
        <w:rPr>
          <w:sz w:val="22"/>
        </w:rPr>
        <w:t>La úlcera puede surgir de una masa subyacente.</w:t>
      </w:r>
    </w:p>
    <w:p>
      <w:pPr>
        <w:pStyle w:val="BodyText"/>
        <w:spacing w:line="276" w:lineRule="auto" w:before="209"/>
        <w:ind w:left="1330" w:right="1435"/>
        <w:jc w:val="both"/>
      </w:pPr>
      <w:r>
        <w:rPr/>
        <w:t>La biopsia hace la diferenciación definitiva entre una ulcera maligna y benigna. La precisión del diagnóstico supera el 95% si se obtienen múltiples muestras de biopsia. Los falsos-negativos representan el 10% de los pacientes.</w:t>
      </w:r>
    </w:p>
    <w:p>
      <w:pPr>
        <w:pStyle w:val="BodyText"/>
        <w:spacing w:line="276" w:lineRule="auto" w:before="198"/>
        <w:ind w:left="1330" w:right="1434"/>
        <w:jc w:val="both"/>
      </w:pPr>
      <w:r>
        <w:rPr/>
        <w:pict>
          <v:shape style="position:absolute;margin-left:66.425003pt;margin-top:150.247864pt;width:223.7pt;height:100.25pt;mso-position-horizontal-relative:page;mso-position-vertical-relative:paragraph;z-index:1552"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61"/>
                  </w:tblGrid>
                  <w:tr>
                    <w:trPr>
                      <w:trHeight w:val="754" w:hRule="atLeast"/>
                    </w:trPr>
                    <w:tc>
                      <w:tcPr>
                        <w:tcW w:w="4461" w:type="dxa"/>
                      </w:tcPr>
                      <w:p>
                        <w:pPr>
                          <w:pStyle w:val="TableParagraph"/>
                          <w:spacing w:line="280" w:lineRule="auto"/>
                          <w:ind w:right="780"/>
                          <w:rPr>
                            <w:sz w:val="20"/>
                          </w:rPr>
                        </w:pPr>
                        <w:r>
                          <w:rPr>
                            <w:b/>
                            <w:sz w:val="22"/>
                          </w:rPr>
                          <w:t>Cuadro 1</w:t>
                        </w:r>
                        <w:r>
                          <w:rPr>
                            <w:sz w:val="20"/>
                          </w:rPr>
                          <w:t>. Hallazgos físicos del cáncer gástrico con metástasis</w:t>
                        </w:r>
                      </w:p>
                    </w:tc>
                  </w:tr>
                  <w:tr>
                    <w:trPr>
                      <w:trHeight w:val="1222" w:hRule="atLeast"/>
                    </w:trPr>
                    <w:tc>
                      <w:tcPr>
                        <w:tcW w:w="4461" w:type="dxa"/>
                      </w:tcPr>
                      <w:p>
                        <w:pPr>
                          <w:pStyle w:val="TableParagraph"/>
                          <w:numPr>
                            <w:ilvl w:val="0"/>
                            <w:numId w:val="18"/>
                          </w:numPr>
                          <w:tabs>
                            <w:tab w:pos="826" w:val="left" w:leader="none"/>
                            <w:tab w:pos="827" w:val="left" w:leader="none"/>
                          </w:tabs>
                          <w:spacing w:line="240" w:lineRule="auto" w:before="2" w:after="0"/>
                          <w:ind w:left="826" w:right="0" w:hanging="359"/>
                          <w:jc w:val="left"/>
                          <w:rPr>
                            <w:sz w:val="22"/>
                          </w:rPr>
                        </w:pPr>
                        <w:r>
                          <w:rPr>
                            <w:sz w:val="22"/>
                          </w:rPr>
                          <w:t>Caquexia</w:t>
                        </w:r>
                      </w:p>
                      <w:p>
                        <w:pPr>
                          <w:pStyle w:val="TableParagraph"/>
                          <w:numPr>
                            <w:ilvl w:val="0"/>
                            <w:numId w:val="18"/>
                          </w:numPr>
                          <w:tabs>
                            <w:tab w:pos="826" w:val="left" w:leader="none"/>
                            <w:tab w:pos="827" w:val="left" w:leader="none"/>
                          </w:tabs>
                          <w:spacing w:line="240" w:lineRule="auto" w:before="34" w:after="0"/>
                          <w:ind w:left="826" w:right="0" w:hanging="359"/>
                          <w:jc w:val="left"/>
                          <w:rPr>
                            <w:sz w:val="22"/>
                          </w:rPr>
                        </w:pPr>
                        <w:r>
                          <w:rPr>
                            <w:sz w:val="22"/>
                          </w:rPr>
                          <w:t>Masa</w:t>
                        </w:r>
                        <w:r>
                          <w:rPr>
                            <w:spacing w:val="-1"/>
                            <w:sz w:val="22"/>
                          </w:rPr>
                          <w:t> </w:t>
                        </w:r>
                        <w:r>
                          <w:rPr>
                            <w:sz w:val="22"/>
                          </w:rPr>
                          <w:t>abdominal</w:t>
                        </w:r>
                      </w:p>
                      <w:p>
                        <w:pPr>
                          <w:pStyle w:val="TableParagraph"/>
                          <w:numPr>
                            <w:ilvl w:val="0"/>
                            <w:numId w:val="18"/>
                          </w:numPr>
                          <w:tabs>
                            <w:tab w:pos="826" w:val="left" w:leader="none"/>
                            <w:tab w:pos="827" w:val="left" w:leader="none"/>
                          </w:tabs>
                          <w:spacing w:line="240" w:lineRule="auto" w:before="38" w:after="0"/>
                          <w:ind w:left="826" w:right="0" w:hanging="359"/>
                          <w:jc w:val="left"/>
                          <w:rPr>
                            <w:sz w:val="22"/>
                          </w:rPr>
                        </w:pPr>
                        <w:r>
                          <w:rPr>
                            <w:sz w:val="22"/>
                          </w:rPr>
                          <w:t>Hepatomegalia</w:t>
                        </w:r>
                      </w:p>
                      <w:p>
                        <w:pPr>
                          <w:pStyle w:val="TableParagraph"/>
                          <w:numPr>
                            <w:ilvl w:val="0"/>
                            <w:numId w:val="18"/>
                          </w:numPr>
                          <w:tabs>
                            <w:tab w:pos="826" w:val="left" w:leader="none"/>
                            <w:tab w:pos="827" w:val="left" w:leader="none"/>
                          </w:tabs>
                          <w:spacing w:line="240" w:lineRule="auto" w:before="34" w:after="0"/>
                          <w:ind w:left="826" w:right="0" w:hanging="359"/>
                          <w:jc w:val="left"/>
                          <w:rPr>
                            <w:sz w:val="22"/>
                          </w:rPr>
                        </w:pPr>
                        <w:r>
                          <w:rPr>
                            <w:sz w:val="22"/>
                          </w:rPr>
                          <w:t>Adenopatía</w:t>
                        </w:r>
                        <w:r>
                          <w:rPr>
                            <w:spacing w:val="-1"/>
                            <w:sz w:val="22"/>
                          </w:rPr>
                          <w:t> </w:t>
                        </w:r>
                        <w:r>
                          <w:rPr>
                            <w:sz w:val="22"/>
                          </w:rPr>
                          <w:t>supraclavicular</w:t>
                        </w:r>
                      </w:p>
                    </w:tc>
                  </w:tr>
                </w:tbl>
                <w:p>
                  <w:pPr>
                    <w:pStyle w:val="BodyText"/>
                  </w:pPr>
                </w:p>
              </w:txbxContent>
            </v:textbox>
            <w10:wrap type="none"/>
          </v:shape>
        </w:pict>
      </w:r>
      <w:r>
        <w:rPr/>
        <w:t>La endoscopia alta se ha incluido en</w:t>
      </w:r>
      <w:r>
        <w:rPr>
          <w:spacing w:val="33"/>
        </w:rPr>
        <w:t> </w:t>
      </w:r>
      <w:r>
        <w:rPr/>
        <w:t>los programas de tamizaje para poblaciones de alto riesgo. En Japón se tamiza a partir de los 60 años de edad y se ha evidenciado una reducción de </w:t>
      </w:r>
      <w:r>
        <w:rPr>
          <w:spacing w:val="-3"/>
        </w:rPr>
        <w:t>la </w:t>
      </w:r>
      <w:r>
        <w:rPr/>
        <w:t>mortalidad en dos tercios en los pacientes con complicaciones. La identificación de cánceres precoces (tumores cuyo crecimiento se limita a </w:t>
      </w:r>
      <w:r>
        <w:rPr>
          <w:spacing w:val="-3"/>
        </w:rPr>
        <w:t>la </w:t>
      </w:r>
      <w:r>
        <w:rPr/>
        <w:t>mucosa y </w:t>
      </w:r>
      <w:r>
        <w:rPr>
          <w:spacing w:val="-3"/>
        </w:rPr>
        <w:t>la </w:t>
      </w:r>
      <w:r>
        <w:rPr/>
        <w:t>submucosa independientemente de </w:t>
      </w:r>
      <w:r>
        <w:rPr>
          <w:spacing w:val="-3"/>
        </w:rPr>
        <w:t>la </w:t>
      </w:r>
      <w:r>
        <w:rPr/>
        <w:t>presencia o ausencia de enfermedad metastásica en los ganglios linfáticos perigástricos) aumentó de forma constante. Actualmente, más del 60% de las malignidades gástricas detectadas por el tamizaje son los cánceres precoces, y </w:t>
      </w:r>
      <w:r>
        <w:rPr>
          <w:spacing w:val="-3"/>
        </w:rPr>
        <w:t>la </w:t>
      </w:r>
      <w:r>
        <w:rPr/>
        <w:t>detección temprana ha mejorado </w:t>
      </w:r>
      <w:r>
        <w:rPr>
          <w:spacing w:val="-3"/>
        </w:rPr>
        <w:t>la </w:t>
      </w:r>
      <w:r>
        <w:rPr/>
        <w:t>supervivencia.</w:t>
      </w:r>
    </w:p>
    <w:p>
      <w:pPr>
        <w:pStyle w:val="BodyText"/>
        <w:spacing w:line="276" w:lineRule="auto" w:before="198"/>
        <w:ind w:left="1330" w:right="1436"/>
        <w:jc w:val="both"/>
      </w:pPr>
      <w:r>
        <w:rPr/>
        <w:t>Será interesante observar si el programa de tamizaje japonés sigue siendo rentable, por el descenso de la infección crónica por H. pylori en personas menores de 30 años</w:t>
      </w:r>
    </w:p>
    <w:p>
      <w:pPr>
        <w:spacing w:after="0" w:line="276" w:lineRule="auto"/>
        <w:jc w:val="both"/>
        <w:sectPr>
          <w:type w:val="continuous"/>
          <w:pgSz w:w="12240" w:h="15840"/>
          <w:pgMar w:top="1500" w:bottom="0" w:left="0" w:right="0"/>
          <w:cols w:num="2" w:equalWidth="0">
            <w:col w:w="5112" w:space="39"/>
            <w:col w:w="7089"/>
          </w:cols>
        </w:sectPr>
      </w:pPr>
    </w:p>
    <w:p>
      <w:pPr>
        <w:pStyle w:val="BodyText"/>
        <w:rPr>
          <w:sz w:val="20"/>
        </w:rPr>
      </w:pPr>
    </w:p>
    <w:p>
      <w:pPr>
        <w:spacing w:after="0"/>
        <w:rPr>
          <w:sz w:val="20"/>
        </w:rPr>
        <w:sectPr>
          <w:pgSz w:w="12240" w:h="15840"/>
          <w:pgMar w:header="723" w:footer="882" w:top="940" w:bottom="1080" w:left="0" w:right="0"/>
        </w:sectPr>
      </w:pPr>
    </w:p>
    <w:p>
      <w:pPr>
        <w:pStyle w:val="BodyText"/>
        <w:spacing w:before="8"/>
      </w:pPr>
    </w:p>
    <w:p>
      <w:pPr>
        <w:pStyle w:val="BodyText"/>
        <w:spacing w:line="259" w:lineRule="auto"/>
        <w:ind w:left="1440"/>
      </w:pPr>
      <w:r>
        <w:rPr/>
        <w:t>(25% vs 60% en comparación con sus padres).</w:t>
      </w:r>
    </w:p>
    <w:p>
      <w:pPr>
        <w:pStyle w:val="BodyText"/>
        <w:spacing w:line="276" w:lineRule="auto" w:before="162"/>
        <w:ind w:left="1440"/>
        <w:jc w:val="both"/>
      </w:pPr>
      <w:r>
        <w:rPr/>
        <w:t>A pesar del éxito del programa de tamizaje, </w:t>
      </w:r>
      <w:r>
        <w:rPr>
          <w:spacing w:val="-3"/>
        </w:rPr>
        <w:t>la </w:t>
      </w:r>
      <w:r>
        <w:rPr/>
        <w:t>detección masiva para el adenocarcinoma gástrico no se ha implementado en Estados Unidos o Canadá.</w:t>
      </w:r>
    </w:p>
    <w:p>
      <w:pPr>
        <w:pStyle w:val="Heading5"/>
        <w:spacing w:before="197"/>
        <w:jc w:val="left"/>
      </w:pPr>
      <w:r>
        <w:rPr/>
        <w:t>Radiografías de contraste con bario</w:t>
      </w:r>
    </w:p>
    <w:p>
      <w:pPr>
        <w:pStyle w:val="BodyText"/>
        <w:spacing w:before="2"/>
        <w:rPr>
          <w:b/>
          <w:sz w:val="21"/>
        </w:rPr>
      </w:pPr>
    </w:p>
    <w:p>
      <w:pPr>
        <w:pStyle w:val="ListParagraph"/>
        <w:numPr>
          <w:ilvl w:val="2"/>
          <w:numId w:val="8"/>
        </w:numPr>
        <w:tabs>
          <w:tab w:pos="2161" w:val="left" w:leader="none"/>
        </w:tabs>
        <w:spacing w:line="268" w:lineRule="auto" w:before="0" w:after="0"/>
        <w:ind w:left="2160" w:right="5" w:hanging="360"/>
        <w:jc w:val="both"/>
        <w:rPr>
          <w:sz w:val="22"/>
        </w:rPr>
      </w:pPr>
      <w:r>
        <w:rPr>
          <w:sz w:val="22"/>
        </w:rPr>
        <w:t>Método estándar para el diagnóstico de neoplasia gástrica en el</w:t>
      </w:r>
      <w:r>
        <w:rPr>
          <w:spacing w:val="-12"/>
          <w:sz w:val="22"/>
        </w:rPr>
        <w:t> </w:t>
      </w:r>
      <w:r>
        <w:rPr>
          <w:sz w:val="22"/>
        </w:rPr>
        <w:t>pasado.</w:t>
      </w:r>
    </w:p>
    <w:p>
      <w:pPr>
        <w:pStyle w:val="ListParagraph"/>
        <w:numPr>
          <w:ilvl w:val="2"/>
          <w:numId w:val="8"/>
        </w:numPr>
        <w:tabs>
          <w:tab w:pos="2161" w:val="left" w:leader="none"/>
        </w:tabs>
        <w:spacing w:line="273" w:lineRule="auto" w:before="11" w:after="0"/>
        <w:ind w:left="2160" w:right="0" w:hanging="360"/>
        <w:jc w:val="both"/>
        <w:rPr>
          <w:sz w:val="22"/>
        </w:rPr>
      </w:pPr>
      <w:r>
        <w:rPr>
          <w:sz w:val="22"/>
        </w:rPr>
        <w:t>Los exámenes con medio de contraste tienen una precisión diagnóstica de</w:t>
      </w:r>
      <w:r>
        <w:rPr>
          <w:spacing w:val="-1"/>
          <w:sz w:val="22"/>
        </w:rPr>
        <w:t> </w:t>
      </w:r>
      <w:r>
        <w:rPr>
          <w:sz w:val="22"/>
        </w:rPr>
        <w:t>80%.</w:t>
      </w:r>
    </w:p>
    <w:p>
      <w:pPr>
        <w:pStyle w:val="ListParagraph"/>
        <w:numPr>
          <w:ilvl w:val="2"/>
          <w:numId w:val="8"/>
        </w:numPr>
        <w:tabs>
          <w:tab w:pos="2161" w:val="left" w:leader="none"/>
        </w:tabs>
        <w:spacing w:line="273" w:lineRule="auto" w:before="5" w:after="0"/>
        <w:ind w:left="2160" w:right="0" w:hanging="360"/>
        <w:jc w:val="both"/>
        <w:rPr>
          <w:sz w:val="22"/>
        </w:rPr>
      </w:pPr>
      <w:r>
        <w:rPr>
          <w:sz w:val="22"/>
        </w:rPr>
        <w:t>Las técnicas de doble contraste (aire y bario) aumentan el diagnóstico hasta</w:t>
      </w:r>
      <w:r>
        <w:rPr>
          <w:spacing w:val="-4"/>
          <w:sz w:val="22"/>
        </w:rPr>
        <w:t> </w:t>
      </w:r>
      <w:r>
        <w:rPr>
          <w:sz w:val="22"/>
        </w:rPr>
        <w:t>90%.</w:t>
      </w:r>
    </w:p>
    <w:p>
      <w:pPr>
        <w:pStyle w:val="ListParagraph"/>
        <w:numPr>
          <w:ilvl w:val="2"/>
          <w:numId w:val="8"/>
        </w:numPr>
        <w:tabs>
          <w:tab w:pos="2160" w:val="left" w:leader="none"/>
          <w:tab w:pos="2161" w:val="left" w:leader="none"/>
        </w:tabs>
        <w:spacing w:line="240" w:lineRule="auto" w:before="5" w:after="0"/>
        <w:ind w:left="2160" w:right="0" w:hanging="360"/>
        <w:jc w:val="left"/>
        <w:rPr>
          <w:sz w:val="22"/>
        </w:rPr>
      </w:pPr>
      <w:r>
        <w:rPr>
          <w:sz w:val="22"/>
        </w:rPr>
        <w:t>Hallazgos</w:t>
      </w:r>
      <w:r>
        <w:rPr>
          <w:spacing w:val="-1"/>
          <w:sz w:val="22"/>
        </w:rPr>
        <w:t> </w:t>
      </w:r>
      <w:r>
        <w:rPr>
          <w:sz w:val="22"/>
        </w:rPr>
        <w:t>típicos:</w:t>
      </w:r>
    </w:p>
    <w:p>
      <w:pPr>
        <w:pStyle w:val="ListParagraph"/>
        <w:numPr>
          <w:ilvl w:val="1"/>
          <w:numId w:val="17"/>
        </w:numPr>
        <w:tabs>
          <w:tab w:pos="2881" w:val="left" w:leader="none"/>
        </w:tabs>
        <w:spacing w:line="240" w:lineRule="auto" w:before="33" w:after="0"/>
        <w:ind w:left="2881" w:right="0" w:hanging="360"/>
        <w:jc w:val="left"/>
        <w:rPr>
          <w:sz w:val="22"/>
        </w:rPr>
      </w:pPr>
      <w:r>
        <w:rPr>
          <w:sz w:val="22"/>
        </w:rPr>
        <w:t>Ulceración</w:t>
      </w:r>
    </w:p>
    <w:p>
      <w:pPr>
        <w:pStyle w:val="ListParagraph"/>
        <w:numPr>
          <w:ilvl w:val="1"/>
          <w:numId w:val="17"/>
        </w:numPr>
        <w:tabs>
          <w:tab w:pos="2881" w:val="left" w:leader="none"/>
        </w:tabs>
        <w:spacing w:line="240" w:lineRule="auto" w:before="38" w:after="0"/>
        <w:ind w:left="2881" w:right="0" w:hanging="360"/>
        <w:jc w:val="left"/>
        <w:rPr>
          <w:sz w:val="22"/>
        </w:rPr>
      </w:pPr>
      <w:r>
        <w:rPr>
          <w:sz w:val="22"/>
        </w:rPr>
        <w:t>Presencia de masa</w:t>
      </w:r>
      <w:r>
        <w:rPr>
          <w:spacing w:val="-10"/>
          <w:sz w:val="22"/>
        </w:rPr>
        <w:t> </w:t>
      </w:r>
      <w:r>
        <w:rPr>
          <w:sz w:val="22"/>
        </w:rPr>
        <w:t>gástrica</w:t>
      </w:r>
    </w:p>
    <w:p>
      <w:pPr>
        <w:pStyle w:val="ListParagraph"/>
        <w:numPr>
          <w:ilvl w:val="1"/>
          <w:numId w:val="17"/>
        </w:numPr>
        <w:tabs>
          <w:tab w:pos="2881" w:val="left" w:leader="none"/>
        </w:tabs>
        <w:spacing w:line="276" w:lineRule="auto" w:before="38" w:after="0"/>
        <w:ind w:left="2881" w:right="0" w:hanging="360"/>
        <w:jc w:val="left"/>
        <w:rPr>
          <w:sz w:val="22"/>
        </w:rPr>
      </w:pPr>
      <w:r>
        <w:rPr>
          <w:sz w:val="22"/>
        </w:rPr>
        <w:t>Pérdida de </w:t>
      </w:r>
      <w:r>
        <w:rPr>
          <w:spacing w:val="-3"/>
          <w:sz w:val="22"/>
        </w:rPr>
        <w:t>la </w:t>
      </w:r>
      <w:r>
        <w:rPr>
          <w:sz w:val="22"/>
        </w:rPr>
        <w:t>continuidad de </w:t>
      </w:r>
      <w:r>
        <w:rPr>
          <w:spacing w:val="-3"/>
          <w:sz w:val="22"/>
        </w:rPr>
        <w:t>la</w:t>
      </w:r>
      <w:r>
        <w:rPr>
          <w:sz w:val="22"/>
        </w:rPr>
        <w:t> mucosa</w:t>
      </w:r>
    </w:p>
    <w:p>
      <w:pPr>
        <w:pStyle w:val="ListParagraph"/>
        <w:numPr>
          <w:ilvl w:val="1"/>
          <w:numId w:val="17"/>
        </w:numPr>
        <w:tabs>
          <w:tab w:pos="2881" w:val="left" w:leader="none"/>
          <w:tab w:pos="4139" w:val="left" w:leader="none"/>
          <w:tab w:pos="4671" w:val="left" w:leader="none"/>
          <w:tab w:pos="5122" w:val="left" w:leader="none"/>
        </w:tabs>
        <w:spacing w:line="276" w:lineRule="auto" w:before="0" w:after="0"/>
        <w:ind w:left="2881" w:right="3" w:hanging="360"/>
        <w:jc w:val="left"/>
        <w:rPr>
          <w:sz w:val="22"/>
        </w:rPr>
      </w:pPr>
      <w:r>
        <w:rPr>
          <w:sz w:val="22"/>
        </w:rPr>
        <w:t>Distorsión</w:t>
        <w:tab/>
        <w:t>de</w:t>
        <w:tab/>
      </w:r>
      <w:r>
        <w:rPr>
          <w:spacing w:val="-3"/>
          <w:sz w:val="22"/>
        </w:rPr>
        <w:t>la</w:t>
        <w:tab/>
      </w:r>
      <w:r>
        <w:rPr>
          <w:spacing w:val="-1"/>
          <w:sz w:val="22"/>
        </w:rPr>
        <w:t>silueta </w:t>
      </w:r>
      <w:r>
        <w:rPr>
          <w:sz w:val="22"/>
        </w:rPr>
        <w:t>gástrica</w:t>
      </w:r>
    </w:p>
    <w:p>
      <w:pPr>
        <w:pStyle w:val="Heading5"/>
        <w:spacing w:before="201"/>
        <w:jc w:val="left"/>
      </w:pPr>
      <w:r>
        <w:rPr/>
        <w:t>Tomografía computarizada (TC)</w:t>
      </w:r>
    </w:p>
    <w:p>
      <w:pPr>
        <w:pStyle w:val="BodyText"/>
        <w:spacing w:before="10"/>
        <w:rPr>
          <w:b/>
          <w:sz w:val="20"/>
        </w:rPr>
      </w:pPr>
    </w:p>
    <w:p>
      <w:pPr>
        <w:pStyle w:val="ListParagraph"/>
        <w:numPr>
          <w:ilvl w:val="2"/>
          <w:numId w:val="8"/>
        </w:numPr>
        <w:tabs>
          <w:tab w:pos="2161" w:val="left" w:leader="none"/>
        </w:tabs>
        <w:spacing w:line="276" w:lineRule="auto" w:before="0" w:after="0"/>
        <w:ind w:left="2160" w:right="0" w:hanging="360"/>
        <w:jc w:val="both"/>
        <w:rPr>
          <w:sz w:val="22"/>
        </w:rPr>
      </w:pPr>
      <w:r>
        <w:rPr>
          <w:sz w:val="22"/>
        </w:rPr>
        <w:t>Método diagnóstico primario y evalúa </w:t>
      </w:r>
      <w:r>
        <w:rPr>
          <w:spacing w:val="-3"/>
          <w:sz w:val="22"/>
        </w:rPr>
        <w:t>la </w:t>
      </w:r>
      <w:r>
        <w:rPr>
          <w:sz w:val="22"/>
        </w:rPr>
        <w:t>diseminación extragástrica de </w:t>
      </w:r>
      <w:r>
        <w:rPr>
          <w:spacing w:val="-3"/>
          <w:sz w:val="22"/>
        </w:rPr>
        <w:t>la</w:t>
      </w:r>
      <w:r>
        <w:rPr>
          <w:sz w:val="22"/>
        </w:rPr>
        <w:t> enfermedad.</w:t>
      </w:r>
    </w:p>
    <w:p>
      <w:pPr>
        <w:pStyle w:val="ListParagraph"/>
        <w:numPr>
          <w:ilvl w:val="2"/>
          <w:numId w:val="8"/>
        </w:numPr>
        <w:tabs>
          <w:tab w:pos="2161" w:val="left" w:leader="none"/>
        </w:tabs>
        <w:spacing w:line="276" w:lineRule="auto" w:before="0" w:after="0"/>
        <w:ind w:left="2160" w:right="0" w:hanging="360"/>
        <w:jc w:val="both"/>
        <w:rPr>
          <w:sz w:val="22"/>
        </w:rPr>
      </w:pPr>
      <w:r>
        <w:rPr>
          <w:sz w:val="22"/>
        </w:rPr>
        <w:t>TC con medio de contraste intraluminal e intravenoso puede evidenciar infiltración del tumor en </w:t>
      </w:r>
      <w:r>
        <w:rPr>
          <w:spacing w:val="-3"/>
          <w:sz w:val="22"/>
        </w:rPr>
        <w:t>la </w:t>
      </w:r>
      <w:r>
        <w:rPr>
          <w:sz w:val="22"/>
        </w:rPr>
        <w:t>pared gástrica, ulceración gástrica y metástasis</w:t>
      </w:r>
      <w:r>
        <w:rPr>
          <w:spacing w:val="-1"/>
          <w:sz w:val="22"/>
        </w:rPr>
        <w:t> </w:t>
      </w:r>
      <w:r>
        <w:rPr>
          <w:sz w:val="22"/>
        </w:rPr>
        <w:t>hepáticas.</w:t>
      </w:r>
    </w:p>
    <w:p>
      <w:pPr>
        <w:pStyle w:val="ListParagraph"/>
        <w:numPr>
          <w:ilvl w:val="2"/>
          <w:numId w:val="8"/>
        </w:numPr>
        <w:tabs>
          <w:tab w:pos="2161" w:val="left" w:leader="none"/>
        </w:tabs>
        <w:spacing w:line="273" w:lineRule="auto" w:before="4" w:after="0"/>
        <w:ind w:left="2160" w:right="2" w:hanging="360"/>
        <w:jc w:val="both"/>
        <w:rPr>
          <w:sz w:val="22"/>
        </w:rPr>
      </w:pPr>
      <w:r>
        <w:rPr>
          <w:sz w:val="22"/>
        </w:rPr>
        <w:t>La técnica es menos confiable para evaluar </w:t>
      </w:r>
      <w:r>
        <w:rPr>
          <w:spacing w:val="-3"/>
          <w:sz w:val="22"/>
        </w:rPr>
        <w:t>la </w:t>
      </w:r>
      <w:r>
        <w:rPr>
          <w:sz w:val="22"/>
        </w:rPr>
        <w:t>infiltración tumoral a órganos adyacentes o metástasis linfáticas.</w:t>
      </w:r>
    </w:p>
    <w:p>
      <w:pPr>
        <w:pStyle w:val="Heading5"/>
        <w:spacing w:before="196"/>
        <w:jc w:val="left"/>
      </w:pPr>
      <w:r>
        <w:rPr/>
        <w:t>Ultrasonido endoscópico</w:t>
      </w:r>
    </w:p>
    <w:p>
      <w:pPr>
        <w:pStyle w:val="BodyText"/>
        <w:spacing w:before="2"/>
        <w:rPr>
          <w:b/>
          <w:sz w:val="21"/>
        </w:rPr>
      </w:pPr>
    </w:p>
    <w:p>
      <w:pPr>
        <w:pStyle w:val="ListParagraph"/>
        <w:numPr>
          <w:ilvl w:val="2"/>
          <w:numId w:val="8"/>
        </w:numPr>
        <w:tabs>
          <w:tab w:pos="2161" w:val="left" w:leader="none"/>
        </w:tabs>
        <w:spacing w:line="273" w:lineRule="auto" w:before="0" w:after="0"/>
        <w:ind w:left="2160" w:right="2" w:hanging="360"/>
        <w:jc w:val="both"/>
        <w:rPr>
          <w:sz w:val="22"/>
        </w:rPr>
      </w:pPr>
      <w:r>
        <w:rPr>
          <w:sz w:val="22"/>
        </w:rPr>
        <w:t>Diagnóstico local y evaluación preoperatoria para</w:t>
      </w:r>
      <w:r>
        <w:rPr>
          <w:spacing w:val="-6"/>
          <w:sz w:val="22"/>
        </w:rPr>
        <w:t> </w:t>
      </w:r>
      <w:r>
        <w:rPr>
          <w:sz w:val="22"/>
        </w:rPr>
        <w:t>estadificación.</w:t>
      </w:r>
    </w:p>
    <w:p>
      <w:pPr>
        <w:pStyle w:val="BodyText"/>
        <w:spacing w:before="10"/>
      </w:pPr>
      <w:r>
        <w:rPr/>
        <w:br w:type="column"/>
      </w:r>
      <w:r>
        <w:rPr/>
      </w:r>
    </w:p>
    <w:p>
      <w:pPr>
        <w:pStyle w:val="ListParagraph"/>
        <w:numPr>
          <w:ilvl w:val="0"/>
          <w:numId w:val="8"/>
        </w:numPr>
        <w:tabs>
          <w:tab w:pos="1401" w:val="left" w:leader="none"/>
        </w:tabs>
        <w:spacing w:line="273" w:lineRule="auto" w:before="0" w:after="0"/>
        <w:ind w:left="1400" w:right="1432" w:hanging="361"/>
        <w:jc w:val="both"/>
        <w:rPr>
          <w:sz w:val="22"/>
        </w:rPr>
      </w:pPr>
      <w:r>
        <w:rPr>
          <w:sz w:val="22"/>
        </w:rPr>
        <w:t>Capacidad de diferenciar lesiones subepiteliales versus cáncer gástrico.</w:t>
      </w:r>
    </w:p>
    <w:p>
      <w:pPr>
        <w:pStyle w:val="ListParagraph"/>
        <w:numPr>
          <w:ilvl w:val="0"/>
          <w:numId w:val="8"/>
        </w:numPr>
        <w:tabs>
          <w:tab w:pos="1401" w:val="left" w:leader="none"/>
        </w:tabs>
        <w:spacing w:line="273" w:lineRule="auto" w:before="5" w:after="0"/>
        <w:ind w:left="1400" w:right="1435" w:hanging="361"/>
        <w:jc w:val="both"/>
        <w:rPr>
          <w:sz w:val="22"/>
        </w:rPr>
      </w:pPr>
      <w:r>
        <w:rPr>
          <w:sz w:val="22"/>
        </w:rPr>
        <w:t>Guia </w:t>
      </w:r>
      <w:r>
        <w:rPr>
          <w:spacing w:val="-3"/>
          <w:sz w:val="22"/>
        </w:rPr>
        <w:t>la </w:t>
      </w:r>
      <w:r>
        <w:rPr>
          <w:sz w:val="22"/>
        </w:rPr>
        <w:t>biopsia de tumores submucosos dentro de </w:t>
      </w:r>
      <w:r>
        <w:rPr>
          <w:spacing w:val="-3"/>
          <w:sz w:val="22"/>
        </w:rPr>
        <w:t>la </w:t>
      </w:r>
      <w:r>
        <w:rPr>
          <w:sz w:val="22"/>
        </w:rPr>
        <w:t>pared del estómago.</w:t>
      </w:r>
    </w:p>
    <w:p>
      <w:pPr>
        <w:pStyle w:val="ListParagraph"/>
        <w:numPr>
          <w:ilvl w:val="0"/>
          <w:numId w:val="8"/>
        </w:numPr>
        <w:tabs>
          <w:tab w:pos="1401" w:val="left" w:leader="none"/>
        </w:tabs>
        <w:spacing w:line="273" w:lineRule="auto" w:before="5" w:after="0"/>
        <w:ind w:left="1400" w:right="1434" w:hanging="361"/>
        <w:jc w:val="both"/>
        <w:rPr>
          <w:sz w:val="22"/>
        </w:rPr>
      </w:pPr>
      <w:r>
        <w:rPr>
          <w:sz w:val="22"/>
        </w:rPr>
        <w:t>Capacidad para evaluar </w:t>
      </w:r>
      <w:r>
        <w:rPr>
          <w:spacing w:val="-3"/>
          <w:sz w:val="22"/>
        </w:rPr>
        <w:t>la </w:t>
      </w:r>
      <w:r>
        <w:rPr>
          <w:sz w:val="22"/>
        </w:rPr>
        <w:t>profundidad y </w:t>
      </w:r>
      <w:r>
        <w:rPr>
          <w:spacing w:val="-3"/>
          <w:sz w:val="22"/>
        </w:rPr>
        <w:t>la </w:t>
      </w:r>
      <w:r>
        <w:rPr>
          <w:sz w:val="22"/>
        </w:rPr>
        <w:t>infiltración tumoral en </w:t>
      </w:r>
      <w:r>
        <w:rPr>
          <w:spacing w:val="-3"/>
          <w:sz w:val="22"/>
        </w:rPr>
        <w:t>la </w:t>
      </w:r>
      <w:r>
        <w:rPr>
          <w:sz w:val="22"/>
        </w:rPr>
        <w:t>pared gástrica y estructuras adyacentes.</w:t>
      </w:r>
    </w:p>
    <w:p>
      <w:pPr>
        <w:pStyle w:val="ListParagraph"/>
        <w:numPr>
          <w:ilvl w:val="0"/>
          <w:numId w:val="8"/>
        </w:numPr>
        <w:tabs>
          <w:tab w:pos="1401" w:val="left" w:leader="none"/>
        </w:tabs>
        <w:spacing w:line="276" w:lineRule="auto" w:before="1" w:after="0"/>
        <w:ind w:left="1400" w:right="1436" w:hanging="361"/>
        <w:jc w:val="both"/>
        <w:rPr>
          <w:sz w:val="22"/>
        </w:rPr>
      </w:pPr>
      <w:r>
        <w:rPr>
          <w:sz w:val="22"/>
        </w:rPr>
        <w:t>Buena correlación entre </w:t>
      </w:r>
      <w:r>
        <w:rPr>
          <w:spacing w:val="-3"/>
          <w:sz w:val="22"/>
        </w:rPr>
        <w:t>la </w:t>
      </w:r>
      <w:r>
        <w:rPr>
          <w:sz w:val="22"/>
        </w:rPr>
        <w:t>evaluación intraoperatoria y los hallazgos</w:t>
      </w:r>
      <w:r>
        <w:rPr>
          <w:spacing w:val="-1"/>
          <w:sz w:val="22"/>
        </w:rPr>
        <w:t> </w:t>
      </w:r>
      <w:r>
        <w:rPr>
          <w:sz w:val="22"/>
        </w:rPr>
        <w:t>histológicos.</w:t>
      </w:r>
    </w:p>
    <w:p>
      <w:pPr>
        <w:pStyle w:val="ListParagraph"/>
        <w:numPr>
          <w:ilvl w:val="0"/>
          <w:numId w:val="8"/>
        </w:numPr>
        <w:tabs>
          <w:tab w:pos="1401" w:val="left" w:leader="none"/>
        </w:tabs>
        <w:spacing w:line="276" w:lineRule="auto" w:before="0" w:after="0"/>
        <w:ind w:left="1400" w:right="1436" w:hanging="361"/>
        <w:jc w:val="both"/>
        <w:rPr>
          <w:sz w:val="22"/>
        </w:rPr>
      </w:pPr>
      <w:r>
        <w:rPr>
          <w:sz w:val="22"/>
        </w:rPr>
        <w:t>Identificación confiable de </w:t>
      </w:r>
      <w:r>
        <w:rPr>
          <w:spacing w:val="-3"/>
          <w:sz w:val="22"/>
        </w:rPr>
        <w:t>la </w:t>
      </w:r>
      <w:r>
        <w:rPr>
          <w:sz w:val="22"/>
        </w:rPr>
        <w:t>infiltración tumoral en los ganglios linfáticos</w:t>
      </w:r>
      <w:r>
        <w:rPr>
          <w:spacing w:val="-1"/>
          <w:sz w:val="22"/>
        </w:rPr>
        <w:t> </w:t>
      </w:r>
      <w:r>
        <w:rPr>
          <w:sz w:val="22"/>
        </w:rPr>
        <w:t>perigástricos.</w:t>
      </w:r>
    </w:p>
    <w:p>
      <w:pPr>
        <w:pStyle w:val="ListParagraph"/>
        <w:numPr>
          <w:ilvl w:val="0"/>
          <w:numId w:val="8"/>
        </w:numPr>
        <w:tabs>
          <w:tab w:pos="1401" w:val="left" w:leader="none"/>
        </w:tabs>
        <w:spacing w:line="276" w:lineRule="auto" w:before="0" w:after="0"/>
        <w:ind w:left="1400" w:right="1434" w:hanging="361"/>
        <w:jc w:val="both"/>
        <w:rPr>
          <w:sz w:val="22"/>
        </w:rPr>
      </w:pPr>
      <w:r>
        <w:rPr>
          <w:sz w:val="22"/>
        </w:rPr>
        <w:t>Evaluación de </w:t>
      </w:r>
      <w:r>
        <w:rPr>
          <w:spacing w:val="-3"/>
          <w:sz w:val="22"/>
        </w:rPr>
        <w:t>la </w:t>
      </w:r>
      <w:r>
        <w:rPr>
          <w:sz w:val="22"/>
        </w:rPr>
        <w:t>enfermedad es precisa para el estadio local (estado TN), 57% -83% invasión tumoral y 50%-78 % para </w:t>
      </w:r>
      <w:r>
        <w:rPr>
          <w:spacing w:val="-3"/>
          <w:sz w:val="22"/>
        </w:rPr>
        <w:t>la </w:t>
      </w:r>
      <w:r>
        <w:rPr>
          <w:sz w:val="22"/>
        </w:rPr>
        <w:t>afectación de ganglios.</w:t>
      </w:r>
    </w:p>
    <w:p>
      <w:pPr>
        <w:pStyle w:val="ListParagraph"/>
        <w:numPr>
          <w:ilvl w:val="0"/>
          <w:numId w:val="8"/>
        </w:numPr>
        <w:tabs>
          <w:tab w:pos="1400" w:val="left" w:leader="none"/>
          <w:tab w:pos="1401" w:val="left" w:leader="none"/>
        </w:tabs>
        <w:spacing w:line="240" w:lineRule="auto" w:before="3" w:after="0"/>
        <w:ind w:left="1400" w:right="0" w:hanging="361"/>
        <w:jc w:val="left"/>
        <w:rPr>
          <w:sz w:val="22"/>
        </w:rPr>
      </w:pPr>
      <w:r>
        <w:rPr>
          <w:sz w:val="22"/>
        </w:rPr>
        <w:t>Limitación</w:t>
      </w:r>
    </w:p>
    <w:p>
      <w:pPr>
        <w:pStyle w:val="ListParagraph"/>
        <w:numPr>
          <w:ilvl w:val="0"/>
          <w:numId w:val="19"/>
        </w:numPr>
        <w:tabs>
          <w:tab w:pos="1761" w:val="left" w:leader="none"/>
        </w:tabs>
        <w:spacing w:line="276" w:lineRule="auto" w:before="33" w:after="0"/>
        <w:ind w:left="1760" w:right="1437" w:hanging="360"/>
        <w:jc w:val="both"/>
        <w:rPr>
          <w:sz w:val="22"/>
        </w:rPr>
      </w:pPr>
      <w:r>
        <w:rPr>
          <w:sz w:val="22"/>
        </w:rPr>
        <w:t>La profundidad limita </w:t>
      </w:r>
      <w:r>
        <w:rPr>
          <w:spacing w:val="-3"/>
          <w:sz w:val="22"/>
        </w:rPr>
        <w:t>la </w:t>
      </w:r>
      <w:r>
        <w:rPr>
          <w:sz w:val="22"/>
        </w:rPr>
        <w:t>evaluación de tejidos, no puede detectar metástasis</w:t>
      </w:r>
      <w:r>
        <w:rPr>
          <w:spacing w:val="-7"/>
          <w:sz w:val="22"/>
        </w:rPr>
        <w:t> </w:t>
      </w:r>
      <w:r>
        <w:rPr>
          <w:sz w:val="22"/>
        </w:rPr>
        <w:t>hepáticas.</w:t>
      </w:r>
    </w:p>
    <w:p>
      <w:pPr>
        <w:pStyle w:val="ListParagraph"/>
        <w:numPr>
          <w:ilvl w:val="0"/>
          <w:numId w:val="8"/>
        </w:numPr>
        <w:tabs>
          <w:tab w:pos="1401" w:val="left" w:leader="none"/>
        </w:tabs>
        <w:spacing w:line="276" w:lineRule="auto" w:before="0" w:after="0"/>
        <w:ind w:left="1400" w:right="1435" w:hanging="361"/>
        <w:jc w:val="both"/>
        <w:rPr>
          <w:sz w:val="22"/>
        </w:rPr>
      </w:pPr>
      <w:r>
        <w:rPr>
          <w:sz w:val="22"/>
        </w:rPr>
        <w:t>Se utiliza como método complementario a los estudios de imagen transversal y sólo está indicado como un método de estadificación del tumor localmente resecable (sin metástasis evidente a distancia en </w:t>
      </w:r>
      <w:r>
        <w:rPr>
          <w:spacing w:val="-3"/>
          <w:sz w:val="22"/>
        </w:rPr>
        <w:t>la </w:t>
      </w:r>
      <w:r>
        <w:rPr>
          <w:sz w:val="22"/>
        </w:rPr>
        <w:t>imagen</w:t>
      </w:r>
      <w:r>
        <w:rPr>
          <w:spacing w:val="-5"/>
          <w:sz w:val="22"/>
        </w:rPr>
        <w:t> </w:t>
      </w:r>
      <w:r>
        <w:rPr>
          <w:sz w:val="22"/>
        </w:rPr>
        <w:t>transversal).</w:t>
      </w:r>
    </w:p>
    <w:p>
      <w:pPr>
        <w:pStyle w:val="BodyText"/>
        <w:rPr>
          <w:sz w:val="24"/>
        </w:rPr>
      </w:pPr>
    </w:p>
    <w:p>
      <w:pPr>
        <w:pStyle w:val="BodyText"/>
        <w:spacing w:before="9"/>
        <w:rPr>
          <w:sz w:val="18"/>
        </w:rPr>
      </w:pPr>
    </w:p>
    <w:p>
      <w:pPr>
        <w:pStyle w:val="Heading4"/>
        <w:ind w:left="679"/>
      </w:pPr>
      <w:r>
        <w:rPr/>
        <w:t>IMAGENES METABOLICAS</w:t>
      </w:r>
    </w:p>
    <w:p>
      <w:pPr>
        <w:pStyle w:val="BodyText"/>
        <w:spacing w:before="8"/>
        <w:rPr>
          <w:b/>
          <w:sz w:val="20"/>
        </w:rPr>
      </w:pPr>
    </w:p>
    <w:p>
      <w:pPr>
        <w:pStyle w:val="Heading5"/>
        <w:spacing w:line="276" w:lineRule="auto"/>
        <w:ind w:left="679" w:right="1439"/>
        <w:jc w:val="left"/>
      </w:pPr>
      <w:r>
        <w:rPr/>
        <w:t>Tomografía de emisión positiva (PET) con 18F - fluorodeoxiglucosa</w:t>
      </w:r>
    </w:p>
    <w:p>
      <w:pPr>
        <w:pStyle w:val="ListParagraph"/>
        <w:numPr>
          <w:ilvl w:val="0"/>
          <w:numId w:val="8"/>
        </w:numPr>
        <w:tabs>
          <w:tab w:pos="1401" w:val="left" w:leader="none"/>
        </w:tabs>
        <w:spacing w:line="271" w:lineRule="auto" w:before="207" w:after="0"/>
        <w:ind w:left="1400" w:right="1441" w:hanging="361"/>
        <w:jc w:val="both"/>
        <w:rPr>
          <w:sz w:val="22"/>
        </w:rPr>
      </w:pPr>
      <w:r>
        <w:rPr>
          <w:sz w:val="22"/>
        </w:rPr>
        <w:t>Menos precisa que el TC y EUS para estadificación</w:t>
      </w:r>
      <w:r>
        <w:rPr>
          <w:spacing w:val="-4"/>
          <w:sz w:val="22"/>
        </w:rPr>
        <w:t> </w:t>
      </w:r>
      <w:r>
        <w:rPr>
          <w:sz w:val="22"/>
        </w:rPr>
        <w:t>local-regional</w:t>
      </w:r>
    </w:p>
    <w:p>
      <w:pPr>
        <w:pStyle w:val="ListParagraph"/>
        <w:numPr>
          <w:ilvl w:val="0"/>
          <w:numId w:val="8"/>
        </w:numPr>
        <w:tabs>
          <w:tab w:pos="1401" w:val="left" w:leader="none"/>
        </w:tabs>
        <w:spacing w:line="268" w:lineRule="auto" w:before="7" w:after="0"/>
        <w:ind w:left="1400" w:right="1429" w:hanging="361"/>
        <w:jc w:val="both"/>
        <w:rPr>
          <w:sz w:val="22"/>
        </w:rPr>
      </w:pPr>
      <w:r>
        <w:rPr>
          <w:sz w:val="22"/>
        </w:rPr>
        <w:t>Más sensible para detectar metástasis a</w:t>
      </w:r>
      <w:r>
        <w:rPr>
          <w:spacing w:val="-2"/>
          <w:sz w:val="22"/>
        </w:rPr>
        <w:t> </w:t>
      </w:r>
      <w:r>
        <w:rPr>
          <w:sz w:val="22"/>
        </w:rPr>
        <w:t>distancia.</w:t>
      </w:r>
    </w:p>
    <w:p>
      <w:pPr>
        <w:pStyle w:val="ListParagraph"/>
        <w:numPr>
          <w:ilvl w:val="0"/>
          <w:numId w:val="8"/>
        </w:numPr>
        <w:tabs>
          <w:tab w:pos="1400" w:val="left" w:leader="none"/>
          <w:tab w:pos="1401" w:val="left" w:leader="none"/>
        </w:tabs>
        <w:spacing w:line="240" w:lineRule="auto" w:before="10" w:after="0"/>
        <w:ind w:left="1400" w:right="0" w:hanging="361"/>
        <w:jc w:val="left"/>
        <w:rPr>
          <w:sz w:val="22"/>
        </w:rPr>
      </w:pPr>
      <w:r>
        <w:rPr>
          <w:sz w:val="22"/>
        </w:rPr>
        <w:t>Usos:</w:t>
      </w:r>
    </w:p>
    <w:p>
      <w:pPr>
        <w:spacing w:after="0" w:line="240" w:lineRule="auto"/>
        <w:jc w:val="left"/>
        <w:rPr>
          <w:sz w:val="22"/>
        </w:rPr>
        <w:sectPr>
          <w:type w:val="continuous"/>
          <w:pgSz w:w="12240" w:h="15840"/>
          <w:pgMar w:top="1500" w:bottom="0" w:left="0" w:right="0"/>
          <w:cols w:num="2" w:equalWidth="0">
            <w:col w:w="5763" w:space="40"/>
            <w:col w:w="6437"/>
          </w:cols>
        </w:sectPr>
      </w:pPr>
    </w:p>
    <w:p>
      <w:pPr>
        <w:pStyle w:val="BodyText"/>
        <w:rPr>
          <w:sz w:val="20"/>
        </w:rPr>
      </w:pPr>
    </w:p>
    <w:p>
      <w:pPr>
        <w:spacing w:after="0"/>
        <w:rPr>
          <w:sz w:val="20"/>
        </w:rPr>
        <w:sectPr>
          <w:pgSz w:w="12240" w:h="15840"/>
          <w:pgMar w:header="723" w:footer="872" w:top="940" w:bottom="1060" w:left="0" w:right="0"/>
        </w:sectPr>
      </w:pPr>
    </w:p>
    <w:p>
      <w:pPr>
        <w:pStyle w:val="BodyText"/>
        <w:spacing w:before="8"/>
      </w:pPr>
    </w:p>
    <w:p>
      <w:pPr>
        <w:pStyle w:val="ListParagraph"/>
        <w:numPr>
          <w:ilvl w:val="1"/>
          <w:numId w:val="19"/>
        </w:numPr>
        <w:tabs>
          <w:tab w:pos="2161" w:val="left" w:leader="none"/>
        </w:tabs>
        <w:spacing w:line="278" w:lineRule="auto" w:before="0" w:after="0"/>
        <w:ind w:left="2160" w:right="0" w:hanging="360"/>
        <w:jc w:val="left"/>
        <w:rPr>
          <w:sz w:val="22"/>
        </w:rPr>
      </w:pPr>
      <w:r>
        <w:rPr>
          <w:sz w:val="22"/>
        </w:rPr>
        <w:t>Tumores localmente avanzados con alto potencial</w:t>
      </w:r>
      <w:r>
        <w:rPr>
          <w:spacing w:val="-7"/>
          <w:sz w:val="22"/>
        </w:rPr>
        <w:t> </w:t>
      </w:r>
      <w:r>
        <w:rPr>
          <w:sz w:val="22"/>
        </w:rPr>
        <w:t>metastásico.</w:t>
      </w:r>
    </w:p>
    <w:p>
      <w:pPr>
        <w:pStyle w:val="ListParagraph"/>
        <w:numPr>
          <w:ilvl w:val="1"/>
          <w:numId w:val="19"/>
        </w:numPr>
        <w:tabs>
          <w:tab w:pos="2161" w:val="left" w:leader="none"/>
        </w:tabs>
        <w:spacing w:line="248" w:lineRule="exact" w:before="0" w:after="0"/>
        <w:ind w:left="2160" w:right="0" w:hanging="360"/>
        <w:jc w:val="left"/>
        <w:rPr>
          <w:sz w:val="22"/>
        </w:rPr>
      </w:pPr>
      <w:r>
        <w:rPr>
          <w:sz w:val="22"/>
        </w:rPr>
        <w:t>Terapia</w:t>
      </w:r>
      <w:r>
        <w:rPr>
          <w:spacing w:val="-1"/>
          <w:sz w:val="22"/>
        </w:rPr>
        <w:t> </w:t>
      </w:r>
      <w:r>
        <w:rPr>
          <w:sz w:val="22"/>
        </w:rPr>
        <w:t>neoadyuvante</w:t>
      </w:r>
    </w:p>
    <w:p>
      <w:pPr>
        <w:pStyle w:val="BodyText"/>
        <w:spacing w:before="6"/>
        <w:rPr>
          <w:sz w:val="20"/>
        </w:rPr>
      </w:pPr>
    </w:p>
    <w:p>
      <w:pPr>
        <w:pStyle w:val="Heading4"/>
        <w:spacing w:before="1"/>
      </w:pPr>
      <w:r>
        <w:rPr/>
        <w:t>PATOLOGIA</w:t>
      </w:r>
    </w:p>
    <w:p>
      <w:pPr>
        <w:pStyle w:val="BodyText"/>
        <w:spacing w:before="5"/>
        <w:rPr>
          <w:b/>
          <w:sz w:val="21"/>
        </w:rPr>
      </w:pPr>
    </w:p>
    <w:p>
      <w:pPr>
        <w:pStyle w:val="BodyText"/>
        <w:spacing w:line="276" w:lineRule="auto" w:before="1"/>
        <w:ind w:left="1440" w:right="3"/>
        <w:jc w:val="both"/>
      </w:pPr>
      <w:r>
        <w:rPr/>
        <w:pict>
          <v:shape style="position:absolute;margin-left:68.224998pt;margin-top:84.167908pt;width:223.9pt;height:346.5pt;mso-position-horizontal-relative:page;mso-position-vertical-relative:paragraph;z-index:1576"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32"/>
                    <w:gridCol w:w="2233"/>
                  </w:tblGrid>
                  <w:tr>
                    <w:trPr>
                      <w:trHeight w:val="726" w:hRule="atLeast"/>
                    </w:trPr>
                    <w:tc>
                      <w:tcPr>
                        <w:tcW w:w="4465" w:type="dxa"/>
                        <w:gridSpan w:val="2"/>
                      </w:tcPr>
                      <w:p>
                        <w:pPr>
                          <w:pStyle w:val="TableParagraph"/>
                          <w:spacing w:line="280" w:lineRule="auto"/>
                          <w:ind w:left="71"/>
                          <w:rPr>
                            <w:sz w:val="20"/>
                          </w:rPr>
                        </w:pPr>
                        <w:r>
                          <w:rPr>
                            <w:b/>
                            <w:sz w:val="20"/>
                          </w:rPr>
                          <w:t>Tabla 2. </w:t>
                        </w:r>
                        <w:r>
                          <w:rPr>
                            <w:sz w:val="20"/>
                          </w:rPr>
                          <w:t>Diferencias entre el adenocarcinoma gástrico intestinal y difuso</w:t>
                        </w:r>
                      </w:p>
                    </w:tc>
                  </w:tr>
                  <w:tr>
                    <w:trPr>
                      <w:trHeight w:val="466" w:hRule="atLeast"/>
                    </w:trPr>
                    <w:tc>
                      <w:tcPr>
                        <w:tcW w:w="2232" w:type="dxa"/>
                      </w:tcPr>
                      <w:p>
                        <w:pPr>
                          <w:pStyle w:val="TableParagraph"/>
                          <w:spacing w:line="226" w:lineRule="exact"/>
                          <w:ind w:left="674"/>
                          <w:rPr>
                            <w:b/>
                            <w:sz w:val="20"/>
                          </w:rPr>
                        </w:pPr>
                        <w:r>
                          <w:rPr>
                            <w:b/>
                            <w:sz w:val="20"/>
                          </w:rPr>
                          <w:t>Intestinal</w:t>
                        </w:r>
                      </w:p>
                    </w:tc>
                    <w:tc>
                      <w:tcPr>
                        <w:tcW w:w="2233" w:type="dxa"/>
                      </w:tcPr>
                      <w:p>
                        <w:pPr>
                          <w:pStyle w:val="TableParagraph"/>
                          <w:spacing w:line="226" w:lineRule="exact"/>
                          <w:ind w:left="779" w:right="780"/>
                          <w:jc w:val="center"/>
                          <w:rPr>
                            <w:b/>
                            <w:sz w:val="20"/>
                          </w:rPr>
                        </w:pPr>
                        <w:r>
                          <w:rPr>
                            <w:b/>
                            <w:sz w:val="20"/>
                          </w:rPr>
                          <w:t>Difuso</w:t>
                        </w:r>
                      </w:p>
                    </w:tc>
                  </w:tr>
                  <w:tr>
                    <w:trPr>
                      <w:trHeight w:val="1586" w:hRule="atLeast"/>
                    </w:trPr>
                    <w:tc>
                      <w:tcPr>
                        <w:tcW w:w="2232" w:type="dxa"/>
                      </w:tcPr>
                      <w:p>
                        <w:pPr>
                          <w:pStyle w:val="TableParagraph"/>
                          <w:spacing w:line="278" w:lineRule="auto"/>
                          <w:ind w:right="98"/>
                          <w:jc w:val="both"/>
                          <w:rPr>
                            <w:sz w:val="20"/>
                          </w:rPr>
                        </w:pPr>
                        <w:r>
                          <w:rPr>
                            <w:sz w:val="20"/>
                          </w:rPr>
                          <w:t>Células malignas tienden a formar glándulas</w:t>
                        </w:r>
                      </w:p>
                    </w:tc>
                    <w:tc>
                      <w:tcPr>
                        <w:tcW w:w="2233" w:type="dxa"/>
                      </w:tcPr>
                      <w:p>
                        <w:pPr>
                          <w:pStyle w:val="TableParagraph"/>
                          <w:spacing w:line="276" w:lineRule="auto"/>
                          <w:ind w:right="99"/>
                          <w:jc w:val="both"/>
                          <w:rPr>
                            <w:sz w:val="20"/>
                          </w:rPr>
                        </w:pPr>
                        <w:r>
                          <w:rPr>
                            <w:sz w:val="20"/>
                          </w:rPr>
                          <w:t>No hay formación de glándulas y tiende a infiltrarse en los tejidos como una lámina de</w:t>
                        </w:r>
                        <w:r>
                          <w:rPr>
                            <w:spacing w:val="16"/>
                            <w:sz w:val="20"/>
                          </w:rPr>
                          <w:t> </w:t>
                        </w:r>
                        <w:r>
                          <w:rPr>
                            <w:sz w:val="20"/>
                          </w:rPr>
                          <w:t>células</w:t>
                        </w:r>
                      </w:p>
                      <w:p>
                        <w:pPr>
                          <w:pStyle w:val="TableParagraph"/>
                          <w:spacing w:before="5"/>
                          <w:jc w:val="both"/>
                          <w:rPr>
                            <w:sz w:val="20"/>
                          </w:rPr>
                        </w:pPr>
                        <w:r>
                          <w:rPr>
                            <w:sz w:val="20"/>
                          </w:rPr>
                          <w:t>adheridas flojamente</w:t>
                        </w:r>
                      </w:p>
                    </w:tc>
                  </w:tr>
                  <w:tr>
                    <w:trPr>
                      <w:trHeight w:val="1322" w:hRule="atLeast"/>
                    </w:trPr>
                    <w:tc>
                      <w:tcPr>
                        <w:tcW w:w="2232" w:type="dxa"/>
                      </w:tcPr>
                      <w:p>
                        <w:pPr>
                          <w:pStyle w:val="TableParagraph"/>
                          <w:tabs>
                            <w:tab w:pos="1465" w:val="left" w:leader="none"/>
                          </w:tabs>
                          <w:spacing w:line="276" w:lineRule="auto"/>
                          <w:ind w:right="99"/>
                          <w:jc w:val="both"/>
                          <w:rPr>
                            <w:sz w:val="20"/>
                          </w:rPr>
                        </w:pPr>
                        <w:r>
                          <w:rPr>
                            <w:sz w:val="20"/>
                          </w:rPr>
                          <w:t>Se asocia con atrofia gástrica de la mucosa, gastritis</w:t>
                          <w:tab/>
                        </w:r>
                        <w:r>
                          <w:rPr>
                            <w:spacing w:val="-1"/>
                            <w:sz w:val="20"/>
                          </w:rPr>
                          <w:t>atrófica </w:t>
                        </w:r>
                        <w:r>
                          <w:rPr>
                            <w:sz w:val="20"/>
                          </w:rPr>
                          <w:t>crónica,</w:t>
                        </w:r>
                        <w:r>
                          <w:rPr>
                            <w:spacing w:val="5"/>
                            <w:sz w:val="20"/>
                          </w:rPr>
                          <w:t> </w:t>
                        </w:r>
                        <w:r>
                          <w:rPr>
                            <w:sz w:val="20"/>
                          </w:rPr>
                          <w:t>metaplasia</w:t>
                        </w:r>
                      </w:p>
                      <w:p>
                        <w:pPr>
                          <w:pStyle w:val="TableParagraph"/>
                          <w:spacing w:before="1"/>
                          <w:jc w:val="both"/>
                          <w:rPr>
                            <w:sz w:val="20"/>
                          </w:rPr>
                        </w:pPr>
                        <w:r>
                          <w:rPr>
                            <w:sz w:val="20"/>
                          </w:rPr>
                          <w:t>intestinal y displasia</w:t>
                        </w:r>
                      </w:p>
                    </w:tc>
                    <w:tc>
                      <w:tcPr>
                        <w:tcW w:w="2233" w:type="dxa"/>
                      </w:tcPr>
                      <w:p>
                        <w:pPr>
                          <w:pStyle w:val="TableParagraph"/>
                          <w:ind w:left="0"/>
                          <w:rPr>
                            <w:rFonts w:ascii="Times New Roman"/>
                            <w:sz w:val="20"/>
                          </w:rPr>
                        </w:pPr>
                      </w:p>
                    </w:tc>
                  </w:tr>
                  <w:tr>
                    <w:trPr>
                      <w:trHeight w:val="794" w:hRule="atLeast"/>
                    </w:trPr>
                    <w:tc>
                      <w:tcPr>
                        <w:tcW w:w="2232" w:type="dxa"/>
                      </w:tcPr>
                      <w:p>
                        <w:pPr>
                          <w:pStyle w:val="TableParagraph"/>
                          <w:spacing w:line="276" w:lineRule="auto"/>
                          <w:rPr>
                            <w:sz w:val="20"/>
                          </w:rPr>
                        </w:pPr>
                        <w:r>
                          <w:rPr>
                            <w:sz w:val="20"/>
                          </w:rPr>
                          <w:t>Poblaciones de alto riesgo (Japón)</w:t>
                        </w:r>
                      </w:p>
                    </w:tc>
                    <w:tc>
                      <w:tcPr>
                        <w:tcW w:w="2233" w:type="dxa"/>
                      </w:tcPr>
                      <w:p>
                        <w:pPr>
                          <w:pStyle w:val="TableParagraph"/>
                          <w:rPr>
                            <w:sz w:val="20"/>
                          </w:rPr>
                        </w:pPr>
                        <w:r>
                          <w:rPr>
                            <w:sz w:val="20"/>
                          </w:rPr>
                          <w:t>Poblaciones de bajo</w:t>
                        </w:r>
                      </w:p>
                      <w:p>
                        <w:pPr>
                          <w:pStyle w:val="TableParagraph"/>
                          <w:tabs>
                            <w:tab w:pos="1334" w:val="left" w:leader="none"/>
                          </w:tabs>
                          <w:spacing w:line="260" w:lineRule="atLeast" w:before="4"/>
                          <w:ind w:right="99"/>
                          <w:rPr>
                            <w:sz w:val="20"/>
                          </w:rPr>
                        </w:pPr>
                        <w:r>
                          <w:rPr>
                            <w:sz w:val="20"/>
                          </w:rPr>
                          <w:t>riesgo</w:t>
                          <w:tab/>
                        </w:r>
                        <w:r>
                          <w:rPr>
                            <w:spacing w:val="-1"/>
                            <w:sz w:val="20"/>
                          </w:rPr>
                          <w:t>(Estados </w:t>
                        </w:r>
                        <w:r>
                          <w:rPr>
                            <w:sz w:val="20"/>
                          </w:rPr>
                          <w:t>Unidos)</w:t>
                        </w:r>
                      </w:p>
                    </w:tc>
                  </w:tr>
                  <w:tr>
                    <w:trPr>
                      <w:trHeight w:val="530" w:hRule="atLeast"/>
                    </w:trPr>
                    <w:tc>
                      <w:tcPr>
                        <w:tcW w:w="2232" w:type="dxa"/>
                      </w:tcPr>
                      <w:p>
                        <w:pPr>
                          <w:pStyle w:val="TableParagraph"/>
                          <w:spacing w:line="229" w:lineRule="exact"/>
                          <w:rPr>
                            <w:sz w:val="20"/>
                          </w:rPr>
                        </w:pPr>
                        <w:r>
                          <w:rPr>
                            <w:sz w:val="20"/>
                          </w:rPr>
                          <w:t>Hombres y pacientes</w:t>
                        </w:r>
                      </w:p>
                      <w:p>
                        <w:pPr>
                          <w:pStyle w:val="TableParagraph"/>
                          <w:spacing w:before="34"/>
                          <w:rPr>
                            <w:sz w:val="20"/>
                          </w:rPr>
                        </w:pPr>
                        <w:r>
                          <w:rPr>
                            <w:sz w:val="20"/>
                          </w:rPr>
                          <w:t>mayores.</w:t>
                        </w:r>
                      </w:p>
                    </w:tc>
                    <w:tc>
                      <w:tcPr>
                        <w:tcW w:w="2233" w:type="dxa"/>
                      </w:tcPr>
                      <w:p>
                        <w:pPr>
                          <w:pStyle w:val="TableParagraph"/>
                          <w:spacing w:line="229" w:lineRule="exact"/>
                          <w:rPr>
                            <w:sz w:val="20"/>
                          </w:rPr>
                        </w:pPr>
                        <w:r>
                          <w:rPr>
                            <w:sz w:val="20"/>
                          </w:rPr>
                          <w:t>Mujeres y pacientes</w:t>
                        </w:r>
                      </w:p>
                      <w:p>
                        <w:pPr>
                          <w:pStyle w:val="TableParagraph"/>
                          <w:spacing w:before="34"/>
                          <w:rPr>
                            <w:sz w:val="20"/>
                          </w:rPr>
                        </w:pPr>
                        <w:r>
                          <w:rPr>
                            <w:sz w:val="20"/>
                          </w:rPr>
                          <w:t>jóvenes</w:t>
                        </w:r>
                      </w:p>
                    </w:tc>
                  </w:tr>
                  <w:tr>
                    <w:trPr>
                      <w:trHeight w:val="1058" w:hRule="atLeast"/>
                    </w:trPr>
                    <w:tc>
                      <w:tcPr>
                        <w:tcW w:w="2232" w:type="dxa"/>
                        <w:vMerge w:val="restart"/>
                      </w:tcPr>
                      <w:p>
                        <w:pPr>
                          <w:pStyle w:val="TableParagraph"/>
                          <w:tabs>
                            <w:tab w:pos="1369" w:val="left" w:leader="none"/>
                            <w:tab w:pos="1965" w:val="left" w:leader="none"/>
                          </w:tabs>
                          <w:spacing w:line="276" w:lineRule="auto"/>
                          <w:ind w:right="99"/>
                          <w:rPr>
                            <w:sz w:val="20"/>
                          </w:rPr>
                        </w:pPr>
                        <w:r>
                          <w:rPr>
                            <w:sz w:val="20"/>
                          </w:rPr>
                          <w:t>Metástasis</w:t>
                          <w:tab/>
                          <w:t>por</w:t>
                          <w:tab/>
                          <w:t>la sangre</w:t>
                        </w:r>
                      </w:p>
                    </w:tc>
                    <w:tc>
                      <w:tcPr>
                        <w:tcW w:w="2233" w:type="dxa"/>
                      </w:tcPr>
                      <w:p>
                        <w:pPr>
                          <w:pStyle w:val="TableParagraph"/>
                          <w:spacing w:line="278" w:lineRule="auto"/>
                          <w:rPr>
                            <w:sz w:val="20"/>
                          </w:rPr>
                        </w:pPr>
                        <w:r>
                          <w:rPr>
                            <w:sz w:val="20"/>
                          </w:rPr>
                          <w:t>Metástasis intraperitoneales Invasión linfática es</w:t>
                        </w:r>
                      </w:p>
                      <w:p>
                        <w:pPr>
                          <w:pStyle w:val="TableParagraph"/>
                          <w:spacing w:line="229" w:lineRule="exact" w:before="4"/>
                          <w:rPr>
                            <w:sz w:val="20"/>
                          </w:rPr>
                        </w:pPr>
                        <w:r>
                          <w:rPr>
                            <w:sz w:val="20"/>
                          </w:rPr>
                          <w:t>común</w:t>
                        </w:r>
                      </w:p>
                    </w:tc>
                  </w:tr>
                  <w:tr>
                    <w:trPr>
                      <w:trHeight w:val="357" w:hRule="atLeast"/>
                    </w:trPr>
                    <w:tc>
                      <w:tcPr>
                        <w:tcW w:w="2232" w:type="dxa"/>
                        <w:vMerge/>
                        <w:tcBorders>
                          <w:top w:val="nil"/>
                        </w:tcBorders>
                      </w:tcPr>
                      <w:p>
                        <w:pPr>
                          <w:rPr>
                            <w:sz w:val="2"/>
                            <w:szCs w:val="2"/>
                          </w:rPr>
                        </w:pPr>
                      </w:p>
                    </w:tc>
                    <w:tc>
                      <w:tcPr>
                        <w:tcW w:w="2233" w:type="dxa"/>
                      </w:tcPr>
                      <w:p>
                        <w:pPr>
                          <w:pStyle w:val="TableParagraph"/>
                          <w:spacing w:line="225" w:lineRule="exact"/>
                          <w:rPr>
                            <w:sz w:val="20"/>
                          </w:rPr>
                        </w:pPr>
                        <w:r>
                          <w:rPr>
                            <w:sz w:val="20"/>
                          </w:rPr>
                          <w:t>Peor pronóstico</w:t>
                        </w:r>
                      </w:p>
                    </w:tc>
                  </w:tr>
                </w:tbl>
                <w:p>
                  <w:pPr>
                    <w:pStyle w:val="BodyText"/>
                  </w:pPr>
                </w:p>
              </w:txbxContent>
            </v:textbox>
            <w10:wrap type="none"/>
          </v:shape>
        </w:pict>
      </w:r>
      <w:r>
        <w:rPr/>
        <w:t>El adenocarcinoma gástrico se divide en dos subtipos histológicos: intestinales y difusos. Cada subtipo presenta patología, clínica, y diseminación metastásica característica.</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Heading5"/>
        <w:spacing w:before="197"/>
        <w:jc w:val="left"/>
      </w:pPr>
      <w:r>
        <w:rPr/>
        <w:t>Grado histológico</w:t>
      </w:r>
    </w:p>
    <w:p>
      <w:pPr>
        <w:pStyle w:val="BodyText"/>
        <w:spacing w:before="1"/>
        <w:rPr>
          <w:b/>
          <w:sz w:val="21"/>
        </w:rPr>
      </w:pPr>
    </w:p>
    <w:p>
      <w:pPr>
        <w:pStyle w:val="BodyText"/>
        <w:spacing w:line="278" w:lineRule="auto"/>
        <w:ind w:left="1440"/>
      </w:pPr>
      <w:r>
        <w:rPr/>
        <w:t>El grado histológico se correlaciona con la supervivencia después de la operación:</w:t>
      </w:r>
    </w:p>
    <w:p>
      <w:pPr>
        <w:pStyle w:val="ListParagraph"/>
        <w:numPr>
          <w:ilvl w:val="1"/>
          <w:numId w:val="8"/>
        </w:numPr>
        <w:tabs>
          <w:tab w:pos="2160" w:val="left" w:leader="none"/>
          <w:tab w:pos="2161" w:val="left" w:leader="none"/>
        </w:tabs>
        <w:spacing w:line="268" w:lineRule="auto" w:before="200" w:after="0"/>
        <w:ind w:left="2160" w:right="1" w:hanging="360"/>
        <w:jc w:val="left"/>
        <w:rPr>
          <w:rFonts w:ascii="Symbol" w:hAnsi="Symbol"/>
          <w:sz w:val="22"/>
        </w:rPr>
      </w:pPr>
      <w:r>
        <w:rPr>
          <w:sz w:val="22"/>
        </w:rPr>
        <w:t>11% de los pacientes con grado IV sobreviven 5</w:t>
      </w:r>
      <w:r>
        <w:rPr>
          <w:spacing w:val="-1"/>
          <w:sz w:val="22"/>
        </w:rPr>
        <w:t> </w:t>
      </w:r>
      <w:r>
        <w:rPr>
          <w:sz w:val="22"/>
        </w:rPr>
        <w:t>años.</w:t>
      </w:r>
    </w:p>
    <w:p>
      <w:pPr>
        <w:pStyle w:val="BodyText"/>
        <w:spacing w:before="10"/>
      </w:pPr>
      <w:r>
        <w:rPr/>
        <w:br w:type="column"/>
      </w:r>
      <w:r>
        <w:rPr/>
      </w:r>
    </w:p>
    <w:p>
      <w:pPr>
        <w:pStyle w:val="ListParagraph"/>
        <w:numPr>
          <w:ilvl w:val="0"/>
          <w:numId w:val="8"/>
        </w:numPr>
        <w:tabs>
          <w:tab w:pos="1398" w:val="left" w:leader="none"/>
          <w:tab w:pos="1399" w:val="left" w:leader="none"/>
        </w:tabs>
        <w:spacing w:line="268" w:lineRule="auto" w:before="0" w:after="0"/>
        <w:ind w:left="1398" w:right="1435" w:hanging="361"/>
        <w:jc w:val="left"/>
        <w:rPr>
          <w:sz w:val="22"/>
        </w:rPr>
      </w:pPr>
      <w:r>
        <w:rPr>
          <w:sz w:val="22"/>
        </w:rPr>
        <w:t>66% de los pacientes con grado I sobreviven 5</w:t>
      </w:r>
      <w:r>
        <w:rPr>
          <w:spacing w:val="-1"/>
          <w:sz w:val="22"/>
        </w:rPr>
        <w:t> </w:t>
      </w:r>
      <w:r>
        <w:rPr>
          <w:sz w:val="22"/>
        </w:rPr>
        <w:t>años.</w:t>
      </w:r>
    </w:p>
    <w:p>
      <w:pPr>
        <w:pStyle w:val="BodyText"/>
        <w:spacing w:line="278" w:lineRule="auto" w:before="209"/>
        <w:ind w:left="677" w:right="1437"/>
        <w:jc w:val="both"/>
      </w:pPr>
      <w:r>
        <w:rPr/>
        <w:t>Los carcinomas anaplásicos reciben calificaciones más altas del grado histológico.</w:t>
      </w:r>
    </w:p>
    <w:p>
      <w:pPr>
        <w:pStyle w:val="Heading5"/>
        <w:spacing w:before="191"/>
        <w:ind w:left="677"/>
        <w:jc w:val="left"/>
      </w:pPr>
      <w:r>
        <w:rPr/>
        <w:t>Anomalías cromosómicas y genéticas</w:t>
      </w:r>
    </w:p>
    <w:p>
      <w:pPr>
        <w:pStyle w:val="BodyText"/>
        <w:spacing w:before="1"/>
        <w:rPr>
          <w:b/>
          <w:sz w:val="21"/>
        </w:rPr>
      </w:pPr>
    </w:p>
    <w:p>
      <w:pPr>
        <w:pStyle w:val="BodyText"/>
        <w:spacing w:line="276" w:lineRule="auto"/>
        <w:ind w:left="677" w:right="1432"/>
        <w:jc w:val="both"/>
      </w:pPr>
      <w:r>
        <w:rPr/>
        <w:t>Presentes en adenocarcinomas gástricos esporádicos.</w:t>
      </w:r>
    </w:p>
    <w:p>
      <w:pPr>
        <w:pStyle w:val="ListParagraph"/>
        <w:numPr>
          <w:ilvl w:val="0"/>
          <w:numId w:val="8"/>
        </w:numPr>
        <w:tabs>
          <w:tab w:pos="1398" w:val="left" w:leader="none"/>
          <w:tab w:pos="1399" w:val="left" w:leader="none"/>
        </w:tabs>
        <w:spacing w:line="240" w:lineRule="auto" w:before="203" w:after="0"/>
        <w:ind w:left="1398" w:right="0" w:hanging="361"/>
        <w:jc w:val="left"/>
        <w:rPr>
          <w:sz w:val="22"/>
        </w:rPr>
      </w:pPr>
      <w:r>
        <w:rPr>
          <w:sz w:val="22"/>
        </w:rPr>
        <w:t>Aneuploides</w:t>
      </w:r>
    </w:p>
    <w:p>
      <w:pPr>
        <w:pStyle w:val="BodyText"/>
        <w:spacing w:line="278" w:lineRule="auto" w:before="34"/>
        <w:ind w:left="1398" w:right="1460" w:hanging="361"/>
      </w:pPr>
      <w:r>
        <w:rPr/>
        <w:t>a. Tumores altamente infiltrativos y de peor pronóstico</w:t>
      </w:r>
    </w:p>
    <w:p>
      <w:pPr>
        <w:pStyle w:val="ListParagraph"/>
        <w:numPr>
          <w:ilvl w:val="0"/>
          <w:numId w:val="8"/>
        </w:numPr>
        <w:tabs>
          <w:tab w:pos="1398" w:val="left" w:leader="none"/>
          <w:tab w:pos="1399" w:val="left" w:leader="none"/>
        </w:tabs>
        <w:spacing w:line="273" w:lineRule="auto" w:before="0" w:after="0"/>
        <w:ind w:left="1398" w:right="1429" w:hanging="361"/>
        <w:jc w:val="left"/>
        <w:rPr>
          <w:sz w:val="22"/>
        </w:rPr>
      </w:pPr>
      <w:r>
        <w:rPr>
          <w:sz w:val="22"/>
        </w:rPr>
        <w:t>Protooncogenes HER-2 / neu y K- ras.</w:t>
      </w:r>
    </w:p>
    <w:p>
      <w:pPr>
        <w:pStyle w:val="BodyText"/>
        <w:spacing w:line="273" w:lineRule="auto" w:before="7"/>
        <w:ind w:left="1398" w:right="1460" w:hanging="361"/>
      </w:pPr>
      <w:r>
        <w:rPr/>
        <w:t>a. Detectado de forma consistente en los adenocarcinomas</w:t>
      </w:r>
      <w:r>
        <w:rPr>
          <w:spacing w:val="-3"/>
        </w:rPr>
        <w:t> </w:t>
      </w:r>
      <w:r>
        <w:rPr/>
        <w:t>gástricos</w:t>
      </w:r>
    </w:p>
    <w:p>
      <w:pPr>
        <w:pStyle w:val="ListParagraph"/>
        <w:numPr>
          <w:ilvl w:val="0"/>
          <w:numId w:val="8"/>
        </w:numPr>
        <w:tabs>
          <w:tab w:pos="1398" w:val="left" w:leader="none"/>
          <w:tab w:pos="1399" w:val="left" w:leader="none"/>
        </w:tabs>
        <w:spacing w:line="240" w:lineRule="auto" w:before="5" w:after="0"/>
        <w:ind w:left="1398" w:right="0" w:hanging="361"/>
        <w:jc w:val="left"/>
        <w:rPr>
          <w:sz w:val="22"/>
        </w:rPr>
      </w:pPr>
      <w:r>
        <w:rPr>
          <w:sz w:val="22"/>
        </w:rPr>
        <w:t>Gen supresor tumoral</w:t>
      </w:r>
      <w:r>
        <w:rPr>
          <w:spacing w:val="-10"/>
          <w:sz w:val="22"/>
        </w:rPr>
        <w:t> </w:t>
      </w:r>
      <w:r>
        <w:rPr>
          <w:sz w:val="22"/>
        </w:rPr>
        <w:t>MKK4</w:t>
      </w:r>
    </w:p>
    <w:p>
      <w:pPr>
        <w:pStyle w:val="BodyText"/>
        <w:spacing w:line="273" w:lineRule="auto" w:before="37"/>
        <w:ind w:left="1398" w:right="1460" w:hanging="361"/>
      </w:pPr>
      <w:r>
        <w:rPr/>
        <w:t>a. La falta de expresión se  relaciona con una pobre</w:t>
      </w:r>
      <w:r>
        <w:rPr>
          <w:spacing w:val="-7"/>
        </w:rPr>
        <w:t> </w:t>
      </w:r>
      <w:r>
        <w:rPr/>
        <w:t>supervivencia.</w:t>
      </w:r>
    </w:p>
    <w:p>
      <w:pPr>
        <w:pStyle w:val="BodyText"/>
        <w:spacing w:before="4"/>
        <w:rPr>
          <w:sz w:val="25"/>
        </w:rPr>
      </w:pPr>
    </w:p>
    <w:p>
      <w:pPr>
        <w:pStyle w:val="Heading5"/>
        <w:spacing w:line="273" w:lineRule="auto" w:before="1"/>
        <w:ind w:left="677" w:right="1437"/>
      </w:pPr>
      <w:r>
        <w:rPr/>
        <w:t>Sobre expresión de factores de crecimiento</w:t>
      </w:r>
    </w:p>
    <w:p>
      <w:pPr>
        <w:pStyle w:val="ListParagraph"/>
        <w:numPr>
          <w:ilvl w:val="0"/>
          <w:numId w:val="8"/>
        </w:numPr>
        <w:tabs>
          <w:tab w:pos="1398" w:val="left" w:leader="none"/>
          <w:tab w:pos="1399" w:val="left" w:leader="none"/>
        </w:tabs>
        <w:spacing w:line="240" w:lineRule="auto" w:before="210" w:after="0"/>
        <w:ind w:left="1398" w:right="0" w:hanging="361"/>
        <w:jc w:val="left"/>
        <w:rPr>
          <w:sz w:val="22"/>
        </w:rPr>
      </w:pPr>
      <w:r>
        <w:rPr>
          <w:sz w:val="22"/>
        </w:rPr>
        <w:t>Factor de crecimiento</w:t>
      </w:r>
      <w:r>
        <w:rPr>
          <w:spacing w:val="-5"/>
          <w:sz w:val="22"/>
        </w:rPr>
        <w:t> </w:t>
      </w:r>
      <w:r>
        <w:rPr>
          <w:sz w:val="22"/>
        </w:rPr>
        <w:t>epidérmico</w:t>
      </w:r>
    </w:p>
    <w:p>
      <w:pPr>
        <w:pStyle w:val="ListParagraph"/>
        <w:numPr>
          <w:ilvl w:val="0"/>
          <w:numId w:val="8"/>
        </w:numPr>
        <w:tabs>
          <w:tab w:pos="1398" w:val="left" w:leader="none"/>
          <w:tab w:pos="1399" w:val="left" w:leader="none"/>
        </w:tabs>
        <w:spacing w:line="268" w:lineRule="auto" w:before="39" w:after="0"/>
        <w:ind w:left="1398" w:right="1434" w:hanging="361"/>
        <w:jc w:val="left"/>
        <w:rPr>
          <w:sz w:val="22"/>
        </w:rPr>
      </w:pPr>
      <w:r>
        <w:rPr>
          <w:sz w:val="22"/>
        </w:rPr>
        <w:t>Factor de crecimiento derivado de plaquetas</w:t>
      </w:r>
    </w:p>
    <w:p>
      <w:pPr>
        <w:pStyle w:val="ListParagraph"/>
        <w:numPr>
          <w:ilvl w:val="0"/>
          <w:numId w:val="8"/>
        </w:numPr>
        <w:tabs>
          <w:tab w:pos="1398" w:val="left" w:leader="none"/>
          <w:tab w:pos="1399" w:val="left" w:leader="none"/>
        </w:tabs>
        <w:spacing w:line="268" w:lineRule="auto" w:before="11" w:after="0"/>
        <w:ind w:left="1398" w:right="1436" w:hanging="361"/>
        <w:jc w:val="left"/>
        <w:rPr>
          <w:sz w:val="22"/>
        </w:rPr>
      </w:pPr>
      <w:r>
        <w:rPr>
          <w:sz w:val="22"/>
        </w:rPr>
        <w:t>Factor de crecimiento transformante beta</w:t>
      </w:r>
    </w:p>
    <w:p>
      <w:pPr>
        <w:pStyle w:val="Heading4"/>
        <w:spacing w:before="207"/>
        <w:ind w:left="677"/>
      </w:pPr>
      <w:r>
        <w:rPr/>
        <w:t>TRATAMIENTO CURATIVO</w:t>
      </w:r>
    </w:p>
    <w:p>
      <w:pPr>
        <w:pStyle w:val="BodyText"/>
        <w:spacing w:before="1"/>
        <w:rPr>
          <w:b/>
          <w:sz w:val="21"/>
        </w:rPr>
      </w:pPr>
    </w:p>
    <w:p>
      <w:pPr>
        <w:pStyle w:val="BodyText"/>
        <w:spacing w:line="276" w:lineRule="auto"/>
        <w:ind w:left="677" w:right="1438"/>
        <w:jc w:val="both"/>
      </w:pPr>
      <w:r>
        <w:rPr/>
        <w:t>La resección quirúrgica es el único tratamiento para Ca gástrico, pero en un estadio avanzado del Ca impide </w:t>
      </w:r>
      <w:r>
        <w:rPr>
          <w:spacing w:val="-3"/>
        </w:rPr>
        <w:t>la </w:t>
      </w:r>
      <w:r>
        <w:rPr/>
        <w:t>resección curativa para </w:t>
      </w:r>
      <w:r>
        <w:rPr>
          <w:spacing w:val="-3"/>
        </w:rPr>
        <w:t>la </w:t>
      </w:r>
      <w:r>
        <w:rPr/>
        <w:t>mayoría de los pacientes.</w:t>
      </w:r>
    </w:p>
    <w:p>
      <w:pPr>
        <w:pStyle w:val="BodyText"/>
        <w:spacing w:before="201"/>
        <w:ind w:left="677"/>
      </w:pPr>
      <w:r>
        <w:rPr/>
        <w:t>Objetivos quirúrgicos</w:t>
      </w:r>
    </w:p>
    <w:p>
      <w:pPr>
        <w:pStyle w:val="BodyText"/>
        <w:spacing w:before="8"/>
        <w:rPr>
          <w:sz w:val="20"/>
        </w:rPr>
      </w:pPr>
    </w:p>
    <w:p>
      <w:pPr>
        <w:pStyle w:val="ListParagraph"/>
        <w:numPr>
          <w:ilvl w:val="0"/>
          <w:numId w:val="20"/>
        </w:numPr>
        <w:tabs>
          <w:tab w:pos="1030" w:val="left" w:leader="none"/>
        </w:tabs>
        <w:spacing w:line="273" w:lineRule="auto" w:before="1" w:after="0"/>
        <w:ind w:left="677" w:right="1438" w:firstLine="0"/>
        <w:jc w:val="both"/>
        <w:rPr>
          <w:sz w:val="22"/>
        </w:rPr>
      </w:pPr>
      <w:r>
        <w:rPr>
          <w:sz w:val="22"/>
        </w:rPr>
        <w:t>Maximizar las posibilidades de curación de los pacientes con tumor</w:t>
      </w:r>
      <w:r>
        <w:rPr>
          <w:spacing w:val="-9"/>
          <w:sz w:val="22"/>
        </w:rPr>
        <w:t> </w:t>
      </w:r>
      <w:r>
        <w:rPr>
          <w:sz w:val="22"/>
        </w:rPr>
        <w:t>localizado.</w:t>
      </w:r>
    </w:p>
    <w:p>
      <w:pPr>
        <w:spacing w:after="0" w:line="273" w:lineRule="auto"/>
        <w:jc w:val="both"/>
        <w:rPr>
          <w:sz w:val="22"/>
        </w:rPr>
        <w:sectPr>
          <w:type w:val="continuous"/>
          <w:pgSz w:w="12240" w:h="15840"/>
          <w:pgMar w:top="1500" w:bottom="0" w:left="0" w:right="0"/>
          <w:cols w:num="2" w:equalWidth="0">
            <w:col w:w="5765" w:space="40"/>
            <w:col w:w="6435"/>
          </w:cols>
        </w:sectPr>
      </w:pPr>
    </w:p>
    <w:p>
      <w:pPr>
        <w:pStyle w:val="BodyText"/>
        <w:rPr>
          <w:sz w:val="20"/>
        </w:rPr>
      </w:pPr>
    </w:p>
    <w:p>
      <w:pPr>
        <w:spacing w:after="0"/>
        <w:rPr>
          <w:sz w:val="20"/>
        </w:rPr>
        <w:sectPr>
          <w:pgSz w:w="12240" w:h="15840"/>
          <w:pgMar w:header="723" w:footer="882" w:top="940" w:bottom="1080" w:left="0" w:right="0"/>
        </w:sectPr>
      </w:pPr>
    </w:p>
    <w:p>
      <w:pPr>
        <w:pStyle w:val="BodyText"/>
        <w:spacing w:before="8"/>
      </w:pPr>
    </w:p>
    <w:p>
      <w:pPr>
        <w:pStyle w:val="ListParagraph"/>
        <w:numPr>
          <w:ilvl w:val="0"/>
          <w:numId w:val="20"/>
        </w:numPr>
        <w:tabs>
          <w:tab w:pos="1857" w:val="left" w:leader="none"/>
        </w:tabs>
        <w:spacing w:line="276" w:lineRule="auto" w:before="0" w:after="0"/>
        <w:ind w:left="1440" w:right="6" w:firstLine="0"/>
        <w:jc w:val="both"/>
        <w:rPr>
          <w:sz w:val="22"/>
        </w:rPr>
      </w:pPr>
      <w:r>
        <w:rPr>
          <w:sz w:val="22"/>
        </w:rPr>
        <w:t>Brindar tratamiento paliativo eficaz y seguro a pacientes con neoplasia maligna avanzada.</w:t>
      </w:r>
    </w:p>
    <w:p>
      <w:pPr>
        <w:pStyle w:val="BodyText"/>
        <w:spacing w:line="278" w:lineRule="auto" w:before="201"/>
        <w:ind w:left="1440" w:right="6"/>
        <w:jc w:val="both"/>
      </w:pPr>
      <w:r>
        <w:rPr/>
        <w:t>El abordaje quirúrgico del adenocarcinoma gástrico evaluá los siguientes seis puntos:</w:t>
      </w:r>
    </w:p>
    <w:p>
      <w:pPr>
        <w:pStyle w:val="ListParagraph"/>
        <w:numPr>
          <w:ilvl w:val="1"/>
          <w:numId w:val="20"/>
        </w:numPr>
        <w:tabs>
          <w:tab w:pos="2161" w:val="left" w:leader="none"/>
        </w:tabs>
        <w:spacing w:line="276" w:lineRule="auto" w:before="199" w:after="0"/>
        <w:ind w:left="2160" w:right="1" w:hanging="360"/>
        <w:jc w:val="both"/>
        <w:rPr>
          <w:sz w:val="22"/>
        </w:rPr>
      </w:pPr>
      <w:r>
        <w:rPr>
          <w:sz w:val="22"/>
        </w:rPr>
        <w:t>Capacidad de las pruebas preoperatorias para detectar enfermedad</w:t>
      </w:r>
      <w:r>
        <w:rPr>
          <w:spacing w:val="-5"/>
          <w:sz w:val="22"/>
        </w:rPr>
        <w:t> </w:t>
      </w:r>
      <w:r>
        <w:rPr>
          <w:sz w:val="22"/>
        </w:rPr>
        <w:t>metastásica</w:t>
      </w:r>
    </w:p>
    <w:p>
      <w:pPr>
        <w:pStyle w:val="ListParagraph"/>
        <w:numPr>
          <w:ilvl w:val="1"/>
          <w:numId w:val="20"/>
        </w:numPr>
        <w:tabs>
          <w:tab w:pos="2161" w:val="left" w:leader="none"/>
        </w:tabs>
        <w:spacing w:line="276" w:lineRule="auto" w:before="2" w:after="0"/>
        <w:ind w:left="2160" w:right="4" w:hanging="360"/>
        <w:jc w:val="both"/>
        <w:rPr>
          <w:sz w:val="22"/>
        </w:rPr>
      </w:pPr>
      <w:r>
        <w:rPr>
          <w:sz w:val="22"/>
        </w:rPr>
        <w:t>Extensión de </w:t>
      </w:r>
      <w:r>
        <w:rPr>
          <w:spacing w:val="-3"/>
          <w:sz w:val="22"/>
        </w:rPr>
        <w:t>la </w:t>
      </w:r>
      <w:r>
        <w:rPr>
          <w:sz w:val="22"/>
        </w:rPr>
        <w:t>resección gástrica necesaria para las lesiones potencialmente</w:t>
      </w:r>
      <w:r>
        <w:rPr>
          <w:spacing w:val="-1"/>
          <w:sz w:val="22"/>
        </w:rPr>
        <w:t> </w:t>
      </w:r>
      <w:r>
        <w:rPr>
          <w:sz w:val="22"/>
        </w:rPr>
        <w:t>curables</w:t>
      </w:r>
    </w:p>
    <w:p>
      <w:pPr>
        <w:pStyle w:val="ListParagraph"/>
        <w:numPr>
          <w:ilvl w:val="1"/>
          <w:numId w:val="20"/>
        </w:numPr>
        <w:tabs>
          <w:tab w:pos="2161" w:val="left" w:leader="none"/>
        </w:tabs>
        <w:spacing w:line="276" w:lineRule="auto" w:before="2" w:after="0"/>
        <w:ind w:left="2160" w:right="4" w:hanging="360"/>
        <w:jc w:val="both"/>
        <w:rPr>
          <w:sz w:val="22"/>
        </w:rPr>
      </w:pPr>
      <w:r>
        <w:rPr>
          <w:sz w:val="22"/>
        </w:rPr>
        <w:t>Extensión de </w:t>
      </w:r>
      <w:r>
        <w:rPr>
          <w:spacing w:val="-3"/>
          <w:sz w:val="22"/>
        </w:rPr>
        <w:t>la </w:t>
      </w:r>
      <w:r>
        <w:rPr>
          <w:sz w:val="22"/>
        </w:rPr>
        <w:t>linfadenectomía perigástrica</w:t>
      </w:r>
    </w:p>
    <w:p>
      <w:pPr>
        <w:pStyle w:val="ListParagraph"/>
        <w:numPr>
          <w:ilvl w:val="1"/>
          <w:numId w:val="20"/>
        </w:numPr>
        <w:tabs>
          <w:tab w:pos="2161" w:val="left" w:leader="none"/>
        </w:tabs>
        <w:spacing w:line="273" w:lineRule="auto" w:before="1" w:after="0"/>
        <w:ind w:left="2160" w:right="5" w:hanging="360"/>
        <w:jc w:val="both"/>
        <w:rPr>
          <w:sz w:val="22"/>
        </w:rPr>
      </w:pPr>
      <w:r>
        <w:rPr>
          <w:sz w:val="22"/>
        </w:rPr>
        <w:t>Adecuada resección de los márgenes proximales y</w:t>
      </w:r>
      <w:r>
        <w:rPr>
          <w:spacing w:val="-7"/>
          <w:sz w:val="22"/>
        </w:rPr>
        <w:t> </w:t>
      </w:r>
      <w:r>
        <w:rPr>
          <w:sz w:val="22"/>
        </w:rPr>
        <w:t>distal</w:t>
      </w:r>
    </w:p>
    <w:p>
      <w:pPr>
        <w:pStyle w:val="ListParagraph"/>
        <w:numPr>
          <w:ilvl w:val="1"/>
          <w:numId w:val="20"/>
        </w:numPr>
        <w:tabs>
          <w:tab w:pos="2161" w:val="left" w:leader="none"/>
        </w:tabs>
        <w:spacing w:line="240" w:lineRule="auto" w:before="4" w:after="0"/>
        <w:ind w:left="2160" w:right="0" w:hanging="360"/>
        <w:jc w:val="left"/>
        <w:rPr>
          <w:sz w:val="22"/>
        </w:rPr>
      </w:pPr>
      <w:r>
        <w:rPr>
          <w:sz w:val="22"/>
        </w:rPr>
        <w:t>Papel de </w:t>
      </w:r>
      <w:r>
        <w:rPr>
          <w:spacing w:val="-3"/>
          <w:sz w:val="22"/>
        </w:rPr>
        <w:t>la </w:t>
      </w:r>
      <w:r>
        <w:rPr>
          <w:sz w:val="22"/>
        </w:rPr>
        <w:t>esplenectomía</w:t>
      </w:r>
    </w:p>
    <w:p>
      <w:pPr>
        <w:pStyle w:val="ListParagraph"/>
        <w:numPr>
          <w:ilvl w:val="1"/>
          <w:numId w:val="20"/>
        </w:numPr>
        <w:tabs>
          <w:tab w:pos="2161" w:val="left" w:leader="none"/>
          <w:tab w:pos="4070" w:val="left" w:leader="none"/>
          <w:tab w:pos="4966" w:val="left" w:leader="none"/>
        </w:tabs>
        <w:spacing w:line="273" w:lineRule="auto" w:before="39" w:after="0"/>
        <w:ind w:left="2160" w:right="4" w:hanging="360"/>
        <w:jc w:val="both"/>
        <w:rPr>
          <w:sz w:val="22"/>
        </w:rPr>
      </w:pPr>
      <w:r>
        <w:rPr>
          <w:sz w:val="22"/>
        </w:rPr>
        <w:t>Participación</w:t>
        <w:tab/>
        <w:t>de</w:t>
        <w:tab/>
      </w:r>
      <w:r>
        <w:rPr>
          <w:spacing w:val="-1"/>
          <w:sz w:val="22"/>
        </w:rPr>
        <w:t>órganos </w:t>
      </w:r>
      <w:r>
        <w:rPr>
          <w:sz w:val="22"/>
        </w:rPr>
        <w:t>adyacentes.</w:t>
      </w:r>
    </w:p>
    <w:p>
      <w:pPr>
        <w:pStyle w:val="Heading5"/>
        <w:tabs>
          <w:tab w:pos="4538" w:val="left" w:leader="none"/>
        </w:tabs>
        <w:spacing w:line="276" w:lineRule="auto" w:before="200"/>
        <w:ind w:right="3"/>
      </w:pPr>
      <w:r>
        <w:rPr/>
        <w:t>Laparoscopia</w:t>
        <w:tab/>
      </w:r>
      <w:r>
        <w:rPr>
          <w:spacing w:val="-1"/>
        </w:rPr>
        <w:t>diagnostica </w:t>
      </w:r>
      <w:r>
        <w:rPr/>
        <w:t>(estadificación)</w:t>
      </w:r>
    </w:p>
    <w:p>
      <w:pPr>
        <w:pStyle w:val="BodyText"/>
        <w:spacing w:line="276" w:lineRule="auto" w:before="205"/>
        <w:ind w:left="1440"/>
        <w:jc w:val="both"/>
      </w:pPr>
      <w:r>
        <w:rPr/>
        <w:t>Las superficies del hígado, peritoneal y el omento son sitios comunes de metástasis de Ca gástrico pero son difíciles de evaluar preoperatoriamente con la TC.</w:t>
      </w:r>
    </w:p>
    <w:p>
      <w:pPr>
        <w:pStyle w:val="BodyText"/>
        <w:spacing w:line="276" w:lineRule="auto" w:before="201"/>
        <w:ind w:left="1440" w:right="1"/>
        <w:jc w:val="both"/>
      </w:pPr>
      <w:r>
        <w:rPr/>
        <w:t>La laparoscopia diagnóstica ha sido superior al TC preoperatoria o a  </w:t>
      </w:r>
      <w:r>
        <w:rPr>
          <w:spacing w:val="-3"/>
        </w:rPr>
        <w:t>la </w:t>
      </w:r>
      <w:r>
        <w:rPr/>
        <w:t>ecografía percutánea en </w:t>
      </w:r>
      <w:r>
        <w:rPr>
          <w:spacing w:val="-3"/>
        </w:rPr>
        <w:t>la </w:t>
      </w:r>
      <w:r>
        <w:rPr/>
        <w:t>detección de metástasis peritoneal, hepática o linfática. La laparoscopia diagnóstica también se puede combinar con ultrasonido laparoscópico para aumentar el rendimiento diagnóstico.</w:t>
      </w:r>
    </w:p>
    <w:p>
      <w:pPr>
        <w:pStyle w:val="BodyText"/>
        <w:spacing w:line="276" w:lineRule="auto" w:before="197"/>
        <w:ind w:left="1440" w:right="3"/>
        <w:jc w:val="both"/>
      </w:pPr>
      <w:r>
        <w:rPr/>
        <w:t>La ecografía endoscópica preoperatoria y la ecografía laparoscópica son técnicas complementarias. Cuando se combinan, el 100% de sensibilidad en la detección de cánceres inoperables.</w:t>
      </w:r>
    </w:p>
    <w:p>
      <w:pPr>
        <w:pStyle w:val="BodyText"/>
        <w:spacing w:line="276" w:lineRule="auto" w:before="202"/>
        <w:ind w:left="1440" w:right="5"/>
        <w:jc w:val="both"/>
      </w:pPr>
      <w:r>
        <w:rPr/>
        <w:t>La esperanza de vida media de pacientes con lesiones incurables es de 3 a 9 meses.</w:t>
      </w:r>
    </w:p>
    <w:p>
      <w:pPr>
        <w:pStyle w:val="BodyText"/>
        <w:spacing w:before="8"/>
      </w:pPr>
      <w:r>
        <w:rPr/>
        <w:br w:type="column"/>
      </w:r>
      <w:r>
        <w:rPr/>
      </w:r>
    </w:p>
    <w:p>
      <w:pPr>
        <w:pStyle w:val="BodyText"/>
        <w:spacing w:line="276" w:lineRule="auto"/>
        <w:ind w:left="675" w:right="1438"/>
        <w:jc w:val="both"/>
      </w:pPr>
      <w:r>
        <w:rPr/>
        <w:t>En el 10-25% de los pacientes, la laparoscopia detectará enfermedad distante que excluye la resección curativa.</w:t>
      </w:r>
    </w:p>
    <w:p>
      <w:pPr>
        <w:pStyle w:val="BodyText"/>
        <w:spacing w:line="278" w:lineRule="auto" w:before="201"/>
        <w:ind w:left="675" w:right="1435"/>
        <w:jc w:val="both"/>
      </w:pPr>
      <w:r>
        <w:rPr/>
        <w:t>Beneficios de la laparoscopia diagnostica para individuos con una esperanza de vida corta:</w:t>
      </w:r>
    </w:p>
    <w:p>
      <w:pPr>
        <w:pStyle w:val="ListParagraph"/>
        <w:numPr>
          <w:ilvl w:val="0"/>
          <w:numId w:val="21"/>
        </w:numPr>
        <w:tabs>
          <w:tab w:pos="1396" w:val="left" w:leader="none"/>
          <w:tab w:pos="1397" w:val="left" w:leader="none"/>
        </w:tabs>
        <w:spacing w:line="240" w:lineRule="auto" w:before="196" w:after="0"/>
        <w:ind w:left="1396" w:right="0" w:hanging="361"/>
        <w:jc w:val="left"/>
        <w:rPr>
          <w:sz w:val="22"/>
        </w:rPr>
      </w:pPr>
      <w:r>
        <w:rPr>
          <w:sz w:val="22"/>
        </w:rPr>
        <w:t>Hospitalización más</w:t>
      </w:r>
      <w:r>
        <w:rPr>
          <w:spacing w:val="-1"/>
          <w:sz w:val="22"/>
        </w:rPr>
        <w:t> </w:t>
      </w:r>
      <w:r>
        <w:rPr>
          <w:sz w:val="22"/>
        </w:rPr>
        <w:t>corta</w:t>
      </w:r>
    </w:p>
    <w:p>
      <w:pPr>
        <w:pStyle w:val="ListParagraph"/>
        <w:numPr>
          <w:ilvl w:val="0"/>
          <w:numId w:val="21"/>
        </w:numPr>
        <w:tabs>
          <w:tab w:pos="1396" w:val="left" w:leader="none"/>
          <w:tab w:pos="1397" w:val="left" w:leader="none"/>
        </w:tabs>
        <w:spacing w:line="240" w:lineRule="auto" w:before="38" w:after="0"/>
        <w:ind w:left="1396" w:right="0" w:hanging="361"/>
        <w:jc w:val="left"/>
        <w:rPr>
          <w:sz w:val="22"/>
        </w:rPr>
      </w:pPr>
      <w:r>
        <w:rPr>
          <w:sz w:val="22"/>
        </w:rPr>
        <w:t>Reducción del trauma</w:t>
      </w:r>
      <w:r>
        <w:rPr>
          <w:spacing w:val="-9"/>
          <w:sz w:val="22"/>
        </w:rPr>
        <w:t> </w:t>
      </w:r>
      <w:r>
        <w:rPr>
          <w:sz w:val="22"/>
        </w:rPr>
        <w:t>operatorio</w:t>
      </w:r>
    </w:p>
    <w:p>
      <w:pPr>
        <w:pStyle w:val="BodyText"/>
        <w:spacing w:line="276" w:lineRule="auto" w:before="233"/>
        <w:ind w:left="675" w:right="1441"/>
        <w:jc w:val="both"/>
      </w:pPr>
      <w:r>
        <w:rPr/>
        <w:t>Análisis citológico peritoneal durante la laparoscopia:</w:t>
      </w:r>
    </w:p>
    <w:p>
      <w:pPr>
        <w:pStyle w:val="ListParagraph"/>
        <w:numPr>
          <w:ilvl w:val="0"/>
          <w:numId w:val="21"/>
        </w:numPr>
        <w:tabs>
          <w:tab w:pos="1397" w:val="left" w:leader="none"/>
        </w:tabs>
        <w:spacing w:line="273" w:lineRule="auto" w:before="204" w:after="0"/>
        <w:ind w:left="1396" w:right="1433" w:hanging="361"/>
        <w:jc w:val="both"/>
        <w:rPr>
          <w:sz w:val="22"/>
        </w:rPr>
      </w:pPr>
      <w:r>
        <w:rPr>
          <w:sz w:val="22"/>
        </w:rPr>
        <w:t>Citología peritoneal positiva: indicador de recurrencia temprana y mala</w:t>
      </w:r>
      <w:r>
        <w:rPr>
          <w:spacing w:val="-1"/>
          <w:sz w:val="22"/>
        </w:rPr>
        <w:t> </w:t>
      </w:r>
      <w:r>
        <w:rPr>
          <w:sz w:val="22"/>
        </w:rPr>
        <w:t>supervivencia</w:t>
      </w:r>
    </w:p>
    <w:p>
      <w:pPr>
        <w:pStyle w:val="ListParagraph"/>
        <w:numPr>
          <w:ilvl w:val="0"/>
          <w:numId w:val="21"/>
        </w:numPr>
        <w:tabs>
          <w:tab w:pos="1397" w:val="left" w:leader="none"/>
        </w:tabs>
        <w:spacing w:line="273" w:lineRule="auto" w:before="6" w:after="0"/>
        <w:ind w:left="1396" w:right="1436" w:hanging="361"/>
        <w:jc w:val="both"/>
        <w:rPr>
          <w:sz w:val="22"/>
        </w:rPr>
      </w:pPr>
      <w:r>
        <w:rPr>
          <w:sz w:val="22"/>
        </w:rPr>
        <w:t>La incidencia de una citología peritoneal positiva con ausencia de enfermedad grave es baja</w:t>
      </w:r>
      <w:r>
        <w:rPr>
          <w:spacing w:val="-9"/>
          <w:sz w:val="22"/>
        </w:rPr>
        <w:t> </w:t>
      </w:r>
      <w:r>
        <w:rPr>
          <w:sz w:val="22"/>
        </w:rPr>
        <w:t>(6-15%).</w:t>
      </w:r>
    </w:p>
    <w:p>
      <w:pPr>
        <w:pStyle w:val="Heading5"/>
        <w:spacing w:before="201"/>
        <w:ind w:left="675"/>
      </w:pPr>
      <w:r>
        <w:rPr/>
        <w:t>Laparotomía</w:t>
      </w:r>
    </w:p>
    <w:p>
      <w:pPr>
        <w:pStyle w:val="BodyText"/>
        <w:spacing w:before="8"/>
        <w:rPr>
          <w:b/>
          <w:sz w:val="20"/>
        </w:rPr>
      </w:pPr>
    </w:p>
    <w:p>
      <w:pPr>
        <w:pStyle w:val="BodyText"/>
        <w:spacing w:line="276" w:lineRule="auto" w:before="1"/>
        <w:ind w:left="675" w:right="1435"/>
        <w:jc w:val="both"/>
      </w:pPr>
      <w:r>
        <w:rPr/>
        <w:t>El número de pacientes diagnosticados con cáncer gástrico  disminuyó de 25 casos  por</w:t>
      </w:r>
    </w:p>
    <w:p>
      <w:pPr>
        <w:pStyle w:val="BodyText"/>
        <w:spacing w:before="2"/>
        <w:ind w:left="675"/>
        <w:jc w:val="both"/>
      </w:pPr>
      <w:r>
        <w:rPr/>
        <w:t>100.000  adultos  en  1988  a  20  casos por</w:t>
      </w:r>
    </w:p>
    <w:p>
      <w:pPr>
        <w:pStyle w:val="ListParagraph"/>
        <w:numPr>
          <w:ilvl w:val="1"/>
          <w:numId w:val="22"/>
        </w:numPr>
        <w:tabs>
          <w:tab w:pos="1536" w:val="left" w:leader="none"/>
        </w:tabs>
        <w:spacing w:line="276" w:lineRule="auto" w:before="34" w:after="0"/>
        <w:ind w:left="675" w:right="1432" w:firstLine="0"/>
        <w:jc w:val="both"/>
        <w:rPr>
          <w:sz w:val="22"/>
        </w:rPr>
      </w:pPr>
      <w:r>
        <w:rPr>
          <w:sz w:val="22"/>
        </w:rPr>
        <w:t>adultos en 2000. La disminución de </w:t>
      </w:r>
      <w:r>
        <w:rPr>
          <w:spacing w:val="-3"/>
          <w:sz w:val="22"/>
        </w:rPr>
        <w:t>la </w:t>
      </w:r>
      <w:r>
        <w:rPr>
          <w:sz w:val="22"/>
        </w:rPr>
        <w:t>tasa de hospitalización también disminuyó </w:t>
      </w:r>
      <w:r>
        <w:rPr>
          <w:spacing w:val="-3"/>
          <w:sz w:val="22"/>
        </w:rPr>
        <w:t>la </w:t>
      </w:r>
      <w:r>
        <w:rPr>
          <w:sz w:val="22"/>
        </w:rPr>
        <w:t>tasa de resección gástrica en 29%, pasó de 5.6 casos por 100.000 adultos en 1988 a 4.0 casos por 100.000 adultos en 2000. La proporción global de pacientes hospitalizados con cáncer gástrico sometidos a resección gástrica se mantuvo constante en</w:t>
      </w:r>
      <w:r>
        <w:rPr>
          <w:spacing w:val="-1"/>
          <w:sz w:val="22"/>
        </w:rPr>
        <w:t> </w:t>
      </w:r>
      <w:r>
        <w:rPr>
          <w:sz w:val="22"/>
        </w:rPr>
        <w:t>22%.</w:t>
      </w:r>
    </w:p>
    <w:p>
      <w:pPr>
        <w:pStyle w:val="BodyText"/>
        <w:spacing w:line="276" w:lineRule="auto" w:before="201"/>
        <w:ind w:left="675" w:right="1437"/>
        <w:jc w:val="both"/>
      </w:pPr>
      <w:r>
        <w:rPr/>
        <w:t>La resección gástrica para el cáncer tiene una tasa relativamente alta de complicaciones postoperatorias y mortalidad operativa</w:t>
      </w:r>
      <w:r>
        <w:rPr>
          <w:spacing w:val="-2"/>
        </w:rPr>
        <w:t> </w:t>
      </w:r>
      <w:r>
        <w:rPr/>
        <w:t>significativa.</w:t>
      </w:r>
    </w:p>
    <w:p>
      <w:pPr>
        <w:pStyle w:val="BodyText"/>
        <w:spacing w:line="276" w:lineRule="auto" w:before="201"/>
        <w:ind w:left="675" w:right="1436"/>
        <w:jc w:val="both"/>
      </w:pPr>
      <w:r>
        <w:rPr/>
        <w:t>De 1988 a 2000, </w:t>
      </w:r>
      <w:r>
        <w:rPr>
          <w:spacing w:val="-3"/>
        </w:rPr>
        <w:t>la </w:t>
      </w:r>
      <w:r>
        <w:rPr/>
        <w:t>mortalidad hospitalaria no cambió significativamente, con una tasa de mortalidad general de 7,4% para el grupo nacional. Los centros de bajo volumen tenían una tasa de mortalidad</w:t>
      </w:r>
      <w:r>
        <w:rPr>
          <w:spacing w:val="21"/>
        </w:rPr>
        <w:t> </w:t>
      </w:r>
      <w:r>
        <w:rPr/>
        <w:t>del</w:t>
      </w:r>
    </w:p>
    <w:p>
      <w:pPr>
        <w:spacing w:after="0" w:line="276" w:lineRule="auto"/>
        <w:jc w:val="both"/>
        <w:sectPr>
          <w:type w:val="continuous"/>
          <w:pgSz w:w="12240" w:h="15840"/>
          <w:pgMar w:top="1500" w:bottom="0" w:left="0" w:right="0"/>
          <w:cols w:num="2" w:equalWidth="0">
            <w:col w:w="5767" w:space="40"/>
            <w:col w:w="6433"/>
          </w:cols>
        </w:sectPr>
      </w:pPr>
    </w:p>
    <w:p>
      <w:pPr>
        <w:pStyle w:val="BodyText"/>
        <w:rPr>
          <w:sz w:val="20"/>
        </w:rPr>
      </w:pPr>
    </w:p>
    <w:p>
      <w:pPr>
        <w:spacing w:after="0"/>
        <w:rPr>
          <w:sz w:val="20"/>
        </w:rPr>
        <w:sectPr>
          <w:footerReference w:type="even" r:id="rId59"/>
          <w:footerReference w:type="default" r:id="rId60"/>
          <w:pgSz w:w="12240" w:h="15840"/>
          <w:pgMar w:footer="872" w:header="723" w:top="940" w:bottom="1060" w:left="0" w:right="0"/>
          <w:pgNumType w:start="20"/>
        </w:sectPr>
      </w:pPr>
    </w:p>
    <w:p>
      <w:pPr>
        <w:pStyle w:val="BodyText"/>
        <w:spacing w:before="8"/>
      </w:pPr>
    </w:p>
    <w:p>
      <w:pPr>
        <w:pStyle w:val="BodyText"/>
        <w:spacing w:line="276" w:lineRule="auto"/>
        <w:ind w:left="1440"/>
        <w:jc w:val="both"/>
      </w:pPr>
      <w:r>
        <w:rPr/>
        <w:t>8,3%, los hospitales de volumen medio tenían una tasa de mortalidad del 7,1% y los centros de alto volumen tenían una tasa de mortalidad del</w:t>
      </w:r>
      <w:r>
        <w:rPr>
          <w:spacing w:val="-11"/>
        </w:rPr>
        <w:t> </w:t>
      </w:r>
      <w:r>
        <w:rPr/>
        <w:t>6,5%.</w:t>
      </w:r>
    </w:p>
    <w:p>
      <w:pPr>
        <w:pStyle w:val="BodyText"/>
        <w:spacing w:line="276" w:lineRule="auto" w:before="202"/>
        <w:ind w:left="1440" w:right="1"/>
        <w:jc w:val="both"/>
      </w:pPr>
      <w:r>
        <w:rPr/>
        <w:t>Las tasas de complicación no fueron uniformes y variaron en relación con la experiencia hospitalaria con la cirugía gástrica.</w:t>
      </w:r>
    </w:p>
    <w:p>
      <w:pPr>
        <w:pStyle w:val="BodyText"/>
        <w:spacing w:line="276" w:lineRule="auto" w:before="202"/>
        <w:ind w:left="1440"/>
        <w:jc w:val="both"/>
      </w:pPr>
      <w:r>
        <w:rPr/>
        <w:t>Desde principios de los años ochenta, se han realizado operaciones radicales para el tratamiento del cáncer gástrico, incluyendo gastrectomía total, gastrectomía subtotal extendida con resección en bloque de los ganglios linfáticos celíacos y esplénicos, esplenectomía y pancreatectomía distal. Con el tiempo, se ha hecho evidente que las operaciones radicales, en general, aumentan </w:t>
      </w:r>
      <w:r>
        <w:rPr>
          <w:spacing w:val="-3"/>
        </w:rPr>
        <w:t>la </w:t>
      </w:r>
      <w:r>
        <w:rPr/>
        <w:t>morbilidad operativa sin mejorar </w:t>
      </w:r>
      <w:r>
        <w:rPr>
          <w:spacing w:val="-3"/>
        </w:rPr>
        <w:t>la</w:t>
      </w:r>
      <w:r>
        <w:rPr>
          <w:spacing w:val="-4"/>
        </w:rPr>
        <w:t> </w:t>
      </w:r>
      <w:r>
        <w:rPr/>
        <w:t>supervivencia.</w:t>
      </w:r>
    </w:p>
    <w:p>
      <w:pPr>
        <w:pStyle w:val="BodyText"/>
        <w:spacing w:before="202"/>
        <w:ind w:left="1440"/>
        <w:jc w:val="both"/>
      </w:pPr>
      <w:r>
        <w:rPr/>
        <w:t>*Estadísticas de Estados Unidos</w:t>
      </w:r>
    </w:p>
    <w:p>
      <w:pPr>
        <w:pStyle w:val="BodyText"/>
        <w:spacing w:before="6"/>
        <w:rPr>
          <w:sz w:val="20"/>
        </w:rPr>
      </w:pPr>
    </w:p>
    <w:p>
      <w:pPr>
        <w:pStyle w:val="Heading4"/>
        <w:jc w:val="both"/>
      </w:pPr>
      <w:r>
        <w:rPr/>
        <w:t>TRATAMIENTO PALIATIVO</w:t>
      </w:r>
    </w:p>
    <w:p>
      <w:pPr>
        <w:pStyle w:val="BodyText"/>
        <w:rPr>
          <w:b/>
          <w:sz w:val="21"/>
        </w:rPr>
      </w:pPr>
    </w:p>
    <w:p>
      <w:pPr>
        <w:pStyle w:val="BodyText"/>
        <w:spacing w:line="276" w:lineRule="auto" w:before="1"/>
        <w:ind w:left="1440"/>
        <w:jc w:val="both"/>
      </w:pPr>
      <w:r>
        <w:rPr/>
        <w:t>El tratamiento paliativo es de primera línea cuando se emplea cuando la enfermedad esta diseminada en un estudio preoperatorio. Las medidas paliativas no suelen requerir cirugía.</w:t>
      </w:r>
    </w:p>
    <w:p>
      <w:pPr>
        <w:pStyle w:val="BodyText"/>
        <w:spacing w:line="276" w:lineRule="auto" w:before="202"/>
        <w:ind w:left="1440"/>
        <w:jc w:val="both"/>
      </w:pPr>
      <w:r>
        <w:rPr/>
        <w:t>Obstrucción y el sangrado: fulguración endoscópica con láser en pacientes seleccionados.</w:t>
      </w:r>
    </w:p>
    <w:p>
      <w:pPr>
        <w:pStyle w:val="BodyText"/>
        <w:spacing w:line="276" w:lineRule="auto" w:before="202"/>
        <w:ind w:left="1440" w:right="1"/>
        <w:jc w:val="both"/>
      </w:pPr>
      <w:r>
        <w:rPr/>
        <w:t>Disfagia y la hemorragia en lesiones proximales: el 80% de los pacientes pueden ser controlados con el uso de fulguración endoscópica con láser</w:t>
      </w:r>
    </w:p>
    <w:p>
      <w:pPr>
        <w:pStyle w:val="BodyText"/>
        <w:spacing w:line="276" w:lineRule="auto" w:before="202"/>
        <w:ind w:left="1440"/>
        <w:jc w:val="both"/>
      </w:pPr>
      <w:r>
        <w:rPr/>
        <w:t>La resección paliativa no mejora la supervivencia del cáncer gástrico metastásico. Sin embargo, la resección puede proporcionar un alivio de los síntomas, en particular la disfagia.</w:t>
      </w:r>
    </w:p>
    <w:p>
      <w:pPr>
        <w:pStyle w:val="BodyText"/>
        <w:spacing w:before="10"/>
      </w:pPr>
      <w:r>
        <w:rPr/>
        <w:br w:type="column"/>
      </w:r>
      <w:r>
        <w:rPr/>
      </w:r>
    </w:p>
    <w:p>
      <w:pPr>
        <w:pStyle w:val="ListParagraph"/>
        <w:numPr>
          <w:ilvl w:val="2"/>
          <w:numId w:val="22"/>
        </w:numPr>
        <w:tabs>
          <w:tab w:pos="1403" w:val="left" w:leader="none"/>
        </w:tabs>
        <w:spacing w:line="273" w:lineRule="auto" w:before="0" w:after="0"/>
        <w:ind w:left="1402" w:right="1437" w:hanging="361"/>
        <w:jc w:val="both"/>
        <w:rPr>
          <w:sz w:val="22"/>
        </w:rPr>
      </w:pPr>
      <w:r>
        <w:rPr>
          <w:sz w:val="22"/>
        </w:rPr>
        <w:t>Gastrectomía total con </w:t>
      </w:r>
      <w:r>
        <w:rPr>
          <w:spacing w:val="-3"/>
          <w:sz w:val="22"/>
        </w:rPr>
        <w:t>la </w:t>
      </w:r>
      <w:r>
        <w:rPr>
          <w:sz w:val="22"/>
        </w:rPr>
        <w:t>reconstrucción esofagojejunal de Roux-en-Y</w:t>
      </w:r>
    </w:p>
    <w:p>
      <w:pPr>
        <w:pStyle w:val="BodyText"/>
        <w:spacing w:before="4"/>
        <w:ind w:left="1041"/>
      </w:pPr>
      <w:r>
        <w:rPr/>
        <w:t>1. Obstructivas proximal</w:t>
      </w:r>
    </w:p>
    <w:p>
      <w:pPr>
        <w:pStyle w:val="BodyText"/>
        <w:spacing w:before="6"/>
        <w:rPr>
          <w:sz w:val="28"/>
        </w:rPr>
      </w:pPr>
    </w:p>
    <w:p>
      <w:pPr>
        <w:pStyle w:val="ListParagraph"/>
        <w:numPr>
          <w:ilvl w:val="2"/>
          <w:numId w:val="22"/>
        </w:numPr>
        <w:tabs>
          <w:tab w:pos="1401" w:val="left" w:leader="none"/>
          <w:tab w:pos="1403" w:val="left" w:leader="none"/>
        </w:tabs>
        <w:spacing w:line="240" w:lineRule="auto" w:before="0" w:after="0"/>
        <w:ind w:left="1402" w:right="0" w:hanging="361"/>
        <w:jc w:val="left"/>
        <w:rPr>
          <w:sz w:val="22"/>
        </w:rPr>
      </w:pPr>
      <w:r>
        <w:rPr>
          <w:sz w:val="22"/>
        </w:rPr>
        <w:t>Bypass sin</w:t>
      </w:r>
      <w:r>
        <w:rPr>
          <w:spacing w:val="-1"/>
          <w:sz w:val="22"/>
        </w:rPr>
        <w:t> </w:t>
      </w:r>
      <w:r>
        <w:rPr>
          <w:sz w:val="22"/>
        </w:rPr>
        <w:t>resección</w:t>
      </w:r>
    </w:p>
    <w:p>
      <w:pPr>
        <w:pStyle w:val="ListParagraph"/>
        <w:numPr>
          <w:ilvl w:val="0"/>
          <w:numId w:val="23"/>
        </w:numPr>
        <w:tabs>
          <w:tab w:pos="1403" w:val="left" w:leader="none"/>
        </w:tabs>
        <w:spacing w:line="276" w:lineRule="auto" w:before="37" w:after="0"/>
        <w:ind w:left="1402" w:right="1435" w:hanging="361"/>
        <w:jc w:val="both"/>
        <w:rPr>
          <w:sz w:val="22"/>
        </w:rPr>
      </w:pPr>
      <w:r>
        <w:rPr>
          <w:sz w:val="22"/>
        </w:rPr>
        <w:t>Obstrucción distal de los cánceres gástricos</w:t>
      </w:r>
    </w:p>
    <w:p>
      <w:pPr>
        <w:pStyle w:val="ListParagraph"/>
        <w:numPr>
          <w:ilvl w:val="0"/>
          <w:numId w:val="23"/>
        </w:numPr>
        <w:tabs>
          <w:tab w:pos="1403" w:val="left" w:leader="none"/>
        </w:tabs>
        <w:spacing w:line="276" w:lineRule="auto" w:before="0" w:after="0"/>
        <w:ind w:left="1402" w:right="1438" w:hanging="361"/>
        <w:jc w:val="both"/>
        <w:rPr>
          <w:sz w:val="22"/>
        </w:rPr>
      </w:pPr>
      <w:r>
        <w:rPr>
          <w:sz w:val="22"/>
        </w:rPr>
        <w:t>Proporciona un alivio </w:t>
      </w:r>
      <w:r>
        <w:rPr>
          <w:spacing w:val="-3"/>
          <w:sz w:val="22"/>
        </w:rPr>
        <w:t>la </w:t>
      </w:r>
      <w:r>
        <w:rPr>
          <w:sz w:val="22"/>
        </w:rPr>
        <w:t>mitad de los pacientes y una supervivencia media es inferior a 6</w:t>
      </w:r>
      <w:r>
        <w:rPr>
          <w:spacing w:val="-5"/>
          <w:sz w:val="22"/>
        </w:rPr>
        <w:t> </w:t>
      </w:r>
      <w:r>
        <w:rPr>
          <w:sz w:val="22"/>
        </w:rPr>
        <w:t>meses</w:t>
      </w:r>
    </w:p>
    <w:p>
      <w:pPr>
        <w:pStyle w:val="Heading5"/>
        <w:spacing w:before="196"/>
        <w:ind w:left="681"/>
        <w:jc w:val="left"/>
      </w:pPr>
      <w:r>
        <w:rPr/>
        <w:t>Terapia Neo adyuvante y Adyuvante</w:t>
      </w:r>
    </w:p>
    <w:p>
      <w:pPr>
        <w:pStyle w:val="BodyText"/>
        <w:spacing w:before="1"/>
        <w:rPr>
          <w:b/>
          <w:sz w:val="21"/>
        </w:rPr>
      </w:pPr>
    </w:p>
    <w:p>
      <w:pPr>
        <w:pStyle w:val="BodyText"/>
        <w:tabs>
          <w:tab w:pos="3067" w:val="left" w:leader="none"/>
          <w:tab w:pos="4330" w:val="left" w:leader="none"/>
        </w:tabs>
        <w:spacing w:line="276" w:lineRule="auto"/>
        <w:ind w:left="681" w:right="1440"/>
        <w:jc w:val="both"/>
      </w:pPr>
      <w:r>
        <w:rPr/>
        <w:t>Quimiorradiación</w:t>
        <w:tab/>
        <w:t>como</w:t>
        <w:tab/>
      </w:r>
      <w:r>
        <w:rPr>
          <w:spacing w:val="-1"/>
        </w:rPr>
        <w:t>terapia </w:t>
      </w:r>
      <w:r>
        <w:rPr/>
        <w:t>neoadyuvante o</w:t>
      </w:r>
      <w:r>
        <w:rPr>
          <w:spacing w:val="-5"/>
        </w:rPr>
        <w:t> </w:t>
      </w:r>
      <w:r>
        <w:rPr/>
        <w:t>adyuvante.</w:t>
      </w:r>
    </w:p>
    <w:p>
      <w:pPr>
        <w:pStyle w:val="BodyText"/>
        <w:spacing w:line="276" w:lineRule="auto" w:before="202"/>
        <w:ind w:left="681" w:right="1436"/>
        <w:jc w:val="both"/>
      </w:pPr>
      <w:r>
        <w:rPr/>
        <w:t>Dos estudios han redefinido la práctica clínica para pacientes con cáncer gástrico resecable localmente avanzado que toleren la terapia multimodal.</w:t>
      </w:r>
    </w:p>
    <w:p>
      <w:pPr>
        <w:pStyle w:val="ListParagraph"/>
        <w:numPr>
          <w:ilvl w:val="0"/>
          <w:numId w:val="24"/>
        </w:numPr>
        <w:tabs>
          <w:tab w:pos="1478" w:val="left" w:leader="none"/>
        </w:tabs>
        <w:spacing w:line="276" w:lineRule="auto" w:before="202" w:after="0"/>
        <w:ind w:left="1477" w:right="1437" w:hanging="436"/>
        <w:jc w:val="both"/>
        <w:rPr>
          <w:sz w:val="22"/>
        </w:rPr>
      </w:pPr>
      <w:r>
        <w:rPr>
          <w:sz w:val="22"/>
        </w:rPr>
        <w:t>5-fluorouracilo (5FU), leukovorin y radiación externa después de </w:t>
      </w:r>
      <w:r>
        <w:rPr>
          <w:spacing w:val="-3"/>
          <w:sz w:val="22"/>
        </w:rPr>
        <w:t>la </w:t>
      </w:r>
      <w:r>
        <w:rPr>
          <w:sz w:val="22"/>
        </w:rPr>
        <w:t>gastrectomía</w:t>
      </w:r>
    </w:p>
    <w:p>
      <w:pPr>
        <w:pStyle w:val="ListParagraph"/>
        <w:numPr>
          <w:ilvl w:val="2"/>
          <w:numId w:val="22"/>
        </w:numPr>
        <w:tabs>
          <w:tab w:pos="1403" w:val="left" w:leader="none"/>
        </w:tabs>
        <w:spacing w:line="273" w:lineRule="auto" w:before="3" w:after="0"/>
        <w:ind w:left="1402" w:right="1434" w:hanging="361"/>
        <w:jc w:val="both"/>
        <w:rPr>
          <w:sz w:val="22"/>
        </w:rPr>
      </w:pPr>
      <w:r>
        <w:rPr>
          <w:sz w:val="22"/>
        </w:rPr>
        <w:t>Mejora </w:t>
      </w:r>
      <w:r>
        <w:rPr>
          <w:spacing w:val="-3"/>
          <w:sz w:val="22"/>
        </w:rPr>
        <w:t>la </w:t>
      </w:r>
      <w:r>
        <w:rPr>
          <w:sz w:val="22"/>
        </w:rPr>
        <w:t>supervivencia de </w:t>
      </w:r>
      <w:r>
        <w:rPr>
          <w:spacing w:val="-3"/>
          <w:sz w:val="22"/>
        </w:rPr>
        <w:t>la </w:t>
      </w:r>
      <w:r>
        <w:rPr>
          <w:sz w:val="22"/>
        </w:rPr>
        <w:t>cirugía sola para el Ca gástrico localmente avanzado.</w:t>
      </w:r>
    </w:p>
    <w:p>
      <w:pPr>
        <w:pStyle w:val="ListParagraph"/>
        <w:numPr>
          <w:ilvl w:val="2"/>
          <w:numId w:val="22"/>
        </w:numPr>
        <w:tabs>
          <w:tab w:pos="1403" w:val="left" w:leader="none"/>
        </w:tabs>
        <w:spacing w:line="268" w:lineRule="auto" w:before="5" w:after="0"/>
        <w:ind w:left="1402" w:right="1432" w:hanging="361"/>
        <w:jc w:val="both"/>
        <w:rPr>
          <w:sz w:val="22"/>
        </w:rPr>
      </w:pPr>
      <w:r>
        <w:rPr>
          <w:sz w:val="22"/>
        </w:rPr>
        <w:t>Después de un período medio de 5 años de seguimiento</w:t>
      </w:r>
      <w:r>
        <w:rPr>
          <w:spacing w:val="-2"/>
          <w:sz w:val="22"/>
        </w:rPr>
        <w:t> </w:t>
      </w:r>
      <w:r>
        <w:rPr>
          <w:sz w:val="22"/>
        </w:rPr>
        <w:t>:</w:t>
      </w:r>
    </w:p>
    <w:p>
      <w:pPr>
        <w:pStyle w:val="ListParagraph"/>
        <w:numPr>
          <w:ilvl w:val="0"/>
          <w:numId w:val="25"/>
        </w:numPr>
        <w:tabs>
          <w:tab w:pos="1403" w:val="left" w:leader="none"/>
        </w:tabs>
        <w:spacing w:line="276" w:lineRule="auto" w:before="8" w:after="0"/>
        <w:ind w:left="1402" w:right="1437" w:hanging="361"/>
        <w:jc w:val="both"/>
        <w:rPr>
          <w:sz w:val="22"/>
        </w:rPr>
      </w:pPr>
      <w:r>
        <w:rPr>
          <w:sz w:val="22"/>
        </w:rPr>
        <w:t>Supervivencia libre de enfermedad mejoro.</w:t>
      </w:r>
    </w:p>
    <w:tbl>
      <w:tblPr>
        <w:tblW w:w="0" w:type="auto"/>
        <w:jc w:val="left"/>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33"/>
        <w:gridCol w:w="2229"/>
      </w:tblGrid>
      <w:tr>
        <w:trPr>
          <w:trHeight w:val="493" w:hRule="atLeast"/>
        </w:trPr>
        <w:tc>
          <w:tcPr>
            <w:tcW w:w="4462" w:type="dxa"/>
            <w:gridSpan w:val="2"/>
          </w:tcPr>
          <w:p>
            <w:pPr>
              <w:pStyle w:val="TableParagraph"/>
              <w:spacing w:line="249" w:lineRule="exact"/>
              <w:ind w:left="71"/>
              <w:rPr>
                <w:sz w:val="20"/>
              </w:rPr>
            </w:pPr>
            <w:r>
              <w:rPr>
                <w:b/>
                <w:sz w:val="22"/>
              </w:rPr>
              <w:t>Tabla3. </w:t>
            </w:r>
            <w:r>
              <w:rPr>
                <w:sz w:val="20"/>
              </w:rPr>
              <w:t>Tiempo mediano de recaída</w:t>
            </w:r>
          </w:p>
        </w:tc>
      </w:tr>
      <w:tr>
        <w:trPr>
          <w:trHeight w:val="526" w:hRule="atLeast"/>
        </w:trPr>
        <w:tc>
          <w:tcPr>
            <w:tcW w:w="2233" w:type="dxa"/>
          </w:tcPr>
          <w:p>
            <w:pPr>
              <w:pStyle w:val="TableParagraph"/>
              <w:spacing w:line="226" w:lineRule="exact"/>
              <w:rPr>
                <w:sz w:val="20"/>
              </w:rPr>
            </w:pPr>
            <w:r>
              <w:rPr>
                <w:sz w:val="20"/>
              </w:rPr>
              <w:t>Tratamiento</w:t>
            </w:r>
          </w:p>
          <w:p>
            <w:pPr>
              <w:pStyle w:val="TableParagraph"/>
              <w:spacing w:before="34"/>
              <w:rPr>
                <w:sz w:val="20"/>
              </w:rPr>
            </w:pPr>
            <w:r>
              <w:rPr>
                <w:sz w:val="20"/>
              </w:rPr>
              <w:t>multimodal</w:t>
            </w:r>
          </w:p>
        </w:tc>
        <w:tc>
          <w:tcPr>
            <w:tcW w:w="2229" w:type="dxa"/>
          </w:tcPr>
          <w:p>
            <w:pPr>
              <w:pStyle w:val="TableParagraph"/>
              <w:spacing w:line="226" w:lineRule="exact"/>
              <w:rPr>
                <w:sz w:val="20"/>
              </w:rPr>
            </w:pPr>
            <w:r>
              <w:rPr>
                <w:sz w:val="20"/>
              </w:rPr>
              <w:t>30 meses</w:t>
            </w:r>
          </w:p>
        </w:tc>
      </w:tr>
      <w:tr>
        <w:trPr>
          <w:trHeight w:val="261" w:hRule="atLeast"/>
        </w:trPr>
        <w:tc>
          <w:tcPr>
            <w:tcW w:w="2233" w:type="dxa"/>
          </w:tcPr>
          <w:p>
            <w:pPr>
              <w:pStyle w:val="TableParagraph"/>
              <w:spacing w:line="229" w:lineRule="exact"/>
              <w:rPr>
                <w:sz w:val="20"/>
              </w:rPr>
            </w:pPr>
            <w:r>
              <w:rPr>
                <w:sz w:val="20"/>
              </w:rPr>
              <w:t>Cirugía sola</w:t>
            </w:r>
          </w:p>
        </w:tc>
        <w:tc>
          <w:tcPr>
            <w:tcW w:w="2229" w:type="dxa"/>
          </w:tcPr>
          <w:p>
            <w:pPr>
              <w:pStyle w:val="TableParagraph"/>
              <w:spacing w:line="229" w:lineRule="exact"/>
              <w:rPr>
                <w:sz w:val="20"/>
              </w:rPr>
            </w:pPr>
            <w:r>
              <w:rPr>
                <w:sz w:val="20"/>
              </w:rPr>
              <w:t>19 meses</w:t>
            </w:r>
          </w:p>
        </w:tc>
      </w:tr>
    </w:tbl>
    <w:p>
      <w:pPr>
        <w:pStyle w:val="BodyText"/>
        <w:spacing w:before="6"/>
        <w:rPr>
          <w:sz w:val="25"/>
        </w:rPr>
      </w:pPr>
    </w:p>
    <w:p>
      <w:pPr>
        <w:pStyle w:val="ListParagraph"/>
        <w:numPr>
          <w:ilvl w:val="0"/>
          <w:numId w:val="25"/>
        </w:numPr>
        <w:tabs>
          <w:tab w:pos="1403" w:val="left" w:leader="none"/>
        </w:tabs>
        <w:spacing w:line="240" w:lineRule="auto" w:before="0" w:after="0"/>
        <w:ind w:left="1402" w:right="0" w:hanging="361"/>
        <w:jc w:val="left"/>
        <w:rPr>
          <w:sz w:val="22"/>
        </w:rPr>
      </w:pPr>
      <w:r>
        <w:rPr>
          <w:sz w:val="22"/>
        </w:rPr>
        <w:t>Supervivencia global</w:t>
      </w:r>
      <w:r>
        <w:rPr>
          <w:spacing w:val="-7"/>
          <w:sz w:val="22"/>
        </w:rPr>
        <w:t> </w:t>
      </w:r>
      <w:r>
        <w:rPr>
          <w:sz w:val="22"/>
        </w:rPr>
        <w:t>mejoro</w:t>
      </w:r>
    </w:p>
    <w:p>
      <w:pPr>
        <w:pStyle w:val="BodyText"/>
        <w:spacing w:before="11"/>
        <w:rPr>
          <w:sz w:val="20"/>
        </w:rPr>
      </w:pPr>
    </w:p>
    <w:tbl>
      <w:tblPr>
        <w:tblW w:w="0" w:type="auto"/>
        <w:jc w:val="left"/>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33"/>
        <w:gridCol w:w="2229"/>
      </w:tblGrid>
      <w:tr>
        <w:trPr>
          <w:trHeight w:val="490" w:hRule="atLeast"/>
        </w:trPr>
        <w:tc>
          <w:tcPr>
            <w:tcW w:w="4462" w:type="dxa"/>
            <w:gridSpan w:val="2"/>
          </w:tcPr>
          <w:p>
            <w:pPr>
              <w:pStyle w:val="TableParagraph"/>
              <w:spacing w:line="246" w:lineRule="exact"/>
              <w:ind w:left="71"/>
              <w:rPr>
                <w:sz w:val="20"/>
              </w:rPr>
            </w:pPr>
            <w:r>
              <w:rPr>
                <w:b/>
                <w:sz w:val="22"/>
              </w:rPr>
              <w:t>Tabla4</w:t>
            </w:r>
            <w:r>
              <w:rPr>
                <w:sz w:val="20"/>
              </w:rPr>
              <w:t>. Supervivencia global del Ca gástrico.</w:t>
            </w:r>
          </w:p>
        </w:tc>
      </w:tr>
      <w:tr>
        <w:trPr>
          <w:trHeight w:val="266" w:hRule="atLeast"/>
        </w:trPr>
        <w:tc>
          <w:tcPr>
            <w:tcW w:w="2233" w:type="dxa"/>
          </w:tcPr>
          <w:p>
            <w:pPr>
              <w:pStyle w:val="TableParagraph"/>
              <w:spacing w:line="230" w:lineRule="exact"/>
              <w:rPr>
                <w:sz w:val="20"/>
              </w:rPr>
            </w:pPr>
            <w:r>
              <w:rPr>
                <w:sz w:val="20"/>
              </w:rPr>
              <w:t>Quimiorradiación</w:t>
            </w:r>
          </w:p>
        </w:tc>
        <w:tc>
          <w:tcPr>
            <w:tcW w:w="2229" w:type="dxa"/>
          </w:tcPr>
          <w:p>
            <w:pPr>
              <w:pStyle w:val="TableParagraph"/>
              <w:spacing w:line="230" w:lineRule="exact"/>
              <w:rPr>
                <w:sz w:val="20"/>
              </w:rPr>
            </w:pPr>
            <w:r>
              <w:rPr>
                <w:sz w:val="20"/>
              </w:rPr>
              <w:t>36 meses</w:t>
            </w:r>
          </w:p>
        </w:tc>
      </w:tr>
      <w:tr>
        <w:trPr>
          <w:trHeight w:val="261" w:hRule="atLeast"/>
        </w:trPr>
        <w:tc>
          <w:tcPr>
            <w:tcW w:w="2233" w:type="dxa"/>
          </w:tcPr>
          <w:p>
            <w:pPr>
              <w:pStyle w:val="TableParagraph"/>
              <w:spacing w:line="225" w:lineRule="exact"/>
              <w:rPr>
                <w:sz w:val="20"/>
              </w:rPr>
            </w:pPr>
            <w:r>
              <w:rPr>
                <w:sz w:val="20"/>
              </w:rPr>
              <w:t>Cirugía sola</w:t>
            </w:r>
          </w:p>
        </w:tc>
        <w:tc>
          <w:tcPr>
            <w:tcW w:w="2229" w:type="dxa"/>
          </w:tcPr>
          <w:p>
            <w:pPr>
              <w:pStyle w:val="TableParagraph"/>
              <w:spacing w:line="225" w:lineRule="exact"/>
              <w:rPr>
                <w:sz w:val="20"/>
              </w:rPr>
            </w:pPr>
            <w:r>
              <w:rPr>
                <w:sz w:val="20"/>
              </w:rPr>
              <w:t>27 meses</w:t>
            </w:r>
          </w:p>
        </w:tc>
      </w:tr>
    </w:tbl>
    <w:p>
      <w:pPr>
        <w:spacing w:after="0" w:line="225" w:lineRule="exact"/>
        <w:rPr>
          <w:sz w:val="20"/>
        </w:rPr>
        <w:sectPr>
          <w:type w:val="continuous"/>
          <w:pgSz w:w="12240" w:h="15840"/>
          <w:pgMar w:top="1500" w:bottom="0" w:left="0" w:right="0"/>
          <w:cols w:num="2" w:equalWidth="0">
            <w:col w:w="5761" w:space="40"/>
            <w:col w:w="6439"/>
          </w:cols>
        </w:sectPr>
      </w:pPr>
    </w:p>
    <w:p>
      <w:pPr>
        <w:pStyle w:val="BodyText"/>
        <w:rPr>
          <w:sz w:val="20"/>
        </w:rPr>
      </w:pPr>
    </w:p>
    <w:p>
      <w:pPr>
        <w:spacing w:after="0"/>
        <w:rPr>
          <w:sz w:val="20"/>
        </w:rPr>
        <w:sectPr>
          <w:pgSz w:w="12240" w:h="15840"/>
          <w:pgMar w:header="723" w:footer="882" w:top="940" w:bottom="1080" w:left="0" w:right="0"/>
        </w:sectPr>
      </w:pPr>
    </w:p>
    <w:p>
      <w:pPr>
        <w:pStyle w:val="BodyText"/>
        <w:spacing w:before="8"/>
      </w:pPr>
    </w:p>
    <w:p>
      <w:pPr>
        <w:pStyle w:val="ListParagraph"/>
        <w:numPr>
          <w:ilvl w:val="0"/>
          <w:numId w:val="24"/>
        </w:numPr>
        <w:tabs>
          <w:tab w:pos="2237" w:val="left" w:leader="none"/>
        </w:tabs>
        <w:spacing w:line="276" w:lineRule="auto" w:before="0" w:after="0"/>
        <w:ind w:left="2236" w:right="0" w:hanging="436"/>
        <w:jc w:val="both"/>
        <w:rPr>
          <w:sz w:val="22"/>
        </w:rPr>
      </w:pPr>
      <w:r>
        <w:rPr>
          <w:sz w:val="22"/>
        </w:rPr>
        <w:t>MAGIC (Medical Research Council Adjuvant Gastric Infusional Chemotherapy)</w:t>
      </w:r>
    </w:p>
    <w:p>
      <w:pPr>
        <w:pStyle w:val="ListParagraph"/>
        <w:numPr>
          <w:ilvl w:val="1"/>
          <w:numId w:val="24"/>
        </w:numPr>
        <w:tabs>
          <w:tab w:pos="2521" w:val="left" w:leader="none"/>
        </w:tabs>
        <w:spacing w:line="273" w:lineRule="auto" w:before="2" w:after="0"/>
        <w:ind w:left="2521" w:right="3" w:hanging="361"/>
        <w:jc w:val="both"/>
        <w:rPr>
          <w:sz w:val="22"/>
        </w:rPr>
      </w:pPr>
      <w:r>
        <w:rPr>
          <w:sz w:val="22"/>
        </w:rPr>
        <w:t>Quimioterapia  perioperatoria (pre y postoperatoria) versus cirugía sola para cáncer gástrico resecable.</w:t>
      </w:r>
    </w:p>
    <w:p>
      <w:pPr>
        <w:pStyle w:val="ListParagraph"/>
        <w:numPr>
          <w:ilvl w:val="1"/>
          <w:numId w:val="24"/>
        </w:numPr>
        <w:tabs>
          <w:tab w:pos="2521" w:val="left" w:leader="none"/>
        </w:tabs>
        <w:spacing w:line="268" w:lineRule="auto" w:before="5" w:after="0"/>
        <w:ind w:left="2521" w:right="7" w:hanging="361"/>
        <w:jc w:val="both"/>
        <w:rPr>
          <w:sz w:val="22"/>
        </w:rPr>
      </w:pPr>
      <w:r>
        <w:rPr>
          <w:sz w:val="22"/>
        </w:rPr>
        <w:t>Beneficio significativo de </w:t>
      </w:r>
      <w:r>
        <w:rPr>
          <w:spacing w:val="-3"/>
          <w:sz w:val="22"/>
        </w:rPr>
        <w:t>la </w:t>
      </w:r>
      <w:r>
        <w:rPr>
          <w:sz w:val="22"/>
        </w:rPr>
        <w:t>supervivencia</w:t>
      </w:r>
    </w:p>
    <w:p>
      <w:pPr>
        <w:pStyle w:val="BodyText"/>
        <w:spacing w:before="11"/>
      </w:pPr>
      <w:r>
        <w:rPr/>
        <w:br w:type="column"/>
      </w:r>
      <w:r>
        <w:rPr/>
      </w:r>
    </w:p>
    <w:tbl>
      <w:tblPr>
        <w:tblW w:w="0" w:type="auto"/>
        <w:jc w:val="left"/>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54"/>
        <w:gridCol w:w="808"/>
      </w:tblGrid>
      <w:tr>
        <w:trPr>
          <w:trHeight w:val="753" w:hRule="atLeast"/>
        </w:trPr>
        <w:tc>
          <w:tcPr>
            <w:tcW w:w="4462" w:type="dxa"/>
            <w:gridSpan w:val="2"/>
          </w:tcPr>
          <w:p>
            <w:pPr>
              <w:pStyle w:val="TableParagraph"/>
              <w:spacing w:line="276" w:lineRule="auto"/>
              <w:ind w:left="71" w:right="65"/>
              <w:rPr>
                <w:sz w:val="20"/>
              </w:rPr>
            </w:pPr>
            <w:r>
              <w:rPr>
                <w:b/>
                <w:sz w:val="22"/>
              </w:rPr>
              <w:t>Tabla 5</w:t>
            </w:r>
            <w:r>
              <w:rPr>
                <w:sz w:val="20"/>
              </w:rPr>
              <w:t>. Tasa de supervivencia a cinco años del estudio</w:t>
            </w:r>
            <w:r>
              <w:rPr>
                <w:spacing w:val="-2"/>
                <w:sz w:val="20"/>
              </w:rPr>
              <w:t> </w:t>
            </w:r>
            <w:r>
              <w:rPr>
                <w:sz w:val="20"/>
              </w:rPr>
              <w:t>MAGIC.</w:t>
            </w:r>
          </w:p>
        </w:tc>
      </w:tr>
      <w:tr>
        <w:trPr>
          <w:trHeight w:val="266" w:hRule="atLeast"/>
        </w:trPr>
        <w:tc>
          <w:tcPr>
            <w:tcW w:w="3654" w:type="dxa"/>
          </w:tcPr>
          <w:p>
            <w:pPr>
              <w:pStyle w:val="TableParagraph"/>
              <w:spacing w:line="230" w:lineRule="exact"/>
              <w:rPr>
                <w:sz w:val="20"/>
              </w:rPr>
            </w:pPr>
            <w:r>
              <w:rPr>
                <w:sz w:val="20"/>
              </w:rPr>
              <w:t>Quimioterapia perioperatoria</w:t>
            </w:r>
          </w:p>
        </w:tc>
        <w:tc>
          <w:tcPr>
            <w:tcW w:w="808" w:type="dxa"/>
          </w:tcPr>
          <w:p>
            <w:pPr>
              <w:pStyle w:val="TableParagraph"/>
              <w:spacing w:line="230" w:lineRule="exact"/>
              <w:ind w:left="106"/>
              <w:rPr>
                <w:sz w:val="20"/>
              </w:rPr>
            </w:pPr>
            <w:r>
              <w:rPr>
                <w:sz w:val="20"/>
              </w:rPr>
              <w:t>36 %</w:t>
            </w:r>
          </w:p>
        </w:tc>
      </w:tr>
      <w:tr>
        <w:trPr>
          <w:trHeight w:val="261" w:hRule="atLeast"/>
        </w:trPr>
        <w:tc>
          <w:tcPr>
            <w:tcW w:w="3654" w:type="dxa"/>
          </w:tcPr>
          <w:p>
            <w:pPr>
              <w:pStyle w:val="TableParagraph"/>
              <w:spacing w:line="225" w:lineRule="exact"/>
              <w:rPr>
                <w:sz w:val="20"/>
              </w:rPr>
            </w:pPr>
            <w:r>
              <w:rPr>
                <w:sz w:val="20"/>
              </w:rPr>
              <w:t>Cirugía sola</w:t>
            </w:r>
          </w:p>
        </w:tc>
        <w:tc>
          <w:tcPr>
            <w:tcW w:w="808" w:type="dxa"/>
          </w:tcPr>
          <w:p>
            <w:pPr>
              <w:pStyle w:val="TableParagraph"/>
              <w:spacing w:line="225" w:lineRule="exact"/>
              <w:ind w:left="106"/>
              <w:rPr>
                <w:sz w:val="20"/>
              </w:rPr>
            </w:pPr>
            <w:r>
              <w:rPr>
                <w:sz w:val="20"/>
              </w:rPr>
              <w:t>23 %</w:t>
            </w:r>
          </w:p>
        </w:tc>
      </w:tr>
    </w:tbl>
    <w:p>
      <w:pPr>
        <w:pStyle w:val="BodyText"/>
        <w:rPr>
          <w:sz w:val="24"/>
        </w:rPr>
      </w:pPr>
    </w:p>
    <w:p>
      <w:pPr>
        <w:pStyle w:val="BodyText"/>
        <w:spacing w:before="11"/>
        <w:rPr>
          <w:sz w:val="18"/>
        </w:rPr>
      </w:pPr>
    </w:p>
    <w:p>
      <w:pPr>
        <w:pStyle w:val="BodyText"/>
        <w:spacing w:line="276" w:lineRule="auto"/>
        <w:ind w:left="676" w:right="1435"/>
        <w:jc w:val="both"/>
      </w:pPr>
      <w:r>
        <w:rPr/>
        <w:t>Los dos estudios se evidencian que la supervivencia mejora con el tratamiento multimodal para el tratamiento de cáncer gástrico resecable localmente avanzado.</w:t>
      </w:r>
    </w:p>
    <w:p>
      <w:pPr>
        <w:spacing w:after="0" w:line="276" w:lineRule="auto"/>
        <w:jc w:val="both"/>
        <w:sectPr>
          <w:type w:val="continuous"/>
          <w:pgSz w:w="12240" w:h="15840"/>
          <w:pgMar w:top="1500" w:bottom="0" w:left="0" w:right="0"/>
          <w:cols w:num="2" w:equalWidth="0">
            <w:col w:w="5766" w:space="40"/>
            <w:col w:w="6434"/>
          </w:cols>
        </w:sectPr>
      </w:pPr>
    </w:p>
    <w:p>
      <w:pPr>
        <w:pStyle w:val="BodyText"/>
        <w:rPr>
          <w:sz w:val="20"/>
        </w:rPr>
      </w:pPr>
    </w:p>
    <w:p>
      <w:pPr>
        <w:pStyle w:val="BodyText"/>
        <w:spacing w:before="7"/>
        <w:rPr>
          <w:sz w:val="20"/>
        </w:rPr>
      </w:pPr>
    </w:p>
    <w:p>
      <w:pPr>
        <w:pStyle w:val="Heading4"/>
        <w:spacing w:before="93"/>
      </w:pPr>
      <w:r>
        <w:rPr/>
        <w:t>BIBLIOGRAFIA</w:t>
      </w:r>
    </w:p>
    <w:p>
      <w:pPr>
        <w:pStyle w:val="BodyText"/>
        <w:spacing w:before="2"/>
        <w:rPr>
          <w:b/>
          <w:sz w:val="21"/>
        </w:rPr>
      </w:pPr>
    </w:p>
    <w:p>
      <w:pPr>
        <w:pStyle w:val="ListParagraph"/>
        <w:numPr>
          <w:ilvl w:val="1"/>
          <w:numId w:val="25"/>
        </w:numPr>
        <w:tabs>
          <w:tab w:pos="1800" w:val="left" w:leader="none"/>
          <w:tab w:pos="1801" w:val="left" w:leader="none"/>
        </w:tabs>
        <w:spacing w:line="271" w:lineRule="auto" w:before="0" w:after="0"/>
        <w:ind w:left="1800" w:right="2417" w:hanging="360"/>
        <w:jc w:val="left"/>
        <w:rPr>
          <w:sz w:val="20"/>
        </w:rPr>
      </w:pPr>
      <w:r>
        <w:rPr>
          <w:sz w:val="20"/>
        </w:rPr>
        <w:t>Brunicardi,</w:t>
      </w:r>
      <w:r>
        <w:rPr>
          <w:spacing w:val="-8"/>
          <w:sz w:val="20"/>
        </w:rPr>
        <w:t> </w:t>
      </w:r>
      <w:r>
        <w:rPr>
          <w:sz w:val="20"/>
        </w:rPr>
        <w:t>F.</w:t>
      </w:r>
      <w:r>
        <w:rPr>
          <w:spacing w:val="-4"/>
          <w:sz w:val="20"/>
        </w:rPr>
        <w:t> </w:t>
      </w:r>
      <w:r>
        <w:rPr>
          <w:sz w:val="20"/>
        </w:rPr>
        <w:t>C.</w:t>
      </w:r>
      <w:r>
        <w:rPr>
          <w:spacing w:val="-5"/>
          <w:sz w:val="20"/>
        </w:rPr>
        <w:t> </w:t>
      </w:r>
      <w:r>
        <w:rPr>
          <w:sz w:val="20"/>
        </w:rPr>
        <w:t>(2010).</w:t>
      </w:r>
      <w:r>
        <w:rPr>
          <w:spacing w:val="-8"/>
          <w:sz w:val="20"/>
        </w:rPr>
        <w:t> </w:t>
      </w:r>
      <w:r>
        <w:rPr>
          <w:sz w:val="20"/>
        </w:rPr>
        <w:t>Schwartz‟s</w:t>
      </w:r>
      <w:r>
        <w:rPr>
          <w:spacing w:val="-4"/>
          <w:sz w:val="20"/>
        </w:rPr>
        <w:t> </w:t>
      </w:r>
      <w:r>
        <w:rPr>
          <w:sz w:val="20"/>
        </w:rPr>
        <w:t>Principles</w:t>
      </w:r>
      <w:r>
        <w:rPr>
          <w:spacing w:val="-8"/>
          <w:sz w:val="20"/>
        </w:rPr>
        <w:t> </w:t>
      </w:r>
      <w:r>
        <w:rPr>
          <w:sz w:val="20"/>
        </w:rPr>
        <w:t>of</w:t>
      </w:r>
      <w:r>
        <w:rPr>
          <w:spacing w:val="-4"/>
          <w:sz w:val="20"/>
        </w:rPr>
        <w:t> </w:t>
      </w:r>
      <w:r>
        <w:rPr>
          <w:sz w:val="20"/>
        </w:rPr>
        <w:t>Surgery.</w:t>
      </w:r>
      <w:r>
        <w:rPr>
          <w:spacing w:val="2"/>
          <w:sz w:val="20"/>
        </w:rPr>
        <w:t> </w:t>
      </w:r>
      <w:r>
        <w:rPr>
          <w:sz w:val="20"/>
        </w:rPr>
        <w:t>Distrito</w:t>
      </w:r>
      <w:r>
        <w:rPr>
          <w:spacing w:val="-7"/>
          <w:sz w:val="20"/>
        </w:rPr>
        <w:t> </w:t>
      </w:r>
      <w:r>
        <w:rPr>
          <w:sz w:val="20"/>
        </w:rPr>
        <w:t>Federal:</w:t>
      </w:r>
      <w:r>
        <w:rPr>
          <w:spacing w:val="-4"/>
          <w:sz w:val="20"/>
        </w:rPr>
        <w:t> </w:t>
      </w:r>
      <w:r>
        <w:rPr>
          <w:sz w:val="20"/>
        </w:rPr>
        <w:t>McGRAW-HILL INTERAMERICANA EDITORES, S. A. de C. V, pag 926-</w:t>
      </w:r>
      <w:r>
        <w:rPr>
          <w:spacing w:val="-1"/>
          <w:sz w:val="20"/>
        </w:rPr>
        <w:t> </w:t>
      </w:r>
      <w:r>
        <w:rPr>
          <w:sz w:val="20"/>
        </w:rPr>
        <w:t>935.</w:t>
      </w:r>
    </w:p>
    <w:p>
      <w:pPr>
        <w:pStyle w:val="ListParagraph"/>
        <w:numPr>
          <w:ilvl w:val="1"/>
          <w:numId w:val="25"/>
        </w:numPr>
        <w:tabs>
          <w:tab w:pos="1800" w:val="left" w:leader="none"/>
          <w:tab w:pos="1801" w:val="left" w:leader="none"/>
        </w:tabs>
        <w:spacing w:line="240" w:lineRule="auto" w:before="3" w:after="0"/>
        <w:ind w:left="1800" w:right="0" w:hanging="360"/>
        <w:jc w:val="left"/>
        <w:rPr>
          <w:sz w:val="20"/>
        </w:rPr>
      </w:pPr>
      <w:r>
        <w:rPr>
          <w:sz w:val="20"/>
        </w:rPr>
        <w:t>Lopez, J. M. (2016). Texbook AMIR1. Madrid: Marban. pag</w:t>
      </w:r>
      <w:r>
        <w:rPr>
          <w:spacing w:val="-8"/>
          <w:sz w:val="20"/>
        </w:rPr>
        <w:t> </w:t>
      </w:r>
      <w:r>
        <w:rPr>
          <w:sz w:val="20"/>
        </w:rPr>
        <w:t>274-275.</w:t>
      </w:r>
    </w:p>
    <w:p>
      <w:pPr>
        <w:pStyle w:val="ListParagraph"/>
        <w:numPr>
          <w:ilvl w:val="1"/>
          <w:numId w:val="25"/>
        </w:numPr>
        <w:tabs>
          <w:tab w:pos="1800" w:val="left" w:leader="none"/>
          <w:tab w:pos="1801" w:val="left" w:leader="none"/>
        </w:tabs>
        <w:spacing w:line="271" w:lineRule="auto" w:before="35" w:after="0"/>
        <w:ind w:left="1800" w:right="2060" w:hanging="360"/>
        <w:jc w:val="left"/>
        <w:rPr>
          <w:sz w:val="20"/>
        </w:rPr>
      </w:pPr>
      <w:r>
        <w:rPr>
          <w:sz w:val="20"/>
        </w:rPr>
        <w:t>Mulholland,</w:t>
      </w:r>
      <w:r>
        <w:rPr>
          <w:spacing w:val="-6"/>
          <w:sz w:val="20"/>
        </w:rPr>
        <w:t> </w:t>
      </w:r>
      <w:r>
        <w:rPr>
          <w:sz w:val="20"/>
        </w:rPr>
        <w:t>M.</w:t>
      </w:r>
      <w:r>
        <w:rPr>
          <w:spacing w:val="-13"/>
          <w:sz w:val="20"/>
        </w:rPr>
        <w:t> </w:t>
      </w:r>
      <w:r>
        <w:rPr>
          <w:spacing w:val="2"/>
          <w:sz w:val="20"/>
        </w:rPr>
        <w:t>W.</w:t>
      </w:r>
      <w:r>
        <w:rPr>
          <w:spacing w:val="-6"/>
          <w:sz w:val="20"/>
        </w:rPr>
        <w:t> </w:t>
      </w:r>
      <w:r>
        <w:rPr>
          <w:sz w:val="20"/>
        </w:rPr>
        <w:t>(2011).</w:t>
      </w:r>
      <w:r>
        <w:rPr>
          <w:spacing w:val="-6"/>
          <w:sz w:val="20"/>
        </w:rPr>
        <w:t> </w:t>
      </w:r>
      <w:r>
        <w:rPr>
          <w:sz w:val="20"/>
        </w:rPr>
        <w:t>Greenfield‟s</w:t>
      </w:r>
      <w:r>
        <w:rPr>
          <w:spacing w:val="-7"/>
          <w:sz w:val="20"/>
        </w:rPr>
        <w:t> </w:t>
      </w:r>
      <w:r>
        <w:rPr>
          <w:sz w:val="20"/>
        </w:rPr>
        <w:t>surgery</w:t>
      </w:r>
      <w:r>
        <w:rPr>
          <w:spacing w:val="-6"/>
          <w:sz w:val="20"/>
        </w:rPr>
        <w:t> </w:t>
      </w:r>
      <w:r>
        <w:rPr>
          <w:sz w:val="20"/>
        </w:rPr>
        <w:t>:</w:t>
      </w:r>
      <w:r>
        <w:rPr>
          <w:spacing w:val="-6"/>
          <w:sz w:val="20"/>
        </w:rPr>
        <w:t> </w:t>
      </w:r>
      <w:r>
        <w:rPr>
          <w:sz w:val="20"/>
        </w:rPr>
        <w:t>scientific</w:t>
      </w:r>
      <w:r>
        <w:rPr>
          <w:spacing w:val="-6"/>
          <w:sz w:val="20"/>
        </w:rPr>
        <w:t> </w:t>
      </w:r>
      <w:r>
        <w:rPr>
          <w:sz w:val="20"/>
        </w:rPr>
        <w:t>principles</w:t>
      </w:r>
      <w:r>
        <w:rPr>
          <w:spacing w:val="-6"/>
          <w:sz w:val="20"/>
        </w:rPr>
        <w:t> </w:t>
      </w:r>
      <w:r>
        <w:rPr>
          <w:sz w:val="20"/>
        </w:rPr>
        <w:t>and</w:t>
      </w:r>
      <w:r>
        <w:rPr>
          <w:spacing w:val="-6"/>
          <w:sz w:val="20"/>
        </w:rPr>
        <w:t> </w:t>
      </w:r>
      <w:r>
        <w:rPr>
          <w:sz w:val="20"/>
        </w:rPr>
        <w:t>practice.</w:t>
      </w:r>
      <w:r>
        <w:rPr>
          <w:spacing w:val="3"/>
          <w:sz w:val="20"/>
        </w:rPr>
        <w:t> </w:t>
      </w:r>
      <w:r>
        <w:rPr>
          <w:sz w:val="20"/>
        </w:rPr>
        <w:t>Philadelphia: Wolters Kluwer, pag</w:t>
      </w:r>
      <w:r>
        <w:rPr>
          <w:spacing w:val="1"/>
          <w:sz w:val="20"/>
        </w:rPr>
        <w:t> </w:t>
      </w:r>
      <w:r>
        <w:rPr>
          <w:sz w:val="20"/>
        </w:rPr>
        <w:t>722-736.</w:t>
      </w:r>
    </w:p>
    <w:p>
      <w:pPr>
        <w:pStyle w:val="BodyText"/>
        <w:spacing w:before="4"/>
        <w:rPr>
          <w:sz w:val="23"/>
        </w:rPr>
      </w:pPr>
    </w:p>
    <w:p>
      <w:pPr>
        <w:tabs>
          <w:tab w:pos="7638" w:val="left" w:leader="none"/>
        </w:tabs>
        <w:spacing w:before="0"/>
        <w:ind w:left="1440" w:right="0" w:firstLine="0"/>
        <w:jc w:val="left"/>
        <w:rPr>
          <w:sz w:val="20"/>
        </w:rPr>
      </w:pPr>
      <w:r>
        <w:rPr>
          <w:sz w:val="20"/>
        </w:rPr>
        <w:t>Recepción: 28 Noviembre</w:t>
      </w:r>
      <w:r>
        <w:rPr>
          <w:spacing w:val="-1"/>
          <w:sz w:val="20"/>
        </w:rPr>
        <w:t> </w:t>
      </w:r>
      <w:r>
        <w:rPr>
          <w:sz w:val="20"/>
        </w:rPr>
        <w:t>de</w:t>
      </w:r>
      <w:r>
        <w:rPr>
          <w:spacing w:val="-2"/>
          <w:sz w:val="20"/>
        </w:rPr>
        <w:t> </w:t>
      </w:r>
      <w:r>
        <w:rPr>
          <w:sz w:val="20"/>
        </w:rPr>
        <w:t>2016</w:t>
        <w:tab/>
        <w:t>Aprobación: 10 Diciembre de</w:t>
      </w:r>
      <w:r>
        <w:rPr>
          <w:spacing w:val="-2"/>
          <w:sz w:val="20"/>
        </w:rPr>
        <w:t> </w:t>
      </w:r>
      <w:r>
        <w:rPr>
          <w:sz w:val="20"/>
        </w:rPr>
        <w:t>2016</w:t>
      </w:r>
    </w:p>
    <w:p>
      <w:pPr>
        <w:spacing w:after="0"/>
        <w:jc w:val="left"/>
        <w:rPr>
          <w:sz w:val="20"/>
        </w:rPr>
        <w:sectPr>
          <w:type w:val="continuous"/>
          <w:pgSz w:w="12240" w:h="15840"/>
          <w:pgMar w:top="1500" w:bottom="0" w:left="0" w:right="0"/>
        </w:sectPr>
      </w:pPr>
    </w:p>
    <w:p>
      <w:pPr>
        <w:spacing w:before="78"/>
        <w:ind w:left="1544" w:right="0" w:firstLine="0"/>
        <w:jc w:val="left"/>
        <w:rPr>
          <w:sz w:val="16"/>
        </w:rPr>
      </w:pPr>
      <w:r>
        <w:rPr/>
        <w:pict>
          <v:group style="position:absolute;margin-left:72.199997pt;margin-top:4.183923pt;width:472.3pt;height:392.05pt;mso-position-horizontal-relative:page;mso-position-vertical-relative:paragraph;z-index:-64576" coordorigin="1444,84" coordsize="9446,7841">
            <v:shape style="position:absolute;left:3375;top:1369;width:7515;height:6555" type="#_x0000_t75" stroked="false">
              <v:imagedata r:id="rId64" o:title=""/>
            </v:shape>
            <v:shape style="position:absolute;left:1444;top:83;width:1928;height:7836" type="#_x0000_t75" stroked="false">
              <v:imagedata r:id="rId65" o:title=""/>
            </v:shape>
            <w10:wrap type="none"/>
          </v:group>
        </w:pict>
      </w:r>
      <w:r>
        <w:rPr>
          <w:sz w:val="16"/>
        </w:rPr>
        <w:t>Revista Médica</w:t>
      </w:r>
      <w:r>
        <w:rPr>
          <w:spacing w:val="-12"/>
          <w:sz w:val="16"/>
        </w:rPr>
        <w:t> </w:t>
      </w:r>
      <w:r>
        <w:rPr>
          <w:sz w:val="16"/>
        </w:rPr>
        <w:t>Sinergia</w:t>
      </w:r>
    </w:p>
    <w:p>
      <w:pPr>
        <w:pStyle w:val="BodyText"/>
        <w:spacing w:before="8"/>
        <w:rPr>
          <w:sz w:val="18"/>
        </w:rPr>
      </w:pPr>
    </w:p>
    <w:p>
      <w:pPr>
        <w:spacing w:before="0"/>
        <w:ind w:left="1812" w:right="0" w:firstLine="0"/>
        <w:jc w:val="left"/>
        <w:rPr>
          <w:sz w:val="16"/>
        </w:rPr>
      </w:pPr>
      <w:r>
        <w:rPr>
          <w:sz w:val="16"/>
        </w:rPr>
        <w:t>ISSN 2215-4523</w:t>
      </w:r>
    </w:p>
    <w:p>
      <w:pPr>
        <w:spacing w:line="261" w:lineRule="auto" w:before="11"/>
        <w:ind w:left="1608" w:right="13" w:firstLine="356"/>
        <w:jc w:val="left"/>
        <w:rPr>
          <w:sz w:val="16"/>
        </w:rPr>
      </w:pPr>
      <w:r>
        <w:rPr>
          <w:sz w:val="16"/>
        </w:rPr>
        <w:t>Vol.2 Num:1 Enero 2017 pp:22-25</w:t>
      </w:r>
    </w:p>
    <w:p>
      <w:pPr>
        <w:pStyle w:val="Heading3"/>
        <w:ind w:left="1526" w:right="3737"/>
      </w:pPr>
      <w:r>
        <w:rPr>
          <w:b w:val="0"/>
        </w:rPr>
        <w:br w:type="column"/>
      </w:r>
      <w:r>
        <w:rPr/>
        <w:t>ARTRITIS SEPTICA</w:t>
      </w:r>
    </w:p>
    <w:p>
      <w:pPr>
        <w:spacing w:before="53"/>
        <w:ind w:left="1525" w:right="3737" w:firstLine="0"/>
        <w:jc w:val="center"/>
        <w:rPr>
          <w:sz w:val="20"/>
        </w:rPr>
      </w:pPr>
      <w:r>
        <w:rPr>
          <w:sz w:val="20"/>
        </w:rPr>
        <w:t>(SEPTIC ARTHRITIS)</w:t>
      </w:r>
    </w:p>
    <w:p>
      <w:pPr>
        <w:pStyle w:val="BodyText"/>
        <w:spacing w:before="10"/>
        <w:rPr>
          <w:sz w:val="23"/>
        </w:rPr>
      </w:pPr>
    </w:p>
    <w:p>
      <w:pPr>
        <w:pStyle w:val="BodyText"/>
        <w:ind w:left="3344"/>
      </w:pPr>
      <w:r>
        <w:rPr/>
        <w:t>* María Fernanda Bolaños Solís</w:t>
      </w:r>
    </w:p>
    <w:p>
      <w:pPr>
        <w:spacing w:after="0"/>
        <w:sectPr>
          <w:headerReference w:type="even" r:id="rId61"/>
          <w:footerReference w:type="even" r:id="rId62"/>
          <w:footerReference w:type="default" r:id="rId63"/>
          <w:pgSz w:w="12240" w:h="15840"/>
          <w:pgMar w:header="0" w:footer="872" w:top="1360" w:bottom="1060" w:left="0" w:right="0"/>
          <w:pgNumType w:start="22"/>
          <w:cols w:num="2" w:equalWidth="0">
            <w:col w:w="3265" w:space="1089"/>
            <w:col w:w="7886"/>
          </w:cols>
        </w:sectPr>
      </w:pPr>
    </w:p>
    <w:p>
      <w:pPr>
        <w:pStyle w:val="BodyText"/>
        <w:spacing w:before="7"/>
        <w:rPr>
          <w:sz w:val="12"/>
        </w:rPr>
      </w:pPr>
    </w:p>
    <w:p>
      <w:pPr>
        <w:pStyle w:val="BodyText"/>
        <w:spacing w:before="93"/>
        <w:ind w:left="3529"/>
      </w:pPr>
      <w:r>
        <w:rPr/>
        <w:t>RESUMEN</w:t>
      </w:r>
    </w:p>
    <w:p>
      <w:pPr>
        <w:pStyle w:val="BodyText"/>
        <w:spacing w:line="276" w:lineRule="auto" w:before="38"/>
        <w:ind w:left="3529" w:right="1503"/>
      </w:pPr>
      <w:r>
        <w:rPr/>
        <w:t>La artritis séptica es una infección, generalmente bacteriana, en la cavidad articular. El agente infeccioso más común es Staphylococcus aureus. En pacientes jóvenes sexualmente activos, se debe sospechar infección gonocócica y en niños debido a diseminación hematógena. El tratamiento básico es antibiótico junto con drenaje y lavado quirúrgico de la articulación.</w:t>
      </w:r>
    </w:p>
    <w:p>
      <w:pPr>
        <w:pStyle w:val="BodyText"/>
        <w:spacing w:before="3"/>
        <w:rPr>
          <w:sz w:val="25"/>
        </w:rPr>
      </w:pPr>
    </w:p>
    <w:p>
      <w:pPr>
        <w:pStyle w:val="BodyText"/>
        <w:ind w:left="3529"/>
      </w:pPr>
      <w:r>
        <w:rPr/>
        <w:t>DESCRIPTORES</w:t>
      </w:r>
    </w:p>
    <w:p>
      <w:pPr>
        <w:pStyle w:val="BodyText"/>
        <w:spacing w:line="276" w:lineRule="auto" w:before="39"/>
        <w:ind w:left="3529" w:right="1820"/>
      </w:pPr>
      <w:r>
        <w:rPr/>
        <w:t>Artritis séptica, espacio articular, diseminación hematógenas, inunosupresion.</w:t>
      </w:r>
    </w:p>
    <w:p>
      <w:pPr>
        <w:pStyle w:val="BodyText"/>
        <w:spacing w:before="2"/>
        <w:rPr>
          <w:sz w:val="17"/>
        </w:rPr>
      </w:pPr>
    </w:p>
    <w:p>
      <w:pPr>
        <w:spacing w:after="0"/>
        <w:rPr>
          <w:sz w:val="17"/>
        </w:rPr>
        <w:sectPr>
          <w:type w:val="continuous"/>
          <w:pgSz w:w="12240" w:h="15840"/>
          <w:pgMar w:top="1500" w:bottom="0" w:left="0" w:right="0"/>
        </w:sect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11"/>
        <w:rPr>
          <w:sz w:val="17"/>
        </w:rPr>
      </w:pPr>
    </w:p>
    <w:p>
      <w:pPr>
        <w:spacing w:line="259" w:lineRule="auto" w:before="0"/>
        <w:ind w:left="1444" w:right="-13" w:firstLine="0"/>
        <w:jc w:val="left"/>
        <w:rPr>
          <w:sz w:val="16"/>
        </w:rPr>
      </w:pPr>
      <w:r>
        <w:rPr>
          <w:sz w:val="16"/>
        </w:rPr>
        <w:t>*Médico General. Universidad autónoma</w:t>
      </w:r>
      <w:r>
        <w:rPr>
          <w:spacing w:val="-9"/>
          <w:sz w:val="16"/>
        </w:rPr>
        <w:t> </w:t>
      </w:r>
      <w:r>
        <w:rPr>
          <w:sz w:val="16"/>
        </w:rPr>
        <w:t>de Centroamerica.(UACA) San José -Costa</w:t>
      </w:r>
      <w:r>
        <w:rPr>
          <w:spacing w:val="-9"/>
          <w:sz w:val="16"/>
        </w:rPr>
        <w:t> </w:t>
      </w:r>
      <w:r>
        <w:rPr>
          <w:sz w:val="16"/>
        </w:rPr>
        <w:t>Rica</w:t>
      </w:r>
    </w:p>
    <w:p>
      <w:pPr>
        <w:pStyle w:val="BodyText"/>
        <w:spacing w:before="93"/>
        <w:ind w:left="223"/>
      </w:pPr>
      <w:r>
        <w:rPr/>
        <w:br w:type="column"/>
      </w:r>
      <w:r>
        <w:rPr/>
        <w:t>SUMMARY</w:t>
      </w:r>
    </w:p>
    <w:p>
      <w:pPr>
        <w:pStyle w:val="BodyText"/>
        <w:spacing w:line="276" w:lineRule="auto" w:before="39"/>
        <w:ind w:left="223" w:right="1454"/>
      </w:pPr>
      <w:r>
        <w:rPr/>
        <w:t>Septic arthritis is infection, usually bacterial, in the joint cavity. The most common infectious agent is Staphylococcus aureus. In young, sexually active patients, gonococcal infection should be suspected and in children due to hematogenous spread.The basic treatment is antibiotic together with drainage and surgical washing of the joint</w:t>
      </w:r>
    </w:p>
    <w:p>
      <w:pPr>
        <w:pStyle w:val="BodyText"/>
        <w:spacing w:before="2"/>
        <w:rPr>
          <w:sz w:val="25"/>
        </w:rPr>
      </w:pPr>
    </w:p>
    <w:p>
      <w:pPr>
        <w:pStyle w:val="BodyText"/>
        <w:ind w:left="223"/>
      </w:pPr>
      <w:r>
        <w:rPr/>
        <w:t>KEYWORDS</w:t>
      </w:r>
    </w:p>
    <w:p>
      <w:pPr>
        <w:pStyle w:val="BodyText"/>
        <w:spacing w:before="38"/>
        <w:ind w:left="223"/>
      </w:pPr>
      <w:r>
        <w:rPr/>
        <w:t>Septic arthritis, jointcavity, hematogenous dissemination,</w:t>
      </w:r>
    </w:p>
    <w:p>
      <w:pPr>
        <w:pStyle w:val="BodyText"/>
        <w:spacing w:before="39"/>
        <w:ind w:left="223"/>
      </w:pPr>
      <w:r>
        <w:rPr/>
        <w:t>inunosuppression..</w:t>
      </w:r>
    </w:p>
    <w:p>
      <w:pPr>
        <w:spacing w:after="0"/>
        <w:sectPr>
          <w:type w:val="continuous"/>
          <w:pgSz w:w="12240" w:h="15840"/>
          <w:pgMar w:top="1500" w:bottom="0" w:left="0" w:right="0"/>
          <w:cols w:num="2" w:equalWidth="0">
            <w:col w:w="3266" w:space="40"/>
            <w:col w:w="8934"/>
          </w:cols>
        </w:sectPr>
      </w:pPr>
    </w:p>
    <w:p>
      <w:pPr>
        <w:pStyle w:val="BodyText"/>
        <w:spacing w:before="2"/>
        <w:rPr>
          <w:sz w:val="9"/>
        </w:rPr>
      </w:pPr>
    </w:p>
    <w:p>
      <w:pPr>
        <w:spacing w:after="0"/>
        <w:rPr>
          <w:sz w:val="9"/>
        </w:rPr>
        <w:sectPr>
          <w:type w:val="continuous"/>
          <w:pgSz w:w="12240" w:h="15840"/>
          <w:pgMar w:top="1500" w:bottom="0" w:left="0" w:right="0"/>
        </w:sectPr>
      </w:pPr>
    </w:p>
    <w:p>
      <w:pPr>
        <w:pStyle w:val="BodyText"/>
        <w:rPr>
          <w:sz w:val="26"/>
        </w:rPr>
      </w:pPr>
    </w:p>
    <w:p>
      <w:pPr>
        <w:pStyle w:val="BodyText"/>
        <w:spacing w:before="11"/>
        <w:rPr>
          <w:sz w:val="23"/>
        </w:rPr>
      </w:pPr>
    </w:p>
    <w:p>
      <w:pPr>
        <w:pStyle w:val="Heading4"/>
      </w:pPr>
      <w:r>
        <w:rPr/>
        <w:t>INTRODUCCION</w:t>
      </w:r>
    </w:p>
    <w:p>
      <w:pPr>
        <w:pStyle w:val="BodyText"/>
        <w:spacing w:before="5"/>
        <w:rPr>
          <w:b/>
          <w:sz w:val="21"/>
        </w:rPr>
      </w:pPr>
    </w:p>
    <w:p>
      <w:pPr>
        <w:pStyle w:val="BodyText"/>
        <w:spacing w:line="276" w:lineRule="auto"/>
        <w:ind w:left="1440"/>
        <w:jc w:val="both"/>
      </w:pPr>
      <w:r>
        <w:rPr/>
        <w:t>La artritis séptica es una reacción inflamatoria del espacio articular secundario a </w:t>
      </w:r>
      <w:r>
        <w:rPr>
          <w:spacing w:val="-3"/>
        </w:rPr>
        <w:t>la </w:t>
      </w:r>
      <w:r>
        <w:rPr/>
        <w:t>colonización de </w:t>
      </w:r>
      <w:r>
        <w:rPr>
          <w:spacing w:val="-3"/>
        </w:rPr>
        <w:t>la </w:t>
      </w:r>
      <w:r>
        <w:rPr/>
        <w:t>cavidad articular por un germen con tendencia a </w:t>
      </w:r>
      <w:r>
        <w:rPr>
          <w:spacing w:val="-3"/>
        </w:rPr>
        <w:t>la </w:t>
      </w:r>
      <w:r>
        <w:rPr/>
        <w:t>supuración y a </w:t>
      </w:r>
      <w:r>
        <w:rPr>
          <w:spacing w:val="-3"/>
        </w:rPr>
        <w:t>la </w:t>
      </w:r>
      <w:r>
        <w:rPr/>
        <w:t>destrucción articular; puede presentarse como consecuencia de inoculación directa, diseminación hematógena, infecciones concomitantes o por extensión de una osteomielitis. El agente infeccioso varía desde una bacteria o virus hasta micobaterias y hongos, siendo el más común el Staphylococcus aureus. Las partes del cuerpo con mayor</w:t>
      </w:r>
      <w:r>
        <w:rPr>
          <w:spacing w:val="-25"/>
        </w:rPr>
        <w:t> </w:t>
      </w:r>
      <w:r>
        <w:rPr/>
        <w:t>afección</w:t>
      </w:r>
    </w:p>
    <w:p>
      <w:pPr>
        <w:pStyle w:val="BodyText"/>
        <w:spacing w:line="276" w:lineRule="auto" w:before="93"/>
        <w:ind w:left="678" w:right="1437"/>
        <w:jc w:val="both"/>
      </w:pPr>
      <w:r>
        <w:rPr/>
        <w:br w:type="column"/>
      </w:r>
      <w:r>
        <w:rPr/>
        <w:t>son rodilla, cadera, hombro, codo y muñeca. También hay predisposición ante el consumo de drogas intravenosas, estas se asocian con infección por Pseudomona aeruginosa en localizaciones poco frecuentes, tales como: articulación sacroiliaca y </w:t>
      </w:r>
      <w:r>
        <w:rPr>
          <w:spacing w:val="-3"/>
        </w:rPr>
        <w:t>la</w:t>
      </w:r>
      <w:r>
        <w:rPr>
          <w:spacing w:val="-2"/>
        </w:rPr>
        <w:t> </w:t>
      </w:r>
      <w:r>
        <w:rPr/>
        <w:t>esternoclavicular.</w:t>
      </w:r>
    </w:p>
    <w:p>
      <w:pPr>
        <w:pStyle w:val="BodyText"/>
        <w:spacing w:line="276" w:lineRule="auto" w:before="202"/>
        <w:ind w:left="678" w:right="1435"/>
        <w:jc w:val="both"/>
      </w:pPr>
      <w:r>
        <w:rPr/>
        <w:t>En pacientes jóvenes, sexualmente activos se debe sospechar de infección por gonococo y en niños por diseminación hematógena. La metafisis proximal del fémur, la proximal del humero, el cuello del radio y el tercio distal del peroné están dentro de sus capsulas articulares respectivas por lo que una osteomielitis metafisiaria puede romperse en el interior</w:t>
      </w:r>
    </w:p>
    <w:p>
      <w:pPr>
        <w:spacing w:after="0" w:line="276" w:lineRule="auto"/>
        <w:jc w:val="both"/>
        <w:sectPr>
          <w:type w:val="continuous"/>
          <w:pgSz w:w="12240" w:h="15840"/>
          <w:pgMar w:top="1500" w:bottom="0" w:left="0" w:right="0"/>
          <w:cols w:num="2" w:equalWidth="0">
            <w:col w:w="5764" w:space="40"/>
            <w:col w:w="6436"/>
          </w:cols>
        </w:sectPr>
      </w:pPr>
    </w:p>
    <w:p>
      <w:pPr>
        <w:pStyle w:val="BodyText"/>
        <w:rPr>
          <w:sz w:val="20"/>
        </w:rPr>
      </w:pPr>
    </w:p>
    <w:p>
      <w:pPr>
        <w:spacing w:after="0"/>
        <w:rPr>
          <w:sz w:val="20"/>
        </w:rPr>
        <w:sectPr>
          <w:headerReference w:type="default" r:id="rId66"/>
          <w:pgSz w:w="12240" w:h="15840"/>
          <w:pgMar w:header="722" w:footer="882" w:top="940" w:bottom="1080" w:left="0" w:right="0"/>
        </w:sectPr>
      </w:pPr>
    </w:p>
    <w:p>
      <w:pPr>
        <w:pStyle w:val="BodyText"/>
        <w:spacing w:before="8"/>
      </w:pPr>
    </w:p>
    <w:p>
      <w:pPr>
        <w:pStyle w:val="BodyText"/>
        <w:spacing w:line="276" w:lineRule="auto"/>
        <w:ind w:left="1440" w:right="2"/>
        <w:jc w:val="both"/>
      </w:pPr>
      <w:r>
        <w:rPr/>
        <w:t>de la articulación en dichas zonas. El foco más frecuente en el que la artritis séptica sigue una osteomielitis aguda se ubica en la porción proximal del fémur y la cadera.</w:t>
      </w:r>
    </w:p>
    <w:p>
      <w:pPr>
        <w:pStyle w:val="BodyText"/>
        <w:rPr>
          <w:sz w:val="21"/>
        </w:rPr>
      </w:pPr>
    </w:p>
    <w:p>
      <w:pPr>
        <w:pStyle w:val="BodyText"/>
        <w:spacing w:line="276" w:lineRule="auto"/>
        <w:ind w:left="1440"/>
        <w:jc w:val="both"/>
      </w:pPr>
      <w:r>
        <w:rPr/>
        <w:t>Los adultos inmunosupresos o inmunocomprometidos, al igual que aquellos con enfermedades por afección articular como lupus y artritis reumatoide tienen mayor riesgo. La artritis séptica también puede surgir como una complicación de un procedimiento diagnostico o terapéutico. Las sepsis asociadas a prótesis se dividen en agudas postquirúrgicas, hematógenas y</w:t>
      </w:r>
      <w:r>
        <w:rPr>
          <w:spacing w:val="-13"/>
        </w:rPr>
        <w:t> </w:t>
      </w:r>
      <w:r>
        <w:rPr/>
        <w:t>crónicas.</w:t>
      </w:r>
    </w:p>
    <w:p>
      <w:pPr>
        <w:pStyle w:val="ListParagraph"/>
        <w:numPr>
          <w:ilvl w:val="0"/>
          <w:numId w:val="26"/>
        </w:numPr>
        <w:tabs>
          <w:tab w:pos="1717" w:val="left" w:leader="none"/>
        </w:tabs>
        <w:spacing w:line="278" w:lineRule="auto" w:before="197" w:after="0"/>
        <w:ind w:left="1440" w:right="0" w:firstLine="0"/>
        <w:jc w:val="both"/>
        <w:rPr>
          <w:sz w:val="22"/>
        </w:rPr>
      </w:pPr>
      <w:r>
        <w:rPr>
          <w:b/>
          <w:i/>
          <w:sz w:val="22"/>
        </w:rPr>
        <w:t>Agudas postquirúrgicas</w:t>
      </w:r>
      <w:r>
        <w:rPr>
          <w:sz w:val="22"/>
        </w:rPr>
        <w:t>: dentro de las 3 semanas posteriores a una</w:t>
      </w:r>
      <w:r>
        <w:rPr>
          <w:spacing w:val="-13"/>
          <w:sz w:val="22"/>
        </w:rPr>
        <w:t> </w:t>
      </w:r>
      <w:r>
        <w:rPr>
          <w:sz w:val="22"/>
        </w:rPr>
        <w:t>artroplastia.</w:t>
      </w:r>
    </w:p>
    <w:p>
      <w:pPr>
        <w:pStyle w:val="ListParagraph"/>
        <w:numPr>
          <w:ilvl w:val="0"/>
          <w:numId w:val="26"/>
        </w:numPr>
        <w:tabs>
          <w:tab w:pos="1701" w:val="left" w:leader="none"/>
        </w:tabs>
        <w:spacing w:line="273" w:lineRule="auto" w:before="0" w:after="0"/>
        <w:ind w:left="1440" w:right="0" w:firstLine="0"/>
        <w:jc w:val="both"/>
        <w:rPr>
          <w:sz w:val="22"/>
        </w:rPr>
      </w:pPr>
      <w:r>
        <w:rPr>
          <w:b/>
          <w:i/>
          <w:sz w:val="22"/>
        </w:rPr>
        <w:t>Hematógenas</w:t>
      </w:r>
      <w:r>
        <w:rPr>
          <w:sz w:val="22"/>
        </w:rPr>
        <w:t>: dentro de las 3 semanas posteriores a </w:t>
      </w:r>
      <w:r>
        <w:rPr>
          <w:spacing w:val="-3"/>
          <w:sz w:val="22"/>
        </w:rPr>
        <w:t>la</w:t>
      </w:r>
      <w:r>
        <w:rPr>
          <w:spacing w:val="-1"/>
          <w:sz w:val="22"/>
        </w:rPr>
        <w:t> </w:t>
      </w:r>
      <w:r>
        <w:rPr>
          <w:sz w:val="22"/>
        </w:rPr>
        <w:t>diseminación.</w:t>
      </w:r>
    </w:p>
    <w:p>
      <w:pPr>
        <w:pStyle w:val="ListParagraph"/>
        <w:numPr>
          <w:ilvl w:val="0"/>
          <w:numId w:val="26"/>
        </w:numPr>
        <w:tabs>
          <w:tab w:pos="1733" w:val="left" w:leader="none"/>
        </w:tabs>
        <w:spacing w:line="276" w:lineRule="auto" w:before="5" w:after="0"/>
        <w:ind w:left="1440" w:right="1" w:firstLine="0"/>
        <w:jc w:val="both"/>
        <w:rPr>
          <w:sz w:val="22"/>
        </w:rPr>
      </w:pPr>
      <w:r>
        <w:rPr>
          <w:b/>
          <w:i/>
          <w:sz w:val="22"/>
        </w:rPr>
        <w:t>Infección crónica: </w:t>
      </w:r>
      <w:r>
        <w:rPr>
          <w:sz w:val="22"/>
        </w:rPr>
        <w:t>más de 3 semanas después de </w:t>
      </w:r>
      <w:r>
        <w:rPr>
          <w:spacing w:val="-3"/>
          <w:sz w:val="22"/>
        </w:rPr>
        <w:t>la </w:t>
      </w:r>
      <w:r>
        <w:rPr>
          <w:sz w:val="22"/>
        </w:rPr>
        <w:t>artroplastia o </w:t>
      </w:r>
      <w:r>
        <w:rPr>
          <w:spacing w:val="-3"/>
          <w:sz w:val="22"/>
        </w:rPr>
        <w:t>la </w:t>
      </w:r>
      <w:r>
        <w:rPr>
          <w:sz w:val="22"/>
        </w:rPr>
        <w:t>diseminación hematógena.</w:t>
      </w:r>
    </w:p>
    <w:p>
      <w:pPr>
        <w:pStyle w:val="BodyText"/>
        <w:spacing w:before="5"/>
        <w:rPr>
          <w:sz w:val="20"/>
        </w:rPr>
      </w:pPr>
    </w:p>
    <w:p>
      <w:pPr>
        <w:pStyle w:val="Heading4"/>
        <w:jc w:val="both"/>
      </w:pPr>
      <w:r>
        <w:rPr/>
        <w:t>CLINICA</w:t>
      </w:r>
    </w:p>
    <w:p>
      <w:pPr>
        <w:pStyle w:val="BodyText"/>
        <w:spacing w:before="5"/>
        <w:rPr>
          <w:b/>
          <w:sz w:val="21"/>
        </w:rPr>
      </w:pPr>
    </w:p>
    <w:p>
      <w:pPr>
        <w:pStyle w:val="BodyText"/>
        <w:spacing w:line="276" w:lineRule="auto"/>
        <w:ind w:left="1440" w:right="1"/>
        <w:jc w:val="both"/>
      </w:pPr>
      <w:r>
        <w:rPr/>
        <w:t>La artritis séptica, usualmente se presenta con síntomas generales como fiebre, espasmos musculares y malestar general.</w:t>
      </w:r>
    </w:p>
    <w:p>
      <w:pPr>
        <w:pStyle w:val="BodyText"/>
        <w:spacing w:line="276" w:lineRule="auto" w:before="202"/>
        <w:ind w:left="1440" w:right="1"/>
        <w:jc w:val="both"/>
      </w:pPr>
      <w:r>
        <w:rPr/>
        <w:t>La articulación presenta hipertermia, eritema, dolor moderado a severo, inflamación y disminución del rango de movimiento.</w:t>
      </w:r>
    </w:p>
    <w:p>
      <w:pPr>
        <w:pStyle w:val="BodyText"/>
        <w:spacing w:line="276" w:lineRule="auto" w:before="203"/>
        <w:ind w:left="1440"/>
        <w:jc w:val="both"/>
      </w:pPr>
      <w:r>
        <w:rPr/>
        <w:t>En </w:t>
      </w:r>
      <w:r>
        <w:rPr>
          <w:spacing w:val="-3"/>
        </w:rPr>
        <w:t>la </w:t>
      </w:r>
      <w:r>
        <w:rPr/>
        <w:t>evaluación de un paciente con sospecha de artritis séptica se deben valorar los siguientes puntos clave: a) número de articulaciones involucradas; b) enfermedad articular o trauma asociado; c) infección previa; d) procedimientos articulares previos, como inyecciones o cirugías; e) uso de drogas intravenosas; y f) tiempo de</w:t>
      </w:r>
      <w:r>
        <w:rPr>
          <w:spacing w:val="-5"/>
        </w:rPr>
        <w:t> </w:t>
      </w:r>
      <w:r>
        <w:rPr/>
        <w:t>evolución.</w:t>
      </w:r>
    </w:p>
    <w:p>
      <w:pPr>
        <w:pStyle w:val="BodyText"/>
        <w:spacing w:before="8"/>
      </w:pPr>
      <w:r>
        <w:rPr/>
        <w:br w:type="column"/>
      </w:r>
      <w:r>
        <w:rPr/>
      </w:r>
    </w:p>
    <w:p>
      <w:pPr>
        <w:pStyle w:val="BodyText"/>
        <w:spacing w:line="276" w:lineRule="auto"/>
        <w:ind w:left="680" w:right="1431"/>
        <w:jc w:val="both"/>
      </w:pPr>
      <w:r>
        <w:rPr/>
        <w:t>La artritis séptica no gonococcias se manifiesta como monoartritis con predilección por articulaciones de carga. Las artritis subaguda, crónicas y las oligoartritis sugieren infección por micobacterias u hongos. La inflamación episódica se da en </w:t>
      </w:r>
      <w:r>
        <w:rPr>
          <w:spacing w:val="-3"/>
        </w:rPr>
        <w:t>la </w:t>
      </w:r>
      <w:r>
        <w:rPr/>
        <w:t>sífilis, enfermedad de Lyme y </w:t>
      </w:r>
      <w:r>
        <w:rPr>
          <w:spacing w:val="-3"/>
        </w:rPr>
        <w:t>la </w:t>
      </w:r>
      <w:r>
        <w:rPr/>
        <w:t>artritis reactiva posterior a infecciones entéricas y por Chlamydia. La inflamación poliartricular ocurre como una reacción inmunológica durante </w:t>
      </w:r>
      <w:r>
        <w:rPr>
          <w:spacing w:val="-3"/>
        </w:rPr>
        <w:t>la </w:t>
      </w:r>
      <w:r>
        <w:rPr/>
        <w:t>endocarditis, fiebre reumática, hepatitis B aguda e infección diseminada por Neisseria. Las infecciones por bacterias y virus usualmente afectan múltiples articulaciones.</w:t>
      </w:r>
    </w:p>
    <w:p>
      <w:pPr>
        <w:pStyle w:val="Heading4"/>
        <w:spacing w:before="198"/>
        <w:ind w:left="680"/>
      </w:pPr>
      <w:r>
        <w:rPr/>
        <w:t>DIAGNOSTICO</w:t>
      </w:r>
    </w:p>
    <w:p>
      <w:pPr>
        <w:pStyle w:val="BodyText"/>
        <w:spacing w:before="8"/>
        <w:rPr>
          <w:b/>
          <w:sz w:val="20"/>
        </w:rPr>
      </w:pPr>
    </w:p>
    <w:p>
      <w:pPr>
        <w:pStyle w:val="Heading5"/>
        <w:spacing w:before="1"/>
        <w:ind w:left="680"/>
        <w:jc w:val="left"/>
      </w:pPr>
      <w:r>
        <w:rPr/>
        <w:t>Laboratorios</w:t>
      </w:r>
    </w:p>
    <w:p>
      <w:pPr>
        <w:pStyle w:val="BodyText"/>
        <w:tabs>
          <w:tab w:pos="2779" w:val="left" w:leader="none"/>
          <w:tab w:pos="4756" w:val="left" w:leader="none"/>
        </w:tabs>
        <w:spacing w:line="276" w:lineRule="auto" w:before="43"/>
        <w:ind w:left="680" w:right="1432"/>
        <w:jc w:val="both"/>
      </w:pPr>
      <w:r>
        <w:rPr/>
        <w:t>Se debe realizar hemograma completo con diferencial,</w:t>
        <w:tab/>
        <w:t>velocidad</w:t>
        <w:tab/>
        <w:t>de eritrosedimentacion (VES) y proteína C reactiva (PCR). Es importante recalcar que estas pruebas son muy sensibles pero poco específicas, por </w:t>
      </w:r>
      <w:r>
        <w:rPr>
          <w:spacing w:val="-3"/>
        </w:rPr>
        <w:t>lo </w:t>
      </w:r>
      <w:r>
        <w:rPr/>
        <w:t>que se debe realizar un diagnóstico diferencial con otras patologías. El hemograma y </w:t>
      </w:r>
      <w:r>
        <w:rPr>
          <w:spacing w:val="-3"/>
        </w:rPr>
        <w:t>la </w:t>
      </w:r>
      <w:r>
        <w:rPr/>
        <w:t>VES pueden </w:t>
      </w:r>
      <w:r>
        <w:rPr>
          <w:spacing w:val="2"/>
        </w:rPr>
        <w:t>no </w:t>
      </w:r>
      <w:r>
        <w:rPr/>
        <w:t>elevarse en fases iniciales, por </w:t>
      </w:r>
      <w:r>
        <w:rPr>
          <w:spacing w:val="-3"/>
        </w:rPr>
        <w:t>lo </w:t>
      </w:r>
      <w:r>
        <w:rPr/>
        <w:t>que los valores dentro del rango de </w:t>
      </w:r>
      <w:r>
        <w:rPr>
          <w:spacing w:val="-3"/>
        </w:rPr>
        <w:t>lo </w:t>
      </w:r>
      <w:r>
        <w:rPr/>
        <w:t>normal no descartan el diagnóstico. La PCR se eleva (a las 6 u 8 horas) y se normaliza antes que </w:t>
      </w:r>
      <w:r>
        <w:rPr>
          <w:spacing w:val="-3"/>
        </w:rPr>
        <w:t>la </w:t>
      </w:r>
      <w:r>
        <w:rPr/>
        <w:t>VES, por </w:t>
      </w:r>
      <w:r>
        <w:rPr>
          <w:spacing w:val="-3"/>
        </w:rPr>
        <w:t>lo </w:t>
      </w:r>
      <w:r>
        <w:rPr/>
        <w:t>que consiste en una herramienta útil en el monitoreo de </w:t>
      </w:r>
      <w:r>
        <w:rPr>
          <w:spacing w:val="-3"/>
        </w:rPr>
        <w:t>la </w:t>
      </w:r>
      <w:r>
        <w:rPr/>
        <w:t>respuesta a </w:t>
      </w:r>
      <w:r>
        <w:rPr>
          <w:spacing w:val="-3"/>
        </w:rPr>
        <w:t>la </w:t>
      </w:r>
      <w:r>
        <w:rPr/>
        <w:t>terapia. Si existe sospecha de afección por gonococo además del cultivo del líquido sinovial se deben obtener hemocultivo, cultivos de faringe, uretra y cérvix.</w:t>
      </w:r>
    </w:p>
    <w:p>
      <w:pPr>
        <w:pStyle w:val="Heading5"/>
        <w:spacing w:before="198"/>
        <w:ind w:left="680"/>
        <w:jc w:val="left"/>
      </w:pPr>
      <w:r>
        <w:rPr/>
        <w:t>Liquido sinovial</w:t>
      </w:r>
    </w:p>
    <w:p>
      <w:pPr>
        <w:pStyle w:val="BodyText"/>
        <w:spacing w:line="276" w:lineRule="auto" w:before="38"/>
        <w:ind w:left="680" w:right="1434"/>
        <w:jc w:val="both"/>
      </w:pPr>
      <w:r>
        <w:rPr/>
        <w:t>La obtención de la muestra de líquido sinovial es esencial para el diagnóstico y tratamiento, se debe tomar previo a iniciar</w:t>
      </w:r>
    </w:p>
    <w:p>
      <w:pPr>
        <w:spacing w:after="0" w:line="276" w:lineRule="auto"/>
        <w:jc w:val="both"/>
        <w:sectPr>
          <w:type w:val="continuous"/>
          <w:pgSz w:w="12240" w:h="15840"/>
          <w:pgMar w:top="1500" w:bottom="0" w:left="0" w:right="0"/>
          <w:cols w:num="2" w:equalWidth="0">
            <w:col w:w="5762" w:space="40"/>
            <w:col w:w="6438"/>
          </w:cols>
        </w:sectPr>
      </w:pPr>
    </w:p>
    <w:p>
      <w:pPr>
        <w:spacing w:before="76"/>
        <w:ind w:left="6098" w:right="0" w:firstLine="0"/>
        <w:jc w:val="left"/>
        <w:rPr>
          <w:i/>
          <w:sz w:val="20"/>
        </w:rPr>
      </w:pPr>
      <w:r>
        <w:rPr>
          <w:i/>
          <w:color w:val="2D75B5"/>
          <w:sz w:val="20"/>
        </w:rPr>
        <w:t>ARTRITIS SEPTICA - María Fernanda Bolaños Solís</w:t>
      </w:r>
    </w:p>
    <w:p>
      <w:pPr>
        <w:pStyle w:val="BodyText"/>
        <w:rPr>
          <w:i/>
          <w:sz w:val="20"/>
        </w:rPr>
      </w:pPr>
    </w:p>
    <w:p>
      <w:pPr>
        <w:spacing w:after="0"/>
        <w:rPr>
          <w:sz w:val="20"/>
        </w:rPr>
        <w:sectPr>
          <w:headerReference w:type="even" r:id="rId67"/>
          <w:pgSz w:w="12240" w:h="15840"/>
          <w:pgMar w:header="0" w:footer="872" w:top="640" w:bottom="1060" w:left="0" w:right="0"/>
        </w:sectPr>
      </w:pPr>
    </w:p>
    <w:p>
      <w:pPr>
        <w:pStyle w:val="BodyText"/>
        <w:spacing w:before="8"/>
        <w:rPr>
          <w:i/>
        </w:rPr>
      </w:pPr>
    </w:p>
    <w:p>
      <w:pPr>
        <w:pStyle w:val="BodyText"/>
        <w:spacing w:line="259" w:lineRule="auto"/>
        <w:ind w:left="1440" w:right="2"/>
        <w:jc w:val="both"/>
      </w:pPr>
      <w:r>
        <w:rPr/>
        <w:t>tratamiento antibiótico empírico. El líquido debe ser enviado para análisis por cristales, cultivos más prueba de sensibilidad antibiótica, tinción de Gram y recuento celular.</w:t>
      </w:r>
    </w:p>
    <w:p>
      <w:pPr>
        <w:pStyle w:val="BodyText"/>
        <w:spacing w:line="261" w:lineRule="auto" w:before="159"/>
        <w:ind w:left="1440" w:right="4"/>
        <w:jc w:val="both"/>
      </w:pPr>
      <w:r>
        <w:rPr/>
        <w:t>Los niveles de glucosa son bajos y las proteínas se pueden encontrar elevadas.</w:t>
      </w:r>
    </w:p>
    <w:p>
      <w:pPr>
        <w:pStyle w:val="Heading5"/>
        <w:spacing w:before="152"/>
      </w:pPr>
      <w:r>
        <w:rPr/>
        <w:t>Análisis del líquido sinovial</w:t>
      </w:r>
    </w:p>
    <w:p>
      <w:pPr>
        <w:pStyle w:val="BodyText"/>
        <w:spacing w:line="276" w:lineRule="auto" w:before="38"/>
        <w:ind w:left="1440"/>
        <w:jc w:val="both"/>
      </w:pPr>
      <w:r>
        <w:rPr>
          <w:b/>
          <w:i/>
        </w:rPr>
        <w:t>Normal</w:t>
      </w:r>
      <w:r>
        <w:rPr/>
        <w:t>: Claro a amarillo pálido, transparente, &lt;200 leucocitos.</w:t>
      </w:r>
    </w:p>
    <w:p>
      <w:pPr>
        <w:pStyle w:val="BodyText"/>
        <w:spacing w:line="278" w:lineRule="auto" w:before="1"/>
        <w:ind w:left="1440"/>
        <w:jc w:val="both"/>
      </w:pPr>
      <w:r>
        <w:rPr>
          <w:b/>
          <w:i/>
        </w:rPr>
        <w:t>Artrosis: </w:t>
      </w:r>
      <w:r>
        <w:rPr/>
        <w:t>Amarillo más intenso, transparente, &lt; 2000 leucocitos.</w:t>
      </w:r>
    </w:p>
    <w:p>
      <w:pPr>
        <w:pStyle w:val="BodyText"/>
        <w:spacing w:line="276" w:lineRule="auto"/>
        <w:ind w:left="1440" w:right="1"/>
        <w:jc w:val="both"/>
      </w:pPr>
      <w:r>
        <w:rPr>
          <w:b/>
          <w:i/>
        </w:rPr>
        <w:t>Inflamatorio: </w:t>
      </w:r>
      <w:r>
        <w:rPr/>
        <w:t>Amarillo oscuro, turbio, traslúcido (borroso u oscurecido), &lt;80 000 leucocitos.</w:t>
      </w:r>
    </w:p>
    <w:p>
      <w:pPr>
        <w:pStyle w:val="BodyText"/>
        <w:spacing w:line="273" w:lineRule="auto" w:before="7"/>
        <w:ind w:left="1440" w:right="2"/>
        <w:jc w:val="both"/>
      </w:pPr>
      <w:r>
        <w:rPr>
          <w:b/>
          <w:i/>
        </w:rPr>
        <w:t>Séptico: </w:t>
      </w:r>
      <w:r>
        <w:rPr/>
        <w:t>Purulento, denso, opaco, &gt; 50000 leucocitos.</w:t>
      </w:r>
    </w:p>
    <w:p>
      <w:pPr>
        <w:pStyle w:val="BodyText"/>
        <w:spacing w:line="278" w:lineRule="auto" w:before="4"/>
        <w:ind w:left="1440"/>
        <w:jc w:val="both"/>
      </w:pPr>
      <w:r>
        <w:rPr>
          <w:b/>
          <w:i/>
        </w:rPr>
        <w:t>Hemartrosis: </w:t>
      </w:r>
      <w:r>
        <w:rPr/>
        <w:t>Rojo, opaco, debe distinguirse de una punción</w:t>
      </w:r>
      <w:r>
        <w:rPr>
          <w:spacing w:val="-7"/>
        </w:rPr>
        <w:t> </w:t>
      </w:r>
      <w:r>
        <w:rPr/>
        <w:t>traumática.</w:t>
      </w:r>
    </w:p>
    <w:p>
      <w:pPr>
        <w:pStyle w:val="BodyText"/>
        <w:spacing w:before="11"/>
        <w:rPr>
          <w:sz w:val="24"/>
        </w:rPr>
      </w:pPr>
    </w:p>
    <w:p>
      <w:pPr>
        <w:pStyle w:val="BodyText"/>
        <w:spacing w:line="276" w:lineRule="auto"/>
        <w:ind w:left="1440" w:right="2"/>
        <w:jc w:val="both"/>
      </w:pPr>
      <w:r>
        <w:rPr/>
        <w:t>En las articulaciones prostéticas se considera positivo un recuento mayor a 1100/ mm</w:t>
      </w:r>
      <w:r>
        <w:rPr>
          <w:rFonts w:ascii="Cambria Math" w:hAnsi="Cambria Math"/>
        </w:rPr>
        <w:t>₃ </w:t>
      </w:r>
      <w:r>
        <w:rPr/>
        <w:t>leucocitos, con un 64% de neutrófilos.</w:t>
      </w:r>
    </w:p>
    <w:p>
      <w:pPr>
        <w:pStyle w:val="BodyText"/>
        <w:spacing w:before="10"/>
        <w:rPr>
          <w:sz w:val="24"/>
        </w:rPr>
      </w:pPr>
    </w:p>
    <w:p>
      <w:pPr>
        <w:pStyle w:val="Heading5"/>
      </w:pPr>
      <w:r>
        <w:rPr/>
        <w:t>Radiografía</w:t>
      </w:r>
    </w:p>
    <w:p>
      <w:pPr>
        <w:pStyle w:val="BodyText"/>
        <w:spacing w:line="276" w:lineRule="auto" w:before="42"/>
        <w:ind w:left="1440" w:right="3"/>
        <w:jc w:val="both"/>
      </w:pPr>
      <w:r>
        <w:rPr/>
        <w:t>Se solicitan proyecciones AP y lateral de la articulación afectada. Inicialmente muestra inflamación de tejidos blandos periarticulares y distención de la capsula articular; con mayor tiempo de evolución se puede observar disminución del espacio interarticular y erosiones óseas (asociado a mal pronóstico).</w:t>
      </w:r>
    </w:p>
    <w:p>
      <w:pPr>
        <w:pStyle w:val="BodyText"/>
        <w:spacing w:before="2"/>
        <w:rPr>
          <w:sz w:val="25"/>
        </w:rPr>
      </w:pPr>
    </w:p>
    <w:p>
      <w:pPr>
        <w:pStyle w:val="Heading5"/>
      </w:pPr>
      <w:r>
        <w:rPr/>
        <w:t>Ultrasonido</w:t>
      </w:r>
    </w:p>
    <w:p>
      <w:pPr>
        <w:pStyle w:val="BodyText"/>
        <w:spacing w:line="276" w:lineRule="auto" w:before="38"/>
        <w:ind w:left="1440"/>
        <w:jc w:val="both"/>
      </w:pPr>
      <w:r>
        <w:rPr/>
        <w:t>Útil para detectar derrame articular y colecciones en tejidos blandos circundantes.</w:t>
      </w:r>
    </w:p>
    <w:p>
      <w:pPr>
        <w:pStyle w:val="BodyText"/>
        <w:spacing w:before="9"/>
        <w:rPr>
          <w:sz w:val="24"/>
        </w:rPr>
      </w:pPr>
    </w:p>
    <w:p>
      <w:pPr>
        <w:pStyle w:val="Heading5"/>
        <w:spacing w:before="1"/>
      </w:pPr>
      <w:r>
        <w:rPr/>
        <w:t>Resonancia Magnética</w:t>
      </w:r>
    </w:p>
    <w:p>
      <w:pPr>
        <w:pStyle w:val="BodyText"/>
        <w:spacing w:line="276" w:lineRule="auto" w:before="43"/>
        <w:ind w:left="1440" w:right="4"/>
        <w:jc w:val="both"/>
      </w:pPr>
      <w:r>
        <w:rPr/>
        <w:t>Indicado en casos que exista sospecha de osteomielitis.</w:t>
      </w:r>
    </w:p>
    <w:p>
      <w:pPr>
        <w:pStyle w:val="BodyText"/>
        <w:spacing w:before="4"/>
      </w:pPr>
      <w:r>
        <w:rPr/>
        <w:br w:type="column"/>
      </w:r>
      <w:r>
        <w:rPr/>
      </w:r>
    </w:p>
    <w:p>
      <w:pPr>
        <w:pStyle w:val="Heading5"/>
        <w:ind w:left="677"/>
      </w:pPr>
      <w:r>
        <w:rPr/>
        <w:t>Gammagrafía con tecnecio 99</w:t>
      </w:r>
    </w:p>
    <w:p>
      <w:pPr>
        <w:pStyle w:val="BodyText"/>
        <w:spacing w:before="42"/>
        <w:ind w:left="677"/>
        <w:jc w:val="both"/>
      </w:pPr>
      <w:r>
        <w:rPr/>
        <w:t>Útil para localizar el sitio de infección.</w:t>
      </w:r>
    </w:p>
    <w:p>
      <w:pPr>
        <w:pStyle w:val="BodyText"/>
        <w:spacing w:before="7"/>
        <w:rPr>
          <w:sz w:val="23"/>
        </w:rPr>
      </w:pPr>
    </w:p>
    <w:p>
      <w:pPr>
        <w:pStyle w:val="Heading4"/>
        <w:ind w:left="677"/>
        <w:jc w:val="both"/>
      </w:pPr>
      <w:r>
        <w:rPr/>
        <w:t>DIAGNOSTICO DIFERENCIAL</w:t>
      </w:r>
    </w:p>
    <w:p>
      <w:pPr>
        <w:pStyle w:val="BodyText"/>
        <w:spacing w:before="1"/>
        <w:rPr>
          <w:b/>
          <w:sz w:val="21"/>
        </w:rPr>
      </w:pPr>
    </w:p>
    <w:p>
      <w:pPr>
        <w:pStyle w:val="BodyText"/>
        <w:spacing w:line="278" w:lineRule="auto"/>
        <w:ind w:left="677" w:right="1435"/>
        <w:jc w:val="both"/>
      </w:pPr>
      <w:r>
        <w:rPr>
          <w:b/>
        </w:rPr>
        <w:t>Fiebre reumática: </w:t>
      </w:r>
      <w:r>
        <w:rPr/>
        <w:t>Artralgia migratoria, carditis, títulos de antistreptolisina, infección por streptococcos del grupo A.</w:t>
      </w:r>
    </w:p>
    <w:p>
      <w:pPr>
        <w:pStyle w:val="BodyText"/>
        <w:spacing w:line="276" w:lineRule="auto" w:before="195"/>
        <w:ind w:left="677" w:right="1438"/>
        <w:jc w:val="both"/>
      </w:pPr>
      <w:r>
        <w:rPr>
          <w:b/>
        </w:rPr>
        <w:t>Bursitis: </w:t>
      </w:r>
      <w:r>
        <w:rPr/>
        <w:t>Inflamación de la bursa superficial a la articulación, usualmente no limita rangos de movimiento ni hay fiebre.</w:t>
      </w:r>
    </w:p>
    <w:p>
      <w:pPr>
        <w:spacing w:line="278" w:lineRule="auto" w:before="198"/>
        <w:ind w:left="677" w:right="1433" w:firstLine="0"/>
        <w:jc w:val="both"/>
        <w:rPr>
          <w:sz w:val="22"/>
        </w:rPr>
      </w:pPr>
      <w:r>
        <w:rPr>
          <w:b/>
          <w:sz w:val="22"/>
        </w:rPr>
        <w:t>Artropatía por cristales: </w:t>
      </w:r>
      <w:r>
        <w:rPr>
          <w:sz w:val="22"/>
        </w:rPr>
        <w:t>Gota, pseudogota, articulación dolorosa, hemograma</w:t>
      </w:r>
      <w:r>
        <w:rPr>
          <w:spacing w:val="-1"/>
          <w:sz w:val="22"/>
        </w:rPr>
        <w:t> </w:t>
      </w:r>
      <w:r>
        <w:rPr>
          <w:sz w:val="22"/>
        </w:rPr>
        <w:t>normal.</w:t>
      </w:r>
    </w:p>
    <w:p>
      <w:pPr>
        <w:spacing w:before="191"/>
        <w:ind w:left="677" w:right="0" w:firstLine="0"/>
        <w:jc w:val="both"/>
        <w:rPr>
          <w:sz w:val="22"/>
        </w:rPr>
      </w:pPr>
      <w:r>
        <w:rPr>
          <w:b/>
          <w:sz w:val="22"/>
        </w:rPr>
        <w:t>Hemartrosis: </w:t>
      </w:r>
      <w:r>
        <w:rPr>
          <w:sz w:val="22"/>
        </w:rPr>
        <w:t>Hemofilia o trauma</w:t>
      </w:r>
    </w:p>
    <w:p>
      <w:pPr>
        <w:pStyle w:val="BodyText"/>
        <w:spacing w:before="8"/>
        <w:rPr>
          <w:sz w:val="20"/>
        </w:rPr>
      </w:pPr>
    </w:p>
    <w:p>
      <w:pPr>
        <w:spacing w:line="278" w:lineRule="auto" w:before="0"/>
        <w:ind w:left="677" w:right="1433" w:firstLine="0"/>
        <w:jc w:val="both"/>
        <w:rPr>
          <w:sz w:val="22"/>
        </w:rPr>
      </w:pPr>
      <w:r>
        <w:rPr>
          <w:b/>
          <w:sz w:val="22"/>
        </w:rPr>
        <w:t>Artritis reumatoide juvenil </w:t>
      </w:r>
      <w:r>
        <w:rPr>
          <w:sz w:val="22"/>
        </w:rPr>
        <w:t>Rigidez matutina, varias articulación involucradas, inflamación articular leve</w:t>
      </w:r>
    </w:p>
    <w:p>
      <w:pPr>
        <w:pStyle w:val="BodyText"/>
        <w:spacing w:line="278" w:lineRule="auto" w:before="191"/>
        <w:ind w:left="677" w:right="1435"/>
        <w:jc w:val="both"/>
      </w:pPr>
      <w:r>
        <w:rPr>
          <w:b/>
        </w:rPr>
        <w:t>Enfermedad de Lyme </w:t>
      </w:r>
      <w:r>
        <w:rPr/>
        <w:t>Inicio indolente , eritema migrans, manifestaciones cardíacas y neurológicas</w:t>
      </w:r>
    </w:p>
    <w:p>
      <w:pPr>
        <w:pStyle w:val="BodyText"/>
        <w:spacing w:line="278" w:lineRule="auto" w:before="195"/>
        <w:ind w:left="677" w:right="1431"/>
        <w:jc w:val="both"/>
      </w:pPr>
      <w:r>
        <w:rPr>
          <w:b/>
        </w:rPr>
        <w:t>Artritis reumatoide </w:t>
      </w:r>
      <w:r>
        <w:rPr/>
        <w:t>Rigidez matutina, afectación simétrica, factor reumatoide positivo, VES elevada, leucocitosis en el líquido sinovial.</w:t>
      </w:r>
    </w:p>
    <w:p>
      <w:pPr>
        <w:pStyle w:val="BodyText"/>
        <w:spacing w:line="278" w:lineRule="auto" w:before="191"/>
        <w:ind w:left="677" w:right="1436"/>
        <w:jc w:val="both"/>
      </w:pPr>
      <w:r>
        <w:rPr>
          <w:b/>
        </w:rPr>
        <w:t>Sinovitis transitoria de cadera </w:t>
      </w:r>
      <w:r>
        <w:rPr/>
        <w:t>Inflamación inespecífica e hipertrofia de </w:t>
      </w:r>
      <w:r>
        <w:rPr>
          <w:spacing w:val="-3"/>
        </w:rPr>
        <w:t>la </w:t>
      </w:r>
      <w:r>
        <w:rPr/>
        <w:t>membrana sinovial de </w:t>
      </w:r>
      <w:r>
        <w:rPr>
          <w:spacing w:val="-3"/>
        </w:rPr>
        <w:t>la </w:t>
      </w:r>
      <w:r>
        <w:rPr/>
        <w:t>articulación de </w:t>
      </w:r>
      <w:r>
        <w:rPr>
          <w:spacing w:val="-3"/>
        </w:rPr>
        <w:t>la </w:t>
      </w:r>
      <w:r>
        <w:rPr/>
        <w:t>cadera,</w:t>
      </w:r>
      <w:r>
        <w:rPr>
          <w:spacing w:val="30"/>
        </w:rPr>
        <w:t> </w:t>
      </w:r>
      <w:r>
        <w:rPr/>
        <w:t>más</w:t>
      </w:r>
      <w:r>
        <w:rPr>
          <w:spacing w:val="33"/>
        </w:rPr>
        <w:t> </w:t>
      </w:r>
      <w:r>
        <w:rPr/>
        <w:t>frecuente</w:t>
      </w:r>
      <w:r>
        <w:rPr>
          <w:spacing w:val="33"/>
        </w:rPr>
        <w:t> </w:t>
      </w:r>
      <w:r>
        <w:rPr/>
        <w:t>en</w:t>
      </w:r>
      <w:r>
        <w:rPr>
          <w:spacing w:val="33"/>
        </w:rPr>
        <w:t> </w:t>
      </w:r>
      <w:r>
        <w:rPr/>
        <w:t>paciente</w:t>
      </w:r>
      <w:r>
        <w:rPr>
          <w:spacing w:val="32"/>
        </w:rPr>
        <w:t> </w:t>
      </w:r>
      <w:r>
        <w:rPr/>
        <w:t>de</w:t>
      </w:r>
      <w:r>
        <w:rPr>
          <w:spacing w:val="30"/>
        </w:rPr>
        <w:t> </w:t>
      </w:r>
      <w:r>
        <w:rPr/>
        <w:t>3</w:t>
      </w:r>
      <w:r>
        <w:rPr>
          <w:spacing w:val="37"/>
        </w:rPr>
        <w:t> </w:t>
      </w:r>
      <w:r>
        <w:rPr/>
        <w:t>a</w:t>
      </w:r>
    </w:p>
    <w:p>
      <w:pPr>
        <w:pStyle w:val="BodyText"/>
        <w:spacing w:line="276" w:lineRule="auto"/>
        <w:ind w:left="677" w:right="1438"/>
        <w:jc w:val="both"/>
      </w:pPr>
      <w:r>
        <w:rPr/>
        <w:t>10 años, antecedente de infección de vía respiratoria previa, afebril.</w:t>
      </w:r>
    </w:p>
    <w:p>
      <w:pPr>
        <w:spacing w:before="202"/>
        <w:ind w:left="677" w:right="0" w:firstLine="0"/>
        <w:jc w:val="both"/>
        <w:rPr>
          <w:sz w:val="22"/>
        </w:rPr>
      </w:pPr>
      <w:r>
        <w:rPr>
          <w:b/>
          <w:sz w:val="22"/>
        </w:rPr>
        <w:t>Osteoartrosis </w:t>
      </w:r>
      <w:r>
        <w:rPr>
          <w:sz w:val="22"/>
        </w:rPr>
        <w:t>Evidencia radiográfica</w:t>
      </w:r>
    </w:p>
    <w:p>
      <w:pPr>
        <w:pStyle w:val="BodyText"/>
        <w:spacing w:before="9"/>
        <w:rPr>
          <w:sz w:val="20"/>
        </w:rPr>
      </w:pPr>
    </w:p>
    <w:p>
      <w:pPr>
        <w:pStyle w:val="Heading4"/>
        <w:spacing w:before="1"/>
        <w:ind w:left="677"/>
        <w:jc w:val="both"/>
      </w:pPr>
      <w:r>
        <w:rPr/>
        <w:t>TRATAMIENTO</w:t>
      </w:r>
    </w:p>
    <w:p>
      <w:pPr>
        <w:pStyle w:val="BodyText"/>
        <w:spacing w:before="1"/>
        <w:rPr>
          <w:b/>
          <w:sz w:val="21"/>
        </w:rPr>
      </w:pPr>
    </w:p>
    <w:p>
      <w:pPr>
        <w:pStyle w:val="BodyText"/>
        <w:spacing w:line="276" w:lineRule="auto"/>
        <w:ind w:left="677" w:right="1436"/>
        <w:jc w:val="both"/>
      </w:pPr>
      <w:r>
        <w:rPr/>
        <w:t>El tratamiento básico es antibiótico junto con drenaje y lavado quirúrgico de </w:t>
      </w:r>
      <w:r>
        <w:rPr>
          <w:spacing w:val="-3"/>
        </w:rPr>
        <w:t>la </w:t>
      </w:r>
      <w:r>
        <w:rPr/>
        <w:t>articulación. El manejo del antibiótico definitivo depende de los resultados de los cultivos</w:t>
      </w:r>
      <w:r>
        <w:rPr>
          <w:spacing w:val="13"/>
        </w:rPr>
        <w:t> </w:t>
      </w:r>
      <w:r>
        <w:rPr/>
        <w:t>y</w:t>
      </w:r>
      <w:r>
        <w:rPr>
          <w:spacing w:val="13"/>
        </w:rPr>
        <w:t> </w:t>
      </w:r>
      <w:r>
        <w:rPr/>
        <w:t>las</w:t>
      </w:r>
      <w:r>
        <w:rPr>
          <w:spacing w:val="13"/>
        </w:rPr>
        <w:t> </w:t>
      </w:r>
      <w:r>
        <w:rPr/>
        <w:t>pruebas</w:t>
      </w:r>
      <w:r>
        <w:rPr>
          <w:spacing w:val="13"/>
        </w:rPr>
        <w:t> </w:t>
      </w:r>
      <w:r>
        <w:rPr/>
        <w:t>de</w:t>
      </w:r>
      <w:r>
        <w:rPr>
          <w:spacing w:val="12"/>
        </w:rPr>
        <w:t> </w:t>
      </w:r>
      <w:r>
        <w:rPr/>
        <w:t>sensibilidad</w:t>
      </w:r>
    </w:p>
    <w:p>
      <w:pPr>
        <w:spacing w:after="0" w:line="276" w:lineRule="auto"/>
        <w:jc w:val="both"/>
        <w:sectPr>
          <w:type w:val="continuous"/>
          <w:pgSz w:w="12240" w:h="15840"/>
          <w:pgMar w:top="1500" w:bottom="0" w:left="0" w:right="0"/>
          <w:cols w:num="2" w:equalWidth="0">
            <w:col w:w="5765" w:space="40"/>
            <w:col w:w="6435"/>
          </w:cols>
        </w:sectPr>
      </w:pPr>
    </w:p>
    <w:p>
      <w:pPr>
        <w:pStyle w:val="BodyText"/>
        <w:rPr>
          <w:sz w:val="20"/>
        </w:rPr>
      </w:pPr>
    </w:p>
    <w:p>
      <w:pPr>
        <w:pStyle w:val="BodyText"/>
        <w:spacing w:before="8"/>
      </w:pPr>
    </w:p>
    <w:p>
      <w:pPr>
        <w:pStyle w:val="BodyText"/>
        <w:spacing w:line="276" w:lineRule="auto"/>
        <w:ind w:left="1440" w:right="6474"/>
        <w:jc w:val="both"/>
      </w:pPr>
      <w:r>
        <w:rPr/>
        <w:pict>
          <v:shape style="position:absolute;margin-left:318.5pt;margin-top:.127900pt;width:225.7pt;height:405.9pt;mso-position-horizontal-relative:page;mso-position-vertical-relative:paragraph;z-index:1624"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45"/>
                    <w:gridCol w:w="1985"/>
                    <w:gridCol w:w="1273"/>
                  </w:tblGrid>
                  <w:tr>
                    <w:trPr>
                      <w:trHeight w:val="1150" w:hRule="atLeast"/>
                    </w:trPr>
                    <w:tc>
                      <w:tcPr>
                        <w:tcW w:w="1245" w:type="dxa"/>
                      </w:tcPr>
                      <w:p>
                        <w:pPr>
                          <w:pStyle w:val="TableParagraph"/>
                          <w:ind w:left="0"/>
                          <w:rPr>
                            <w:rFonts w:ascii="Times New Roman"/>
                            <w:sz w:val="20"/>
                          </w:rPr>
                        </w:pPr>
                      </w:p>
                    </w:tc>
                    <w:tc>
                      <w:tcPr>
                        <w:tcW w:w="1985" w:type="dxa"/>
                      </w:tcPr>
                      <w:p>
                        <w:pPr>
                          <w:pStyle w:val="TableParagraph"/>
                          <w:tabs>
                            <w:tab w:pos="1328" w:val="left" w:leader="none"/>
                            <w:tab w:pos="1645" w:val="left" w:leader="none"/>
                          </w:tabs>
                          <w:ind w:left="102" w:right="101"/>
                          <w:rPr>
                            <w:sz w:val="20"/>
                          </w:rPr>
                        </w:pPr>
                        <w:r>
                          <w:rPr>
                            <w:sz w:val="20"/>
                          </w:rPr>
                          <w:t>influenzae (disminuido</w:t>
                          <w:tab/>
                        </w:r>
                        <w:r>
                          <w:rPr>
                            <w:spacing w:val="-1"/>
                            <w:sz w:val="20"/>
                          </w:rPr>
                          <w:t>desde </w:t>
                        </w:r>
                        <w:r>
                          <w:rPr>
                            <w:sz w:val="20"/>
                          </w:rPr>
                          <w:t>campañas</w:t>
                          <w:tab/>
                          <w:tab/>
                          <w:t>de vacunación)</w:t>
                        </w:r>
                      </w:p>
                      <w:p>
                        <w:pPr>
                          <w:pStyle w:val="TableParagraph"/>
                          <w:spacing w:line="213" w:lineRule="exact"/>
                          <w:ind w:left="102"/>
                          <w:rPr>
                            <w:sz w:val="20"/>
                          </w:rPr>
                        </w:pPr>
                        <w:r>
                          <w:rPr>
                            <w:sz w:val="20"/>
                          </w:rPr>
                          <w:t>Kingella Kingae</w:t>
                        </w:r>
                      </w:p>
                    </w:tc>
                    <w:tc>
                      <w:tcPr>
                        <w:tcW w:w="1273" w:type="dxa"/>
                      </w:tcPr>
                      <w:p>
                        <w:pPr>
                          <w:pStyle w:val="TableParagraph"/>
                          <w:ind w:left="0"/>
                          <w:rPr>
                            <w:rFonts w:ascii="Times New Roman"/>
                            <w:sz w:val="20"/>
                          </w:rPr>
                        </w:pPr>
                      </w:p>
                    </w:tc>
                  </w:tr>
                  <w:tr>
                    <w:trPr>
                      <w:trHeight w:val="1378" w:hRule="atLeast"/>
                    </w:trPr>
                    <w:tc>
                      <w:tcPr>
                        <w:tcW w:w="1245" w:type="dxa"/>
                      </w:tcPr>
                      <w:p>
                        <w:pPr>
                          <w:pStyle w:val="TableParagraph"/>
                          <w:spacing w:line="242" w:lineRule="auto"/>
                          <w:ind w:right="95"/>
                          <w:jc w:val="both"/>
                          <w:rPr>
                            <w:sz w:val="20"/>
                          </w:rPr>
                        </w:pPr>
                        <w:r>
                          <w:rPr>
                            <w:sz w:val="20"/>
                          </w:rPr>
                          <w:t>Niños &gt; 5 años ,</w:t>
                        </w:r>
                      </w:p>
                      <w:p>
                        <w:pPr>
                          <w:pStyle w:val="TableParagraph"/>
                          <w:ind w:right="95"/>
                          <w:jc w:val="both"/>
                          <w:rPr>
                            <w:sz w:val="20"/>
                          </w:rPr>
                        </w:pPr>
                        <w:r>
                          <w:rPr>
                            <w:sz w:val="20"/>
                          </w:rPr>
                          <w:t>adolescenc ia y adultos sexualment</w:t>
                        </w:r>
                      </w:p>
                      <w:p>
                        <w:pPr>
                          <w:pStyle w:val="TableParagraph"/>
                          <w:spacing w:line="211" w:lineRule="exact" w:before="1"/>
                          <w:jc w:val="both"/>
                          <w:rPr>
                            <w:sz w:val="20"/>
                          </w:rPr>
                        </w:pPr>
                        <w:r>
                          <w:rPr>
                            <w:sz w:val="20"/>
                          </w:rPr>
                          <w:t>e inactivo</w:t>
                        </w:r>
                      </w:p>
                    </w:tc>
                    <w:tc>
                      <w:tcPr>
                        <w:tcW w:w="1985" w:type="dxa"/>
                      </w:tcPr>
                      <w:p>
                        <w:pPr>
                          <w:pStyle w:val="TableParagraph"/>
                          <w:spacing w:line="225" w:lineRule="exact"/>
                          <w:ind w:left="102"/>
                          <w:rPr>
                            <w:sz w:val="20"/>
                          </w:rPr>
                        </w:pPr>
                        <w:r>
                          <w:rPr>
                            <w:sz w:val="20"/>
                          </w:rPr>
                          <w:t>S. aureus</w:t>
                        </w:r>
                      </w:p>
                    </w:tc>
                    <w:tc>
                      <w:tcPr>
                        <w:tcW w:w="1273" w:type="dxa"/>
                      </w:tcPr>
                      <w:p>
                        <w:pPr>
                          <w:pStyle w:val="TableParagraph"/>
                          <w:spacing w:line="225" w:lineRule="exact"/>
                          <w:ind w:left="106"/>
                          <w:rPr>
                            <w:sz w:val="20"/>
                          </w:rPr>
                        </w:pPr>
                        <w:r>
                          <w:rPr>
                            <w:sz w:val="20"/>
                          </w:rPr>
                          <w:t>Oxacilina</w:t>
                        </w:r>
                      </w:p>
                    </w:tc>
                  </w:tr>
                  <w:tr>
                    <w:trPr>
                      <w:trHeight w:val="2070" w:hRule="atLeast"/>
                    </w:trPr>
                    <w:tc>
                      <w:tcPr>
                        <w:tcW w:w="1245" w:type="dxa"/>
                      </w:tcPr>
                      <w:p>
                        <w:pPr>
                          <w:pStyle w:val="TableParagraph"/>
                          <w:tabs>
                            <w:tab w:pos="510" w:val="left" w:leader="none"/>
                            <w:tab w:pos="1037" w:val="left" w:leader="none"/>
                          </w:tabs>
                          <w:ind w:right="96"/>
                          <w:rPr>
                            <w:sz w:val="20"/>
                          </w:rPr>
                        </w:pPr>
                        <w:r>
                          <w:rPr>
                            <w:sz w:val="20"/>
                          </w:rPr>
                          <w:t>Adultos</w:t>
                          <w:tab/>
                          <w:t>y adolecente s sexualment e</w:t>
                          <w:tab/>
                          <w:t>activos (artritis aguda monoarticu</w:t>
                        </w:r>
                      </w:p>
                      <w:p>
                        <w:pPr>
                          <w:pStyle w:val="TableParagraph"/>
                          <w:spacing w:line="211" w:lineRule="exact" w:before="2"/>
                          <w:rPr>
                            <w:sz w:val="20"/>
                          </w:rPr>
                        </w:pPr>
                        <w:r>
                          <w:rPr>
                            <w:sz w:val="20"/>
                          </w:rPr>
                          <w:t>lar)</w:t>
                        </w:r>
                      </w:p>
                    </w:tc>
                    <w:tc>
                      <w:tcPr>
                        <w:tcW w:w="1985" w:type="dxa"/>
                      </w:tcPr>
                      <w:p>
                        <w:pPr>
                          <w:pStyle w:val="TableParagraph"/>
                          <w:ind w:left="102" w:right="101"/>
                          <w:rPr>
                            <w:sz w:val="20"/>
                          </w:rPr>
                        </w:pPr>
                        <w:r>
                          <w:rPr>
                            <w:sz w:val="20"/>
                          </w:rPr>
                          <w:t>N. gonorrhoeae S. aureus</w:t>
                        </w:r>
                      </w:p>
                    </w:tc>
                    <w:tc>
                      <w:tcPr>
                        <w:tcW w:w="1273" w:type="dxa"/>
                      </w:tcPr>
                      <w:p>
                        <w:pPr>
                          <w:pStyle w:val="TableParagraph"/>
                          <w:spacing w:line="229" w:lineRule="exact"/>
                          <w:ind w:left="106"/>
                          <w:rPr>
                            <w:sz w:val="20"/>
                          </w:rPr>
                        </w:pPr>
                        <w:r>
                          <w:rPr>
                            <w:sz w:val="20"/>
                          </w:rPr>
                          <w:t>Ceftriaxona</w:t>
                        </w:r>
                      </w:p>
                    </w:tc>
                  </w:tr>
                  <w:tr>
                    <w:trPr>
                      <w:trHeight w:val="922" w:hRule="atLeast"/>
                    </w:trPr>
                    <w:tc>
                      <w:tcPr>
                        <w:tcW w:w="1245" w:type="dxa"/>
                      </w:tcPr>
                      <w:p>
                        <w:pPr>
                          <w:pStyle w:val="TableParagraph"/>
                          <w:ind w:right="96"/>
                          <w:rPr>
                            <w:sz w:val="20"/>
                          </w:rPr>
                        </w:pPr>
                        <w:r>
                          <w:rPr>
                            <w:sz w:val="20"/>
                          </w:rPr>
                          <w:t>Adultos mayores</w:t>
                        </w:r>
                      </w:p>
                    </w:tc>
                    <w:tc>
                      <w:tcPr>
                        <w:tcW w:w="1985" w:type="dxa"/>
                      </w:tcPr>
                      <w:p>
                        <w:pPr>
                          <w:pStyle w:val="TableParagraph"/>
                          <w:spacing w:line="229" w:lineRule="exact"/>
                          <w:ind w:left="102"/>
                          <w:rPr>
                            <w:sz w:val="20"/>
                          </w:rPr>
                        </w:pPr>
                        <w:r>
                          <w:rPr>
                            <w:sz w:val="20"/>
                          </w:rPr>
                          <w:t>S. aureus</w:t>
                        </w:r>
                      </w:p>
                    </w:tc>
                    <w:tc>
                      <w:tcPr>
                        <w:tcW w:w="1273" w:type="dxa"/>
                      </w:tcPr>
                      <w:p>
                        <w:pPr>
                          <w:pStyle w:val="TableParagraph"/>
                          <w:ind w:left="106"/>
                          <w:rPr>
                            <w:sz w:val="20"/>
                          </w:rPr>
                        </w:pPr>
                        <w:r>
                          <w:rPr>
                            <w:sz w:val="20"/>
                          </w:rPr>
                          <w:t>Oxacilina o cefalozina, aminoglico</w:t>
                        </w:r>
                      </w:p>
                      <w:p>
                        <w:pPr>
                          <w:pStyle w:val="TableParagraph"/>
                          <w:spacing w:line="213" w:lineRule="exact"/>
                          <w:ind w:left="106"/>
                          <w:rPr>
                            <w:sz w:val="20"/>
                          </w:rPr>
                        </w:pPr>
                        <w:r>
                          <w:rPr>
                            <w:sz w:val="20"/>
                          </w:rPr>
                          <w:t>sido</w:t>
                        </w:r>
                      </w:p>
                    </w:tc>
                  </w:tr>
                  <w:tr>
                    <w:trPr>
                      <w:trHeight w:val="1837" w:hRule="atLeast"/>
                    </w:trPr>
                    <w:tc>
                      <w:tcPr>
                        <w:tcW w:w="1245" w:type="dxa"/>
                      </w:tcPr>
                      <w:p>
                        <w:pPr>
                          <w:pStyle w:val="TableParagraph"/>
                          <w:tabs>
                            <w:tab w:pos="910" w:val="left" w:leader="none"/>
                          </w:tabs>
                          <w:spacing w:line="242" w:lineRule="auto"/>
                          <w:ind w:right="99"/>
                          <w:rPr>
                            <w:sz w:val="20"/>
                          </w:rPr>
                        </w:pPr>
                        <w:r>
                          <w:rPr>
                            <w:sz w:val="20"/>
                          </w:rPr>
                          <w:t>Abuso</w:t>
                          <w:tab/>
                          <w:t>de drogas IV</w:t>
                        </w:r>
                      </w:p>
                    </w:tc>
                    <w:tc>
                      <w:tcPr>
                        <w:tcW w:w="1985" w:type="dxa"/>
                      </w:tcPr>
                      <w:p>
                        <w:pPr>
                          <w:pStyle w:val="TableParagraph"/>
                          <w:spacing w:before="35"/>
                          <w:ind w:left="102" w:right="107"/>
                          <w:rPr>
                            <w:sz w:val="20"/>
                          </w:rPr>
                        </w:pPr>
                        <w:r>
                          <w:rPr>
                            <w:sz w:val="20"/>
                          </w:rPr>
                          <w:t>Pseudomonas aeruginosa Serratia maecescens</w:t>
                        </w:r>
                      </w:p>
                    </w:tc>
                    <w:tc>
                      <w:tcPr>
                        <w:tcW w:w="1273" w:type="dxa"/>
                      </w:tcPr>
                      <w:p>
                        <w:pPr>
                          <w:pStyle w:val="TableParagraph"/>
                          <w:tabs>
                            <w:tab w:pos="1005" w:val="left" w:leader="none"/>
                          </w:tabs>
                          <w:ind w:left="106" w:right="95"/>
                          <w:rPr>
                            <w:sz w:val="20"/>
                          </w:rPr>
                        </w:pPr>
                        <w:r>
                          <w:rPr>
                            <w:sz w:val="20"/>
                          </w:rPr>
                          <w:t>Aminoglico sidos IV + Cefalospori na antipseudo mona como p</w:t>
                          <w:tab/>
                          <w:t>ej</w:t>
                        </w:r>
                      </w:p>
                      <w:p>
                        <w:pPr>
                          <w:pStyle w:val="TableParagraph"/>
                          <w:spacing w:line="211" w:lineRule="exact" w:before="6"/>
                          <w:ind w:left="106"/>
                          <w:rPr>
                            <w:sz w:val="20"/>
                          </w:rPr>
                        </w:pPr>
                        <w:r>
                          <w:rPr>
                            <w:sz w:val="20"/>
                          </w:rPr>
                          <w:t>ceftazidime</w:t>
                        </w:r>
                      </w:p>
                    </w:tc>
                  </w:tr>
                  <w:tr>
                    <w:trPr>
                      <w:trHeight w:val="690" w:hRule="atLeast"/>
                    </w:trPr>
                    <w:tc>
                      <w:tcPr>
                        <w:tcW w:w="1245" w:type="dxa"/>
                      </w:tcPr>
                      <w:p>
                        <w:pPr>
                          <w:pStyle w:val="TableParagraph"/>
                          <w:ind w:right="118"/>
                          <w:rPr>
                            <w:sz w:val="20"/>
                          </w:rPr>
                        </w:pPr>
                        <w:r>
                          <w:rPr>
                            <w:sz w:val="20"/>
                          </w:rPr>
                          <w:t>Prótesis posquirúrgi</w:t>
                        </w:r>
                      </w:p>
                      <w:p>
                        <w:pPr>
                          <w:pStyle w:val="TableParagraph"/>
                          <w:spacing w:line="211" w:lineRule="exact" w:before="2"/>
                          <w:rPr>
                            <w:sz w:val="20"/>
                          </w:rPr>
                        </w:pPr>
                        <w:r>
                          <w:rPr>
                            <w:sz w:val="20"/>
                          </w:rPr>
                          <w:t>cas</w:t>
                        </w:r>
                      </w:p>
                    </w:tc>
                    <w:tc>
                      <w:tcPr>
                        <w:tcW w:w="1985" w:type="dxa"/>
                      </w:tcPr>
                      <w:p>
                        <w:pPr>
                          <w:pStyle w:val="TableParagraph"/>
                          <w:ind w:left="102" w:right="101"/>
                          <w:rPr>
                            <w:sz w:val="20"/>
                          </w:rPr>
                        </w:pPr>
                        <w:r>
                          <w:rPr>
                            <w:sz w:val="20"/>
                          </w:rPr>
                          <w:t>S. epidermidis, S. aureus</w:t>
                        </w:r>
                      </w:p>
                    </w:tc>
                    <w:tc>
                      <w:tcPr>
                        <w:tcW w:w="1273" w:type="dxa"/>
                      </w:tcPr>
                      <w:p>
                        <w:pPr>
                          <w:pStyle w:val="TableParagraph"/>
                          <w:ind w:left="106" w:right="103"/>
                          <w:rPr>
                            <w:sz w:val="20"/>
                          </w:rPr>
                        </w:pPr>
                        <w:r>
                          <w:rPr>
                            <w:sz w:val="20"/>
                          </w:rPr>
                          <w:t>Vancomicin a</w:t>
                        </w:r>
                      </w:p>
                    </w:tc>
                  </w:tr>
                </w:tbl>
                <w:p>
                  <w:pPr>
                    <w:pStyle w:val="BodyText"/>
                  </w:pPr>
                </w:p>
              </w:txbxContent>
            </v:textbox>
            <w10:wrap type="none"/>
          </v:shape>
        </w:pict>
      </w:r>
      <w:r>
        <w:rPr/>
        <w:t>antibiótica, sin embargo se inicia previo a estos, </w:t>
      </w:r>
      <w:r>
        <w:rPr>
          <w:spacing w:val="-3"/>
        </w:rPr>
        <w:t>la </w:t>
      </w:r>
      <w:r>
        <w:rPr/>
        <w:t>terapia empírica basándose en </w:t>
      </w:r>
      <w:r>
        <w:rPr>
          <w:spacing w:val="-3"/>
        </w:rPr>
        <w:t>la </w:t>
      </w:r>
      <w:r>
        <w:rPr/>
        <w:t>edad del paciente y en las circunstancias que orienten a un patógeno en específico. Usualmente en infecciones no complicadas los antibióticos intravenosos se van sustituyendo paulatinamente por terapia oral con periodo total de tratamiento de 4 a 6 semanas. Es importante recalcar que en artritis séptica crónica se deben sospechar de Brucella, Nocardia, Mycobacterias y hongos además en </w:t>
      </w:r>
      <w:r>
        <w:rPr>
          <w:spacing w:val="-3"/>
        </w:rPr>
        <w:t>la </w:t>
      </w:r>
      <w:r>
        <w:rPr/>
        <w:t>artritis poliarticular se piensa en B. burgdorferi, fiebre reumática y virus.</w:t>
      </w:r>
    </w:p>
    <w:p>
      <w:pPr>
        <w:pStyle w:val="BodyText"/>
        <w:spacing w:line="276" w:lineRule="auto" w:before="197"/>
        <w:ind w:left="1440" w:right="6479"/>
        <w:jc w:val="both"/>
      </w:pPr>
      <w:r>
        <w:rPr/>
        <w:t>El abordaje y el tratamiento de acuerdo a los grupos etarios y patógenos más frecuentes se resumen en </w:t>
      </w:r>
      <w:r>
        <w:rPr>
          <w:spacing w:val="-3"/>
        </w:rPr>
        <w:t>la</w:t>
      </w:r>
      <w:r>
        <w:rPr>
          <w:spacing w:val="-4"/>
        </w:rPr>
        <w:t> </w:t>
      </w:r>
      <w:r>
        <w:rPr/>
        <w:t>Tabla1</w:t>
      </w:r>
    </w:p>
    <w:p>
      <w:pPr>
        <w:pStyle w:val="BodyText"/>
        <w:spacing w:before="4"/>
        <w:rPr>
          <w:sz w:val="17"/>
        </w:rPr>
      </w:pPr>
    </w:p>
    <w:tbl>
      <w:tblPr>
        <w:tblW w:w="0" w:type="auto"/>
        <w:jc w:val="left"/>
        <w:tblInd w:w="1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44"/>
        <w:gridCol w:w="1984"/>
        <w:gridCol w:w="1272"/>
      </w:tblGrid>
      <w:tr>
        <w:trPr>
          <w:trHeight w:val="782" w:hRule="atLeast"/>
        </w:trPr>
        <w:tc>
          <w:tcPr>
            <w:tcW w:w="4500" w:type="dxa"/>
            <w:gridSpan w:val="3"/>
          </w:tcPr>
          <w:p>
            <w:pPr>
              <w:pStyle w:val="TableParagraph"/>
              <w:tabs>
                <w:tab w:pos="1311" w:val="left" w:leader="none"/>
              </w:tabs>
              <w:spacing w:line="280" w:lineRule="auto"/>
              <w:ind w:left="70" w:right="61"/>
              <w:rPr>
                <w:sz w:val="22"/>
              </w:rPr>
            </w:pPr>
            <w:r>
              <w:rPr>
                <w:b/>
                <w:sz w:val="22"/>
              </w:rPr>
              <w:t>Tabla </w:t>
            </w:r>
            <w:r>
              <w:rPr>
                <w:b/>
                <w:spacing w:val="53"/>
                <w:sz w:val="22"/>
              </w:rPr>
              <w:t> </w:t>
            </w:r>
            <w:r>
              <w:rPr>
                <w:b/>
                <w:sz w:val="22"/>
              </w:rPr>
              <w:t>1</w:t>
              <w:tab/>
            </w:r>
            <w:r>
              <w:rPr>
                <w:sz w:val="22"/>
              </w:rPr>
              <w:t>Grupos etarios, patógenos y tratamiento de </w:t>
            </w:r>
            <w:r>
              <w:rPr>
                <w:spacing w:val="-3"/>
                <w:sz w:val="22"/>
              </w:rPr>
              <w:t>la </w:t>
            </w:r>
            <w:r>
              <w:rPr>
                <w:sz w:val="22"/>
              </w:rPr>
              <w:t>artritis séptica.</w:t>
            </w:r>
          </w:p>
        </w:tc>
      </w:tr>
      <w:tr>
        <w:trPr>
          <w:trHeight w:val="582" w:hRule="atLeast"/>
        </w:trPr>
        <w:tc>
          <w:tcPr>
            <w:tcW w:w="1244" w:type="dxa"/>
          </w:tcPr>
          <w:p>
            <w:pPr>
              <w:pStyle w:val="TableParagraph"/>
              <w:ind w:left="363"/>
              <w:rPr>
                <w:sz w:val="22"/>
              </w:rPr>
            </w:pPr>
            <w:r>
              <w:rPr>
                <w:sz w:val="22"/>
              </w:rPr>
              <w:t>Edad</w:t>
            </w:r>
          </w:p>
        </w:tc>
        <w:tc>
          <w:tcPr>
            <w:tcW w:w="1984" w:type="dxa"/>
          </w:tcPr>
          <w:p>
            <w:pPr>
              <w:pStyle w:val="TableParagraph"/>
              <w:ind w:left="428" w:right="429"/>
              <w:jc w:val="center"/>
              <w:rPr>
                <w:sz w:val="22"/>
              </w:rPr>
            </w:pPr>
            <w:r>
              <w:rPr>
                <w:sz w:val="22"/>
              </w:rPr>
              <w:t>Organismo</w:t>
            </w:r>
          </w:p>
          <w:p>
            <w:pPr>
              <w:pStyle w:val="TableParagraph"/>
              <w:spacing w:before="38"/>
              <w:ind w:left="428" w:right="428"/>
              <w:jc w:val="center"/>
              <w:rPr>
                <w:sz w:val="22"/>
              </w:rPr>
            </w:pPr>
            <w:r>
              <w:rPr>
                <w:sz w:val="22"/>
              </w:rPr>
              <w:t>causal</w:t>
            </w:r>
          </w:p>
        </w:tc>
        <w:tc>
          <w:tcPr>
            <w:tcW w:w="1272" w:type="dxa"/>
          </w:tcPr>
          <w:p>
            <w:pPr>
              <w:pStyle w:val="TableParagraph"/>
              <w:ind w:left="128"/>
              <w:rPr>
                <w:sz w:val="22"/>
              </w:rPr>
            </w:pPr>
            <w:r>
              <w:rPr>
                <w:sz w:val="22"/>
              </w:rPr>
              <w:t>Antibiotico</w:t>
            </w:r>
          </w:p>
        </w:tc>
      </w:tr>
      <w:tr>
        <w:trPr>
          <w:trHeight w:val="726" w:hRule="atLeast"/>
        </w:trPr>
        <w:tc>
          <w:tcPr>
            <w:tcW w:w="1244" w:type="dxa"/>
          </w:tcPr>
          <w:p>
            <w:pPr>
              <w:pStyle w:val="TableParagraph"/>
              <w:ind w:right="417"/>
              <w:rPr>
                <w:sz w:val="20"/>
              </w:rPr>
            </w:pPr>
            <w:r>
              <w:rPr>
                <w:sz w:val="20"/>
              </w:rPr>
              <w:t>Recién nacidos</w:t>
            </w:r>
          </w:p>
        </w:tc>
        <w:tc>
          <w:tcPr>
            <w:tcW w:w="1984" w:type="dxa"/>
          </w:tcPr>
          <w:p>
            <w:pPr>
              <w:pStyle w:val="TableParagraph"/>
              <w:tabs>
                <w:tab w:pos="1203" w:val="left" w:leader="none"/>
              </w:tabs>
              <w:spacing w:line="228" w:lineRule="exact"/>
              <w:ind w:left="103"/>
              <w:rPr>
                <w:sz w:val="20"/>
              </w:rPr>
            </w:pPr>
            <w:r>
              <w:rPr>
                <w:sz w:val="20"/>
              </w:rPr>
              <w:t>S.</w:t>
              <w:tab/>
              <w:t>aureus,</w:t>
            </w:r>
          </w:p>
          <w:p>
            <w:pPr>
              <w:pStyle w:val="TableParagraph"/>
              <w:tabs>
                <w:tab w:pos="1605" w:val="left" w:leader="none"/>
              </w:tabs>
              <w:spacing w:line="242" w:lineRule="auto"/>
              <w:ind w:left="103" w:right="101"/>
              <w:rPr>
                <w:sz w:val="20"/>
              </w:rPr>
            </w:pPr>
            <w:r>
              <w:rPr>
                <w:sz w:val="20"/>
              </w:rPr>
              <w:t>estreptococos</w:t>
              <w:tab/>
            </w:r>
            <w:r>
              <w:rPr>
                <w:spacing w:val="-1"/>
                <w:sz w:val="20"/>
              </w:rPr>
              <w:t>del </w:t>
            </w:r>
            <w:r>
              <w:rPr>
                <w:sz w:val="20"/>
              </w:rPr>
              <w:t>grupo B</w:t>
            </w:r>
          </w:p>
        </w:tc>
        <w:tc>
          <w:tcPr>
            <w:tcW w:w="1272" w:type="dxa"/>
          </w:tcPr>
          <w:p>
            <w:pPr>
              <w:pStyle w:val="TableParagraph"/>
              <w:ind w:left="108" w:right="96"/>
              <w:jc w:val="both"/>
              <w:rPr>
                <w:sz w:val="20"/>
              </w:rPr>
            </w:pPr>
            <w:r>
              <w:rPr>
                <w:sz w:val="20"/>
              </w:rPr>
              <w:t>Oxacilina + Gentamicin a</w:t>
            </w:r>
          </w:p>
        </w:tc>
      </w:tr>
      <w:tr>
        <w:trPr>
          <w:trHeight w:val="918" w:hRule="atLeast"/>
        </w:trPr>
        <w:tc>
          <w:tcPr>
            <w:tcW w:w="1244" w:type="dxa"/>
          </w:tcPr>
          <w:p>
            <w:pPr>
              <w:pStyle w:val="TableParagraph"/>
              <w:spacing w:line="242" w:lineRule="auto"/>
              <w:rPr>
                <w:sz w:val="20"/>
              </w:rPr>
            </w:pPr>
            <w:r>
              <w:rPr>
                <w:sz w:val="20"/>
              </w:rPr>
              <w:t>Niños &lt; 5 años</w:t>
            </w:r>
          </w:p>
        </w:tc>
        <w:tc>
          <w:tcPr>
            <w:tcW w:w="1984" w:type="dxa"/>
          </w:tcPr>
          <w:p>
            <w:pPr>
              <w:pStyle w:val="TableParagraph"/>
              <w:tabs>
                <w:tab w:pos="1203" w:val="left" w:leader="none"/>
              </w:tabs>
              <w:spacing w:line="226" w:lineRule="exact"/>
              <w:ind w:left="103"/>
              <w:rPr>
                <w:sz w:val="20"/>
              </w:rPr>
            </w:pPr>
            <w:r>
              <w:rPr>
                <w:sz w:val="20"/>
              </w:rPr>
              <w:t>S.</w:t>
              <w:tab/>
              <w:t>aureus,</w:t>
            </w:r>
          </w:p>
          <w:p>
            <w:pPr>
              <w:pStyle w:val="TableParagraph"/>
              <w:tabs>
                <w:tab w:pos="1086" w:val="left" w:leader="none"/>
                <w:tab w:pos="1605" w:val="left" w:leader="none"/>
                <w:tab w:pos="1686" w:val="left" w:leader="none"/>
              </w:tabs>
              <w:spacing w:before="2"/>
              <w:ind w:left="103" w:right="98"/>
              <w:rPr>
                <w:sz w:val="20"/>
              </w:rPr>
            </w:pPr>
            <w:r>
              <w:rPr>
                <w:sz w:val="20"/>
              </w:rPr>
              <w:t>estreptococos</w:t>
              <w:tab/>
              <w:t>del grupo</w:t>
              <w:tab/>
              <w:t>A</w:t>
              <w:tab/>
              <w:tab/>
            </w:r>
            <w:r>
              <w:rPr>
                <w:spacing w:val="-1"/>
                <w:sz w:val="20"/>
              </w:rPr>
              <w:t>S.</w:t>
            </w:r>
          </w:p>
          <w:p>
            <w:pPr>
              <w:pStyle w:val="TableParagraph"/>
              <w:tabs>
                <w:tab w:pos="1673" w:val="left" w:leader="none"/>
              </w:tabs>
              <w:spacing w:line="211" w:lineRule="exact" w:before="2"/>
              <w:ind w:left="103"/>
              <w:rPr>
                <w:sz w:val="20"/>
              </w:rPr>
            </w:pPr>
            <w:r>
              <w:rPr>
                <w:sz w:val="20"/>
              </w:rPr>
              <w:t>pneumoniae,</w:t>
              <w:tab/>
              <w:t>H.</w:t>
            </w:r>
          </w:p>
        </w:tc>
        <w:tc>
          <w:tcPr>
            <w:tcW w:w="1272" w:type="dxa"/>
          </w:tcPr>
          <w:p>
            <w:pPr>
              <w:pStyle w:val="TableParagraph"/>
              <w:ind w:left="108" w:right="93"/>
              <w:jc w:val="both"/>
              <w:rPr>
                <w:sz w:val="20"/>
              </w:rPr>
            </w:pPr>
            <w:r>
              <w:rPr>
                <w:sz w:val="20"/>
              </w:rPr>
              <w:t>Cefalospori nas de segunda</w:t>
            </w:r>
          </w:p>
          <w:p>
            <w:pPr>
              <w:pStyle w:val="TableParagraph"/>
              <w:spacing w:line="211" w:lineRule="exact" w:before="6"/>
              <w:ind w:left="108"/>
              <w:jc w:val="both"/>
              <w:rPr>
                <w:sz w:val="20"/>
              </w:rPr>
            </w:pPr>
            <w:r>
              <w:rPr>
                <w:sz w:val="20"/>
              </w:rPr>
              <w:t>generación</w:t>
            </w:r>
          </w:p>
        </w:tc>
      </w:tr>
    </w:tbl>
    <w:p>
      <w:pPr>
        <w:pStyle w:val="BodyText"/>
        <w:rPr>
          <w:sz w:val="24"/>
        </w:rPr>
      </w:pPr>
    </w:p>
    <w:p>
      <w:pPr>
        <w:pStyle w:val="Heading4"/>
        <w:spacing w:before="183"/>
      </w:pPr>
      <w:r>
        <w:rPr/>
        <w:t>BIBLIOGRAFIA</w:t>
      </w:r>
    </w:p>
    <w:p>
      <w:pPr>
        <w:pStyle w:val="BodyText"/>
        <w:spacing w:before="10"/>
        <w:rPr>
          <w:b/>
          <w:sz w:val="28"/>
        </w:rPr>
      </w:pPr>
    </w:p>
    <w:p>
      <w:pPr>
        <w:pStyle w:val="ListParagraph"/>
        <w:numPr>
          <w:ilvl w:val="0"/>
          <w:numId w:val="27"/>
        </w:numPr>
        <w:tabs>
          <w:tab w:pos="1800" w:val="left" w:leader="none"/>
          <w:tab w:pos="1801" w:val="left" w:leader="none"/>
        </w:tabs>
        <w:spacing w:line="271" w:lineRule="auto" w:before="0" w:after="0"/>
        <w:ind w:left="1800" w:right="1433" w:hanging="360"/>
        <w:jc w:val="left"/>
        <w:rPr>
          <w:sz w:val="20"/>
        </w:rPr>
      </w:pPr>
      <w:r>
        <w:rPr>
          <w:sz w:val="20"/>
        </w:rPr>
        <w:t>Mark D. Miller. Ortopedia y Traumatología. Revisión Sistemática. Quinta edición, Capítulo 1. Página 88 –</w:t>
      </w:r>
      <w:r>
        <w:rPr>
          <w:spacing w:val="0"/>
          <w:sz w:val="20"/>
        </w:rPr>
        <w:t> </w:t>
      </w:r>
      <w:r>
        <w:rPr>
          <w:sz w:val="20"/>
        </w:rPr>
        <w:t>89.</w:t>
      </w:r>
    </w:p>
    <w:p>
      <w:pPr>
        <w:pStyle w:val="ListParagraph"/>
        <w:numPr>
          <w:ilvl w:val="0"/>
          <w:numId w:val="27"/>
        </w:numPr>
        <w:tabs>
          <w:tab w:pos="1800" w:val="left" w:leader="none"/>
          <w:tab w:pos="1801" w:val="left" w:leader="none"/>
        </w:tabs>
        <w:spacing w:line="240" w:lineRule="auto" w:before="7" w:after="0"/>
        <w:ind w:left="1800" w:right="0" w:hanging="360"/>
        <w:jc w:val="left"/>
        <w:rPr>
          <w:sz w:val="20"/>
        </w:rPr>
      </w:pPr>
      <w:r>
        <w:rPr>
          <w:sz w:val="20"/>
        </w:rPr>
        <w:t>Essentials AAOS. Essentials of Musculoskeletal Care. Fifth Edition. Section , paginas</w:t>
      </w:r>
      <w:r>
        <w:rPr>
          <w:spacing w:val="-1"/>
          <w:sz w:val="20"/>
        </w:rPr>
        <w:t> </w:t>
      </w:r>
      <w:r>
        <w:rPr>
          <w:sz w:val="20"/>
        </w:rPr>
        <w:t>147-151.</w:t>
      </w:r>
    </w:p>
    <w:p>
      <w:pPr>
        <w:pStyle w:val="ListParagraph"/>
        <w:numPr>
          <w:ilvl w:val="0"/>
          <w:numId w:val="27"/>
        </w:numPr>
        <w:tabs>
          <w:tab w:pos="1800" w:val="left" w:leader="none"/>
          <w:tab w:pos="1801" w:val="left" w:leader="none"/>
        </w:tabs>
        <w:spacing w:line="240" w:lineRule="auto" w:before="31" w:after="0"/>
        <w:ind w:left="1800" w:right="0" w:hanging="360"/>
        <w:jc w:val="left"/>
        <w:rPr>
          <w:sz w:val="20"/>
        </w:rPr>
      </w:pPr>
      <w:r>
        <w:rPr>
          <w:sz w:val="20"/>
        </w:rPr>
        <w:t>Netter, Atlas Práctico de Anatomía Ortopédica. Segunda edición, Capitulo 1, paginas</w:t>
      </w:r>
      <w:r>
        <w:rPr>
          <w:spacing w:val="-9"/>
          <w:sz w:val="20"/>
        </w:rPr>
        <w:t> </w:t>
      </w:r>
      <w:r>
        <w:rPr>
          <w:sz w:val="20"/>
        </w:rPr>
        <w:t>30.</w:t>
      </w:r>
    </w:p>
    <w:p>
      <w:pPr>
        <w:pStyle w:val="ListParagraph"/>
        <w:numPr>
          <w:ilvl w:val="0"/>
          <w:numId w:val="27"/>
        </w:numPr>
        <w:tabs>
          <w:tab w:pos="1800" w:val="left" w:leader="none"/>
          <w:tab w:pos="1801" w:val="left" w:leader="none"/>
        </w:tabs>
        <w:spacing w:line="271" w:lineRule="auto" w:before="35" w:after="0"/>
        <w:ind w:left="1800" w:right="1432" w:hanging="360"/>
        <w:jc w:val="left"/>
        <w:rPr>
          <w:sz w:val="20"/>
        </w:rPr>
      </w:pPr>
      <w:r>
        <w:rPr>
          <w:sz w:val="20"/>
        </w:rPr>
        <w:t>Dennis L. Kasper, Anthoni S. Fauci. Harrion„s of Infectious diseases, Second Edition. Capítulo 24. Paginas</w:t>
      </w:r>
      <w:r>
        <w:rPr>
          <w:spacing w:val="-4"/>
          <w:sz w:val="20"/>
        </w:rPr>
        <w:t> </w:t>
      </w:r>
      <w:r>
        <w:rPr>
          <w:sz w:val="20"/>
        </w:rPr>
        <w:t>563-576</w:t>
      </w:r>
    </w:p>
    <w:p>
      <w:pPr>
        <w:pStyle w:val="BodyText"/>
        <w:spacing w:before="4"/>
        <w:rPr>
          <w:sz w:val="23"/>
        </w:rPr>
      </w:pPr>
    </w:p>
    <w:p>
      <w:pPr>
        <w:tabs>
          <w:tab w:pos="7694" w:val="left" w:leader="none"/>
        </w:tabs>
        <w:spacing w:before="0"/>
        <w:ind w:left="1440" w:right="0" w:firstLine="0"/>
        <w:jc w:val="left"/>
        <w:rPr>
          <w:sz w:val="20"/>
        </w:rPr>
      </w:pPr>
      <w:r>
        <w:rPr>
          <w:sz w:val="20"/>
        </w:rPr>
        <w:t>Recepción: 30 Noviembre</w:t>
      </w:r>
      <w:r>
        <w:rPr>
          <w:spacing w:val="-2"/>
          <w:sz w:val="20"/>
        </w:rPr>
        <w:t> </w:t>
      </w:r>
      <w:r>
        <w:rPr>
          <w:sz w:val="20"/>
        </w:rPr>
        <w:t>de</w:t>
      </w:r>
      <w:r>
        <w:rPr>
          <w:spacing w:val="-2"/>
          <w:sz w:val="20"/>
        </w:rPr>
        <w:t> </w:t>
      </w:r>
      <w:r>
        <w:rPr>
          <w:sz w:val="20"/>
        </w:rPr>
        <w:t>2016</w:t>
        <w:tab/>
        <w:t>Aprobación:15 Diciembre de</w:t>
      </w:r>
      <w:r>
        <w:rPr>
          <w:spacing w:val="1"/>
          <w:sz w:val="20"/>
        </w:rPr>
        <w:t> </w:t>
      </w:r>
      <w:r>
        <w:rPr>
          <w:sz w:val="20"/>
        </w:rPr>
        <w:t>2016</w:t>
      </w:r>
    </w:p>
    <w:p>
      <w:pPr>
        <w:spacing w:after="0"/>
        <w:jc w:val="left"/>
        <w:rPr>
          <w:sz w:val="20"/>
        </w:rPr>
        <w:sectPr>
          <w:headerReference w:type="default" r:id="rId68"/>
          <w:footerReference w:type="default" r:id="rId69"/>
          <w:footerReference w:type="even" r:id="rId70"/>
          <w:pgSz w:w="12240" w:h="15840"/>
          <w:pgMar w:header="722" w:footer="882" w:top="940" w:bottom="1080" w:left="0" w:right="0"/>
          <w:pgNumType w:start="25"/>
        </w:sectPr>
      </w:pPr>
    </w:p>
    <w:p>
      <w:pPr>
        <w:spacing w:before="78"/>
        <w:ind w:left="1544" w:right="0" w:firstLine="0"/>
        <w:jc w:val="left"/>
        <w:rPr>
          <w:sz w:val="16"/>
        </w:rPr>
      </w:pPr>
      <w:r>
        <w:rPr/>
        <w:pict>
          <v:group style="position:absolute;margin-left:72.199997pt;margin-top:4.183923pt;width:472.3pt;height:392.05pt;mso-position-horizontal-relative:page;mso-position-vertical-relative:paragraph;z-index:-64528" coordorigin="1444,84" coordsize="9446,7841">
            <v:shape style="position:absolute;left:3375;top:1369;width:7515;height:6555" type="#_x0000_t75" stroked="false">
              <v:imagedata r:id="rId64" o:title=""/>
            </v:shape>
            <v:shape style="position:absolute;left:1444;top:83;width:1928;height:7836" type="#_x0000_t75" stroked="false">
              <v:imagedata r:id="rId65" o:title=""/>
            </v:shape>
            <w10:wrap type="none"/>
          </v:group>
        </w:pict>
      </w:r>
      <w:r>
        <w:rPr>
          <w:sz w:val="16"/>
        </w:rPr>
        <w:t>Revista Médica</w:t>
      </w:r>
      <w:r>
        <w:rPr>
          <w:spacing w:val="-12"/>
          <w:sz w:val="16"/>
        </w:rPr>
        <w:t> </w:t>
      </w:r>
      <w:r>
        <w:rPr>
          <w:sz w:val="16"/>
        </w:rPr>
        <w:t>Sinergia</w:t>
      </w:r>
    </w:p>
    <w:p>
      <w:pPr>
        <w:pStyle w:val="BodyText"/>
        <w:spacing w:before="8"/>
        <w:rPr>
          <w:sz w:val="18"/>
        </w:rPr>
      </w:pPr>
    </w:p>
    <w:p>
      <w:pPr>
        <w:spacing w:before="0"/>
        <w:ind w:left="1812" w:right="0" w:firstLine="0"/>
        <w:jc w:val="left"/>
        <w:rPr>
          <w:sz w:val="16"/>
        </w:rPr>
      </w:pPr>
      <w:r>
        <w:rPr>
          <w:sz w:val="16"/>
        </w:rPr>
        <w:t>ISSN 2215-4523</w:t>
      </w:r>
    </w:p>
    <w:p>
      <w:pPr>
        <w:spacing w:line="261" w:lineRule="auto" w:before="11"/>
        <w:ind w:left="1564" w:right="13" w:firstLine="400"/>
        <w:jc w:val="left"/>
        <w:rPr>
          <w:sz w:val="16"/>
        </w:rPr>
      </w:pPr>
      <w:r>
        <w:rPr>
          <w:sz w:val="16"/>
        </w:rPr>
        <w:t>Vol.2 Num:1 Enero 2017 pp:26 - 31</w:t>
      </w:r>
    </w:p>
    <w:p>
      <w:pPr>
        <w:pStyle w:val="Heading3"/>
        <w:ind w:left="1544"/>
      </w:pPr>
      <w:r>
        <w:rPr>
          <w:b w:val="0"/>
        </w:rPr>
        <w:br w:type="column"/>
      </w:r>
      <w:r>
        <w:rPr/>
        <w:t>PROSTATITIS</w:t>
      </w:r>
    </w:p>
    <w:p>
      <w:pPr>
        <w:spacing w:before="53"/>
        <w:ind w:left="1546" w:right="0" w:firstLine="0"/>
        <w:jc w:val="center"/>
        <w:rPr>
          <w:sz w:val="20"/>
        </w:rPr>
      </w:pPr>
      <w:r>
        <w:rPr>
          <w:sz w:val="20"/>
        </w:rPr>
        <w:t>(PROSTATITIS)</w:t>
      </w:r>
    </w:p>
    <w:p>
      <w:pPr>
        <w:pStyle w:val="BodyText"/>
        <w:rPr>
          <w:sz w:val="24"/>
        </w:rPr>
      </w:pPr>
      <w:r>
        <w:rPr/>
        <w:br w:type="column"/>
      </w:r>
      <w:r>
        <w:rPr>
          <w:sz w:val="24"/>
        </w:rPr>
      </w:r>
    </w:p>
    <w:p>
      <w:pPr>
        <w:pStyle w:val="BodyText"/>
        <w:rPr>
          <w:sz w:val="24"/>
        </w:rPr>
      </w:pPr>
    </w:p>
    <w:p>
      <w:pPr>
        <w:pStyle w:val="BodyText"/>
        <w:spacing w:before="11"/>
        <w:rPr>
          <w:sz w:val="34"/>
        </w:rPr>
      </w:pPr>
    </w:p>
    <w:p>
      <w:pPr>
        <w:pStyle w:val="ListParagraph"/>
        <w:numPr>
          <w:ilvl w:val="0"/>
          <w:numId w:val="28"/>
        </w:numPr>
        <w:tabs>
          <w:tab w:pos="888" w:val="left" w:leader="none"/>
        </w:tabs>
        <w:spacing w:line="240" w:lineRule="auto" w:before="0" w:after="0"/>
        <w:ind w:left="887" w:right="0" w:hanging="132"/>
        <w:jc w:val="left"/>
        <w:rPr>
          <w:sz w:val="22"/>
        </w:rPr>
      </w:pPr>
      <w:r>
        <w:rPr>
          <w:sz w:val="22"/>
        </w:rPr>
        <w:t>Karla León</w:t>
      </w:r>
      <w:r>
        <w:rPr>
          <w:spacing w:val="-1"/>
          <w:sz w:val="22"/>
        </w:rPr>
        <w:t> </w:t>
      </w:r>
      <w:r>
        <w:rPr>
          <w:sz w:val="22"/>
        </w:rPr>
        <w:t>Torres</w:t>
      </w:r>
    </w:p>
    <w:p>
      <w:pPr>
        <w:spacing w:after="0" w:line="240" w:lineRule="auto"/>
        <w:jc w:val="left"/>
        <w:rPr>
          <w:sz w:val="22"/>
        </w:rPr>
        <w:sectPr>
          <w:headerReference w:type="even" r:id="rId71"/>
          <w:pgSz w:w="12240" w:h="15840"/>
          <w:pgMar w:header="0" w:footer="872" w:top="1360" w:bottom="1060" w:left="0" w:right="0"/>
          <w:cols w:num="3" w:equalWidth="0">
            <w:col w:w="3265" w:space="1453"/>
            <w:col w:w="3398" w:space="39"/>
            <w:col w:w="4085"/>
          </w:cols>
        </w:sectPr>
      </w:pPr>
    </w:p>
    <w:p>
      <w:pPr>
        <w:pStyle w:val="BodyText"/>
        <w:spacing w:before="8"/>
        <w:rPr>
          <w:sz w:val="12"/>
        </w:rPr>
      </w:pPr>
    </w:p>
    <w:p>
      <w:pPr>
        <w:pStyle w:val="BodyText"/>
        <w:spacing w:before="93"/>
        <w:ind w:left="3529"/>
      </w:pPr>
      <w:r>
        <w:rPr/>
        <w:t>RESUMEN</w:t>
      </w:r>
    </w:p>
    <w:p>
      <w:pPr>
        <w:pStyle w:val="BodyText"/>
        <w:spacing w:line="276" w:lineRule="auto" w:before="39"/>
        <w:ind w:left="3529" w:right="1579"/>
      </w:pPr>
      <w:r>
        <w:rPr/>
        <w:t>Es una patología de comportamiento benigno que incluye todos aquellos procesos inflamatorios o infecciosos que afectan a la glándula prostática y está compuesta por un amplio espectro de síntomas inespecíficos del tracto genitourinario inferior, caracterizados fundamentalmente por dolor perineal o genital, síntomas miccionales y disfunción sexual en diversas manifestaciones.</w:t>
      </w:r>
    </w:p>
    <w:p>
      <w:pPr>
        <w:pStyle w:val="BodyText"/>
        <w:spacing w:before="3"/>
        <w:rPr>
          <w:sz w:val="25"/>
        </w:rPr>
      </w:pPr>
    </w:p>
    <w:p>
      <w:pPr>
        <w:pStyle w:val="BodyText"/>
        <w:ind w:left="3529"/>
      </w:pPr>
      <w:r>
        <w:rPr/>
        <w:t>DESCRIPTORES</w:t>
      </w:r>
    </w:p>
    <w:p>
      <w:pPr>
        <w:pStyle w:val="BodyText"/>
        <w:spacing w:line="276" w:lineRule="auto" w:before="38"/>
        <w:ind w:left="3529" w:right="1977"/>
      </w:pPr>
      <w:r>
        <w:rPr/>
        <w:t>Prostatitis, infección urinaria, glándula prostática, antígeno prostático específico (PSA).</w:t>
      </w:r>
    </w:p>
    <w:p>
      <w:pPr>
        <w:pStyle w:val="BodyText"/>
        <w:spacing w:before="1"/>
        <w:rPr>
          <w:sz w:val="17"/>
        </w:rPr>
      </w:pPr>
    </w:p>
    <w:p>
      <w:pPr>
        <w:spacing w:after="0"/>
        <w:rPr>
          <w:sz w:val="17"/>
        </w:rPr>
        <w:sectPr>
          <w:type w:val="continuous"/>
          <w:pgSz w:w="12240" w:h="15840"/>
          <w:pgMar w:top="1500" w:bottom="0" w:left="0" w:right="0"/>
        </w:sect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spacing w:line="259" w:lineRule="auto" w:before="0"/>
        <w:ind w:left="1444" w:right="-19" w:firstLine="0"/>
        <w:jc w:val="left"/>
        <w:rPr>
          <w:sz w:val="16"/>
        </w:rPr>
      </w:pPr>
      <w:r>
        <w:rPr>
          <w:sz w:val="16"/>
        </w:rPr>
        <w:t>*Médico General. Universidad de Ciencias Médicas (UCIMED). San José -Costa Rica</w:t>
      </w:r>
    </w:p>
    <w:p>
      <w:pPr>
        <w:pStyle w:val="BodyText"/>
        <w:spacing w:before="93"/>
        <w:ind w:left="292"/>
      </w:pPr>
      <w:r>
        <w:rPr/>
        <w:br w:type="column"/>
      </w:r>
      <w:r>
        <w:rPr/>
        <w:t>SUMMARY</w:t>
      </w:r>
    </w:p>
    <w:p>
      <w:pPr>
        <w:pStyle w:val="BodyText"/>
        <w:spacing w:line="276" w:lineRule="auto" w:before="39"/>
        <w:ind w:left="292" w:right="1381"/>
      </w:pPr>
      <w:r>
        <w:rPr/>
        <w:t>Prostatitis has referred to a clinical condition associated with infection and/or inflammation of the prostate gland and is composed by nonspecific symptoms of the lower genitourinary tract. It is mainly characterized by perineal or genital pain, voiding symptoms and sexual dysfunction in various manifestations.</w:t>
      </w:r>
    </w:p>
    <w:p>
      <w:pPr>
        <w:pStyle w:val="BodyText"/>
        <w:spacing w:before="2"/>
        <w:rPr>
          <w:sz w:val="25"/>
        </w:rPr>
      </w:pPr>
    </w:p>
    <w:p>
      <w:pPr>
        <w:pStyle w:val="BodyText"/>
        <w:spacing w:before="1"/>
        <w:ind w:left="292"/>
      </w:pPr>
      <w:r>
        <w:rPr/>
        <w:t>KEYWORDS</w:t>
      </w:r>
    </w:p>
    <w:p>
      <w:pPr>
        <w:pStyle w:val="BodyText"/>
        <w:spacing w:before="39"/>
        <w:ind w:left="292"/>
      </w:pPr>
      <w:r>
        <w:rPr/>
        <w:t>Prostatitis, urinary infection, prostate gland, prostate-specific antigen</w:t>
      </w:r>
    </w:p>
    <w:p>
      <w:pPr>
        <w:pStyle w:val="BodyText"/>
        <w:spacing w:before="39"/>
        <w:ind w:left="292"/>
      </w:pPr>
      <w:r>
        <w:rPr/>
        <w:t>(PSA).</w:t>
      </w:r>
    </w:p>
    <w:p>
      <w:pPr>
        <w:spacing w:after="0"/>
        <w:sectPr>
          <w:type w:val="continuous"/>
          <w:pgSz w:w="12240" w:h="15840"/>
          <w:pgMar w:top="1500" w:bottom="0" w:left="0" w:right="0"/>
          <w:cols w:num="2" w:equalWidth="0">
            <w:col w:w="3197" w:space="40"/>
            <w:col w:w="9003"/>
          </w:cols>
        </w:sectPr>
      </w:pPr>
    </w:p>
    <w:p>
      <w:pPr>
        <w:pStyle w:val="BodyText"/>
        <w:spacing w:before="2"/>
        <w:rPr>
          <w:sz w:val="9"/>
        </w:rPr>
      </w:pPr>
    </w:p>
    <w:p>
      <w:pPr>
        <w:spacing w:after="0"/>
        <w:rPr>
          <w:sz w:val="9"/>
        </w:rPr>
        <w:sectPr>
          <w:type w:val="continuous"/>
          <w:pgSz w:w="12240" w:h="15840"/>
          <w:pgMar w:top="1500" w:bottom="0" w:left="0" w:right="0"/>
        </w:sectPr>
      </w:pPr>
    </w:p>
    <w:p>
      <w:pPr>
        <w:pStyle w:val="BodyText"/>
        <w:rPr>
          <w:sz w:val="26"/>
        </w:rPr>
      </w:pPr>
    </w:p>
    <w:p>
      <w:pPr>
        <w:pStyle w:val="BodyText"/>
        <w:spacing w:before="5"/>
        <w:rPr>
          <w:sz w:val="20"/>
        </w:rPr>
      </w:pPr>
    </w:p>
    <w:p>
      <w:pPr>
        <w:pStyle w:val="Heading4"/>
      </w:pPr>
      <w:r>
        <w:rPr/>
        <w:t>EPIDEMIOLOGIA</w:t>
      </w:r>
    </w:p>
    <w:p>
      <w:pPr>
        <w:pStyle w:val="BodyText"/>
        <w:spacing w:before="5"/>
        <w:rPr>
          <w:b/>
          <w:sz w:val="21"/>
        </w:rPr>
      </w:pPr>
    </w:p>
    <w:p>
      <w:pPr>
        <w:pStyle w:val="BodyText"/>
        <w:spacing w:line="276" w:lineRule="auto"/>
        <w:ind w:left="1440"/>
        <w:jc w:val="both"/>
      </w:pPr>
      <w:r>
        <w:rPr/>
        <w:t>La prostatitis es </w:t>
      </w:r>
      <w:r>
        <w:rPr>
          <w:spacing w:val="-3"/>
        </w:rPr>
        <w:t>la </w:t>
      </w:r>
      <w:r>
        <w:rPr/>
        <w:t>infección urinaria parenquimatosa más frecuente en el varón entre </w:t>
      </w:r>
      <w:r>
        <w:rPr>
          <w:spacing w:val="-3"/>
        </w:rPr>
        <w:t>la </w:t>
      </w:r>
      <w:r>
        <w:rPr/>
        <w:t>segunda y cuarta década de  </w:t>
      </w:r>
      <w:r>
        <w:rPr>
          <w:spacing w:val="-3"/>
        </w:rPr>
        <w:t>la </w:t>
      </w:r>
      <w:r>
        <w:rPr/>
        <w:t>vida. Datos epidemiológicos de Norteamérica, Europa y Asia sugieren que del 2-4% de los adultos presentan síntomas compatibles con prostatitis crónica en algún momento de su</w:t>
      </w:r>
      <w:r>
        <w:rPr>
          <w:spacing w:val="-5"/>
        </w:rPr>
        <w:t> </w:t>
      </w:r>
      <w:r>
        <w:rPr/>
        <w:t>vida.</w:t>
      </w:r>
    </w:p>
    <w:p>
      <w:pPr>
        <w:pStyle w:val="BodyText"/>
        <w:spacing w:line="276" w:lineRule="auto" w:before="202"/>
        <w:ind w:left="1440"/>
        <w:jc w:val="both"/>
      </w:pPr>
      <w:r>
        <w:rPr/>
        <w:t>La prevalencia de síntomas asociados a la próstata es de 2-10% en los varones y solo en un 10% de todos los episodios de prostatitis se llega a demostrar una causa bacteriana</w:t>
      </w:r>
    </w:p>
    <w:p>
      <w:pPr>
        <w:pStyle w:val="BodyText"/>
        <w:spacing w:line="276" w:lineRule="auto" w:before="93"/>
        <w:ind w:left="681" w:right="1433"/>
        <w:jc w:val="both"/>
      </w:pPr>
      <w:r>
        <w:rPr/>
        <w:br w:type="column"/>
      </w:r>
      <w:r>
        <w:rPr/>
        <w:t>Estratificada por edad, la prostatitis se identifica en sujetos menores de 50 años en el 11% de los casos y en el 8.5% de los mayores de esta edad</w:t>
      </w:r>
    </w:p>
    <w:p>
      <w:pPr>
        <w:pStyle w:val="BodyText"/>
        <w:spacing w:line="276" w:lineRule="auto" w:before="202"/>
        <w:ind w:left="681" w:right="1432"/>
        <w:jc w:val="both"/>
      </w:pPr>
      <w:r>
        <w:rPr/>
        <w:t>La prostatitis tiene cuatro categorías de clasificación, en el 90% de los casos </w:t>
      </w:r>
      <w:r>
        <w:rPr>
          <w:spacing w:val="-3"/>
        </w:rPr>
        <w:t>la </w:t>
      </w:r>
      <w:r>
        <w:rPr/>
        <w:t>causa es no bacteriana y solo en un 7% de los casos se clasifica como prostatitis bacteriana crónica, sin embargo esta es </w:t>
      </w:r>
      <w:r>
        <w:rPr>
          <w:spacing w:val="-3"/>
        </w:rPr>
        <w:t>la </w:t>
      </w:r>
      <w:r>
        <w:rPr/>
        <w:t>principal causa de infección urinaria recurrente en el varón. En los pacientes diagnosticados con síndrome doloroso pelviano un 48% pertenecen a </w:t>
      </w:r>
      <w:r>
        <w:rPr>
          <w:spacing w:val="-3"/>
        </w:rPr>
        <w:t>la </w:t>
      </w:r>
      <w:r>
        <w:rPr/>
        <w:t>categoría IIIA, un 38% a </w:t>
      </w:r>
      <w:r>
        <w:rPr>
          <w:spacing w:val="-3"/>
        </w:rPr>
        <w:t>la </w:t>
      </w:r>
      <w:r>
        <w:rPr/>
        <w:t>IIIB y el 14% restante como una prostatitis crónica</w:t>
      </w:r>
      <w:r>
        <w:rPr>
          <w:spacing w:val="-10"/>
        </w:rPr>
        <w:t> </w:t>
      </w:r>
      <w:r>
        <w:rPr/>
        <w:t>bacteriana.</w:t>
      </w:r>
    </w:p>
    <w:p>
      <w:pPr>
        <w:spacing w:after="0" w:line="276" w:lineRule="auto"/>
        <w:jc w:val="both"/>
        <w:sectPr>
          <w:type w:val="continuous"/>
          <w:pgSz w:w="12240" w:h="15840"/>
          <w:pgMar w:top="1500" w:bottom="0" w:left="0" w:right="0"/>
          <w:cols w:num="2" w:equalWidth="0">
            <w:col w:w="5761" w:space="40"/>
            <w:col w:w="6439"/>
          </w:cols>
        </w:sectPr>
      </w:pPr>
    </w:p>
    <w:p>
      <w:pPr>
        <w:pStyle w:val="BodyText"/>
        <w:rPr>
          <w:sz w:val="20"/>
        </w:rPr>
      </w:pPr>
    </w:p>
    <w:p>
      <w:pPr>
        <w:spacing w:after="0"/>
        <w:rPr>
          <w:sz w:val="20"/>
        </w:rPr>
        <w:sectPr>
          <w:headerReference w:type="default" r:id="rId72"/>
          <w:headerReference w:type="even" r:id="rId73"/>
          <w:footerReference w:type="default" r:id="rId74"/>
          <w:footerReference w:type="even" r:id="rId75"/>
          <w:pgSz w:w="12240" w:h="15840"/>
          <w:pgMar w:header="722" w:footer="882" w:top="940" w:bottom="1080" w:left="0" w:right="0"/>
          <w:pgNumType w:start="27"/>
        </w:sectPr>
      </w:pPr>
    </w:p>
    <w:p>
      <w:pPr>
        <w:pStyle w:val="BodyText"/>
        <w:spacing w:before="6"/>
      </w:pPr>
    </w:p>
    <w:p>
      <w:pPr>
        <w:pStyle w:val="Heading4"/>
      </w:pPr>
      <w:r>
        <w:rPr/>
        <w:t>ETIOPATOGENIA</w:t>
      </w:r>
    </w:p>
    <w:p>
      <w:pPr>
        <w:pStyle w:val="BodyText"/>
        <w:spacing w:before="1"/>
        <w:rPr>
          <w:b/>
          <w:sz w:val="21"/>
        </w:rPr>
      </w:pPr>
    </w:p>
    <w:p>
      <w:pPr>
        <w:pStyle w:val="BodyText"/>
        <w:spacing w:line="276" w:lineRule="auto"/>
        <w:ind w:left="1440"/>
        <w:jc w:val="both"/>
      </w:pPr>
      <w:r>
        <w:rPr/>
        <w:pict>
          <v:shape style="position:absolute;margin-left:66.425003pt;margin-top:184.757858pt;width:223.7pt;height:398.15pt;mso-position-horizontal-relative:page;mso-position-vertical-relative:paragraph;z-index:1672"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08"/>
                    <w:gridCol w:w="2653"/>
                  </w:tblGrid>
                  <w:tr>
                    <w:trPr>
                      <w:trHeight w:val="554" w:hRule="atLeast"/>
                    </w:trPr>
                    <w:tc>
                      <w:tcPr>
                        <w:tcW w:w="4461" w:type="dxa"/>
                        <w:gridSpan w:val="2"/>
                      </w:tcPr>
                      <w:p>
                        <w:pPr>
                          <w:pStyle w:val="TableParagraph"/>
                          <w:spacing w:line="250" w:lineRule="exact"/>
                          <w:ind w:left="70"/>
                          <w:rPr>
                            <w:sz w:val="20"/>
                          </w:rPr>
                        </w:pPr>
                        <w:r>
                          <w:rPr>
                            <w:b/>
                            <w:sz w:val="22"/>
                          </w:rPr>
                          <w:t>Tabla1. </w:t>
                        </w:r>
                        <w:r>
                          <w:rPr>
                            <w:sz w:val="20"/>
                          </w:rPr>
                          <w:t>Clasificación del Instituto Nacional de</w:t>
                        </w:r>
                      </w:p>
                      <w:p>
                        <w:pPr>
                          <w:pStyle w:val="TableParagraph"/>
                          <w:spacing w:before="37"/>
                          <w:ind w:left="70"/>
                          <w:rPr>
                            <w:sz w:val="20"/>
                          </w:rPr>
                        </w:pPr>
                        <w:r>
                          <w:rPr>
                            <w:sz w:val="20"/>
                          </w:rPr>
                          <w:t>la Salud</w:t>
                        </w:r>
                      </w:p>
                    </w:tc>
                  </w:tr>
                  <w:tr>
                    <w:trPr>
                      <w:trHeight w:val="1322" w:hRule="atLeast"/>
                    </w:trPr>
                    <w:tc>
                      <w:tcPr>
                        <w:tcW w:w="1808" w:type="dxa"/>
                      </w:tcPr>
                      <w:p>
                        <w:pPr>
                          <w:pStyle w:val="TableParagraph"/>
                          <w:spacing w:line="229" w:lineRule="exact"/>
                          <w:rPr>
                            <w:sz w:val="20"/>
                          </w:rPr>
                        </w:pPr>
                        <w:r>
                          <w:rPr>
                            <w:sz w:val="20"/>
                          </w:rPr>
                          <w:t>Categoría I</w:t>
                        </w:r>
                      </w:p>
                    </w:tc>
                    <w:tc>
                      <w:tcPr>
                        <w:tcW w:w="2653" w:type="dxa"/>
                      </w:tcPr>
                      <w:p>
                        <w:pPr>
                          <w:pStyle w:val="TableParagraph"/>
                          <w:spacing w:line="237" w:lineRule="auto" w:before="1"/>
                          <w:ind w:right="648"/>
                          <w:rPr>
                            <w:sz w:val="20"/>
                          </w:rPr>
                        </w:pPr>
                        <w:r>
                          <w:rPr>
                            <w:sz w:val="20"/>
                          </w:rPr>
                          <w:t>Prostatitis bacteriana aguda:</w:t>
                        </w:r>
                      </w:p>
                      <w:p>
                        <w:pPr>
                          <w:pStyle w:val="TableParagraph"/>
                          <w:spacing w:before="6"/>
                          <w:ind w:left="0"/>
                          <w:rPr>
                            <w:sz w:val="17"/>
                          </w:rPr>
                        </w:pPr>
                      </w:p>
                      <w:p>
                        <w:pPr>
                          <w:pStyle w:val="TableParagraph"/>
                          <w:ind w:right="614"/>
                          <w:rPr>
                            <w:sz w:val="20"/>
                          </w:rPr>
                        </w:pPr>
                        <w:r>
                          <w:rPr>
                            <w:sz w:val="20"/>
                          </w:rPr>
                          <w:t>Infección aguda de la glándula prostática</w:t>
                        </w:r>
                      </w:p>
                    </w:tc>
                  </w:tr>
                  <w:tr>
                    <w:trPr>
                      <w:trHeight w:val="1550" w:hRule="atLeast"/>
                    </w:trPr>
                    <w:tc>
                      <w:tcPr>
                        <w:tcW w:w="1808" w:type="dxa"/>
                      </w:tcPr>
                      <w:p>
                        <w:pPr>
                          <w:pStyle w:val="TableParagraph"/>
                          <w:spacing w:line="225" w:lineRule="exact"/>
                          <w:rPr>
                            <w:sz w:val="20"/>
                          </w:rPr>
                        </w:pPr>
                        <w:r>
                          <w:rPr>
                            <w:sz w:val="20"/>
                          </w:rPr>
                          <w:t>Categoría II</w:t>
                        </w:r>
                      </w:p>
                    </w:tc>
                    <w:tc>
                      <w:tcPr>
                        <w:tcW w:w="2653" w:type="dxa"/>
                      </w:tcPr>
                      <w:p>
                        <w:pPr>
                          <w:pStyle w:val="TableParagraph"/>
                          <w:spacing w:line="242" w:lineRule="auto"/>
                          <w:ind w:right="648"/>
                          <w:rPr>
                            <w:sz w:val="20"/>
                          </w:rPr>
                        </w:pPr>
                        <w:r>
                          <w:rPr>
                            <w:sz w:val="20"/>
                          </w:rPr>
                          <w:t>Prostatitis bacteriana crónica:</w:t>
                        </w:r>
                      </w:p>
                      <w:p>
                        <w:pPr>
                          <w:pStyle w:val="TableParagraph"/>
                          <w:spacing w:before="4"/>
                          <w:ind w:left="0"/>
                          <w:rPr>
                            <w:sz w:val="17"/>
                          </w:rPr>
                        </w:pPr>
                      </w:p>
                      <w:p>
                        <w:pPr>
                          <w:pStyle w:val="TableParagraph"/>
                          <w:spacing w:before="1"/>
                          <w:ind w:right="692"/>
                          <w:rPr>
                            <w:sz w:val="20"/>
                          </w:rPr>
                        </w:pPr>
                        <w:r>
                          <w:rPr>
                            <w:sz w:val="20"/>
                          </w:rPr>
                          <w:t>Infección urinaria recurrente. Infección crónica prostática.</w:t>
                        </w:r>
                      </w:p>
                    </w:tc>
                  </w:tr>
                  <w:tr>
                    <w:trPr>
                      <w:trHeight w:val="2470" w:hRule="atLeast"/>
                    </w:trPr>
                    <w:tc>
                      <w:tcPr>
                        <w:tcW w:w="1808" w:type="dxa"/>
                      </w:tcPr>
                      <w:p>
                        <w:pPr>
                          <w:pStyle w:val="TableParagraph"/>
                          <w:spacing w:line="225" w:lineRule="exact"/>
                          <w:rPr>
                            <w:sz w:val="20"/>
                          </w:rPr>
                        </w:pPr>
                        <w:r>
                          <w:rPr>
                            <w:sz w:val="20"/>
                          </w:rPr>
                          <w:t>Categoría III</w:t>
                        </w:r>
                      </w:p>
                    </w:tc>
                    <w:tc>
                      <w:tcPr>
                        <w:tcW w:w="2653" w:type="dxa"/>
                      </w:tcPr>
                      <w:p>
                        <w:pPr>
                          <w:pStyle w:val="TableParagraph"/>
                          <w:ind w:right="114"/>
                          <w:rPr>
                            <w:sz w:val="20"/>
                          </w:rPr>
                        </w:pPr>
                        <w:r>
                          <w:rPr>
                            <w:sz w:val="20"/>
                          </w:rPr>
                          <w:t>Prostatitis abacteriana crónica/ Síndrome de dolor pélvico crónico (mínimo 3 meses):</w:t>
                        </w:r>
                      </w:p>
                      <w:p>
                        <w:pPr>
                          <w:pStyle w:val="TableParagraph"/>
                          <w:spacing w:before="7"/>
                          <w:ind w:left="0"/>
                          <w:rPr>
                            <w:sz w:val="17"/>
                          </w:rPr>
                        </w:pPr>
                      </w:p>
                      <w:p>
                        <w:pPr>
                          <w:pStyle w:val="TableParagraph"/>
                          <w:ind w:right="148"/>
                          <w:rPr>
                            <w:sz w:val="20"/>
                          </w:rPr>
                        </w:pPr>
                        <w:r>
                          <w:rPr>
                            <w:sz w:val="20"/>
                          </w:rPr>
                          <w:t>IIIa: síndrome de dolor pélvico crónico infamatorio IIIb: síndrome de dolor pélvico crónico no infamatorio</w:t>
                        </w:r>
                      </w:p>
                    </w:tc>
                  </w:tr>
                  <w:tr>
                    <w:trPr>
                      <w:trHeight w:val="2006" w:hRule="atLeast"/>
                    </w:trPr>
                    <w:tc>
                      <w:tcPr>
                        <w:tcW w:w="1808" w:type="dxa"/>
                      </w:tcPr>
                      <w:p>
                        <w:pPr>
                          <w:pStyle w:val="TableParagraph"/>
                          <w:spacing w:line="225" w:lineRule="exact"/>
                          <w:rPr>
                            <w:sz w:val="20"/>
                          </w:rPr>
                        </w:pPr>
                        <w:r>
                          <w:rPr>
                            <w:sz w:val="20"/>
                          </w:rPr>
                          <w:t>Categoría IV</w:t>
                        </w:r>
                      </w:p>
                    </w:tc>
                    <w:tc>
                      <w:tcPr>
                        <w:tcW w:w="2653" w:type="dxa"/>
                      </w:tcPr>
                      <w:p>
                        <w:pPr>
                          <w:pStyle w:val="TableParagraph"/>
                          <w:spacing w:line="242" w:lineRule="auto"/>
                          <w:ind w:right="548"/>
                          <w:rPr>
                            <w:sz w:val="20"/>
                          </w:rPr>
                        </w:pPr>
                        <w:r>
                          <w:rPr>
                            <w:sz w:val="20"/>
                          </w:rPr>
                          <w:t>Prostatitis inflamatoria asintomática:</w:t>
                        </w:r>
                      </w:p>
                      <w:p>
                        <w:pPr>
                          <w:pStyle w:val="TableParagraph"/>
                          <w:spacing w:before="4"/>
                          <w:ind w:left="0"/>
                          <w:rPr>
                            <w:sz w:val="17"/>
                          </w:rPr>
                        </w:pPr>
                      </w:p>
                      <w:p>
                        <w:pPr>
                          <w:pStyle w:val="TableParagraph"/>
                          <w:spacing w:before="1"/>
                          <w:ind w:right="247"/>
                          <w:rPr>
                            <w:sz w:val="20"/>
                          </w:rPr>
                        </w:pPr>
                        <w:r>
                          <w:rPr>
                            <w:sz w:val="20"/>
                          </w:rPr>
                          <w:t>Evidencia de inflamación prostática (presencia de leucocitos en semen o en biopsia) en ausencia de sintomatología</w:t>
                        </w:r>
                      </w:p>
                    </w:tc>
                  </w:tr>
                </w:tbl>
                <w:p>
                  <w:pPr>
                    <w:pStyle w:val="BodyText"/>
                  </w:pPr>
                </w:p>
              </w:txbxContent>
            </v:textbox>
            <w10:wrap type="none"/>
          </v:shape>
        </w:pict>
      </w:r>
      <w:r>
        <w:rPr/>
        <w:t>En 1978 Drach et al. crean un sistema de clasificación de la prostatitis, el cual fue modificado y ampliado por la Instituto Nacional de la Salud (NIH) en 1995 (Tabla 1). La prostatitis aguda bacteriana (PBA) se define como una verdadera infección parenquimatosa aguda de la glándula prostática, causada por bacterias que se presentan de forma brusca y la mayoría de los pacientes tienen bacteriuria por lo que la bacteria puede aislarse con facilidad en el urocultivo.</w:t>
      </w:r>
    </w:p>
    <w:p>
      <w:pPr>
        <w:pStyle w:val="BodyText"/>
        <w:spacing w:before="8"/>
      </w:pPr>
      <w:r>
        <w:rPr/>
        <w:br w:type="column"/>
      </w:r>
      <w:r>
        <w:rPr/>
      </w:r>
    </w:p>
    <w:p>
      <w:pPr>
        <w:pStyle w:val="BodyText"/>
        <w:spacing w:line="276" w:lineRule="auto"/>
        <w:ind w:left="679" w:right="1432"/>
        <w:jc w:val="both"/>
      </w:pPr>
      <w:r>
        <w:rPr/>
        <w:t>Puede presentarse en varones de cualquier edad y </w:t>
      </w:r>
      <w:r>
        <w:rPr>
          <w:spacing w:val="-3"/>
        </w:rPr>
        <w:t>la </w:t>
      </w:r>
      <w:r>
        <w:rPr/>
        <w:t>llegada de las bacterias normalmente es retrógrada a partir del tracto urinario inferior o a través de </w:t>
      </w:r>
      <w:r>
        <w:rPr>
          <w:spacing w:val="-3"/>
        </w:rPr>
        <w:t>la </w:t>
      </w:r>
      <w:r>
        <w:rPr/>
        <w:t>vía linfática desde </w:t>
      </w:r>
      <w:r>
        <w:rPr>
          <w:spacing w:val="-3"/>
        </w:rPr>
        <w:t>la </w:t>
      </w:r>
      <w:r>
        <w:rPr/>
        <w:t>zona rectal, también puede ocurrir debido a enfermedades de transmisión sexual y rara vez existe un antecedente de instrumentación uretral o de cirugía</w:t>
      </w:r>
      <w:r>
        <w:rPr>
          <w:spacing w:val="-1"/>
        </w:rPr>
        <w:t> </w:t>
      </w:r>
      <w:r>
        <w:rPr/>
        <w:t>prostática.</w:t>
      </w:r>
    </w:p>
    <w:p>
      <w:pPr>
        <w:pStyle w:val="BodyText"/>
        <w:spacing w:line="276" w:lineRule="auto" w:before="201"/>
        <w:ind w:left="679" w:right="1437"/>
        <w:jc w:val="both"/>
      </w:pPr>
      <w:r>
        <w:rPr/>
        <w:t>Los bacilos gram negativos entéricos y sobre todo la Escherichia coli son los patógenos más prevalentes</w:t>
      </w:r>
    </w:p>
    <w:p>
      <w:pPr>
        <w:pStyle w:val="BodyText"/>
        <w:spacing w:line="276" w:lineRule="auto" w:before="201"/>
        <w:ind w:left="679" w:right="1434"/>
        <w:jc w:val="both"/>
      </w:pPr>
      <w:r>
        <w:rPr/>
        <w:t>Las prostatitis crónicas tienen múltiples hipótesis en cuanto a su origen, se cree que pueden suceder debido a una obstrucción, reflujo intraductal, causas infecciosas como consecuencia de la anatomía prostática.</w:t>
      </w:r>
    </w:p>
    <w:p>
      <w:pPr>
        <w:pStyle w:val="BodyText"/>
        <w:spacing w:line="276" w:lineRule="auto" w:before="198"/>
        <w:ind w:left="679" w:right="1435"/>
        <w:jc w:val="both"/>
      </w:pPr>
      <w:r>
        <w:rPr/>
        <w:t>Estudios realizados por McNeal demostraron que la zona periférica de la próstata es el sitio donde más ocurre la inflamación, ya que los conductos que proceden de ella desembocan en el verumontanum o sus proximidades, por lo que en la eyaculación es más fácil que los microorganismos uretrales penetren en los conductos y originen una prostatitis ya sea por vía canalicular ascendente o retrógrada.</w:t>
      </w:r>
    </w:p>
    <w:p>
      <w:pPr>
        <w:pStyle w:val="BodyText"/>
        <w:spacing w:line="276" w:lineRule="auto" w:before="202"/>
        <w:ind w:left="679" w:right="1434"/>
        <w:jc w:val="both"/>
      </w:pPr>
      <w:r>
        <w:rPr/>
        <w:t>También existen teorías autoinmunes, venosas en </w:t>
      </w:r>
      <w:r>
        <w:rPr>
          <w:spacing w:val="-3"/>
        </w:rPr>
        <w:t>la </w:t>
      </w:r>
      <w:r>
        <w:rPr/>
        <w:t>cual </w:t>
      </w:r>
      <w:r>
        <w:rPr>
          <w:spacing w:val="-3"/>
        </w:rPr>
        <w:t>la </w:t>
      </w:r>
      <w:r>
        <w:rPr/>
        <w:t>disfunción del retorno venoso del plexo pelviano sería </w:t>
      </w:r>
      <w:r>
        <w:rPr>
          <w:spacing w:val="-3"/>
        </w:rPr>
        <w:t>la </w:t>
      </w:r>
      <w:r>
        <w:rPr/>
        <w:t>responsable de las manifestaciones protáticas y por último </w:t>
      </w:r>
      <w:r>
        <w:rPr>
          <w:spacing w:val="-3"/>
        </w:rPr>
        <w:t>la </w:t>
      </w:r>
      <w:r>
        <w:rPr/>
        <w:t>teoría de disfunción neuromuscular en </w:t>
      </w:r>
      <w:r>
        <w:rPr>
          <w:spacing w:val="-3"/>
        </w:rPr>
        <w:t>la </w:t>
      </w:r>
      <w:r>
        <w:rPr/>
        <w:t>cual se considera </w:t>
      </w:r>
      <w:r>
        <w:rPr>
          <w:spacing w:val="-3"/>
        </w:rPr>
        <w:t>la </w:t>
      </w:r>
      <w:r>
        <w:rPr/>
        <w:t>prostatitis como un tipo enfermedad psicosomática que provocaría una alteración funcional neuromuscular pélvica, con el consiguiente incremento de </w:t>
      </w:r>
      <w:r>
        <w:rPr>
          <w:spacing w:val="-3"/>
        </w:rPr>
        <w:t>la </w:t>
      </w:r>
      <w:r>
        <w:rPr/>
        <w:t>presión uretral proximal facilitando el reflujo de orina hacia las glándulas prostáticas.</w:t>
      </w:r>
    </w:p>
    <w:p>
      <w:pPr>
        <w:spacing w:after="0" w:line="276" w:lineRule="auto"/>
        <w:jc w:val="both"/>
        <w:sectPr>
          <w:type w:val="continuous"/>
          <w:pgSz w:w="12240" w:h="15840"/>
          <w:pgMar w:top="1500" w:bottom="0" w:left="0" w:right="0"/>
          <w:cols w:num="2" w:equalWidth="0">
            <w:col w:w="5763" w:space="40"/>
            <w:col w:w="6437"/>
          </w:cols>
        </w:sectPr>
      </w:pPr>
    </w:p>
    <w:p>
      <w:pPr>
        <w:pStyle w:val="BodyText"/>
        <w:rPr>
          <w:sz w:val="20"/>
        </w:rPr>
      </w:pPr>
    </w:p>
    <w:p>
      <w:pPr>
        <w:spacing w:after="0"/>
        <w:rPr>
          <w:sz w:val="20"/>
        </w:rPr>
        <w:sectPr>
          <w:pgSz w:w="12240" w:h="15840"/>
          <w:pgMar w:header="722" w:footer="872" w:top="940" w:bottom="1060" w:left="0" w:right="0"/>
        </w:sectPr>
      </w:pPr>
    </w:p>
    <w:p>
      <w:pPr>
        <w:pStyle w:val="BodyText"/>
        <w:spacing w:before="8"/>
      </w:pPr>
    </w:p>
    <w:p>
      <w:pPr>
        <w:pStyle w:val="BodyText"/>
        <w:spacing w:line="276" w:lineRule="auto"/>
        <w:ind w:left="1440" w:right="2"/>
        <w:jc w:val="both"/>
      </w:pPr>
      <w:r>
        <w:rPr/>
        <w:t>La prostatitis bacteriana crónica (PBC) consiste en una inflamación prostática e infecciones recurrentes del tracto urinario. La etiología principal de </w:t>
      </w:r>
      <w:r>
        <w:rPr>
          <w:spacing w:val="-3"/>
        </w:rPr>
        <w:t>la </w:t>
      </w:r>
      <w:r>
        <w:rPr/>
        <w:t>PBC es por E. coli en el 80% de los casos y el 20% restante por Klebsiella, Proteus, P. aeruginosa o S. aureus (estos dos últimos sobre todo si existe antecedente de hospitalización y/o sondaje vesical) o enterococos. Pueden haber otros microorganismos poco frecuentes como </w:t>
      </w:r>
      <w:r>
        <w:rPr>
          <w:spacing w:val="-3"/>
        </w:rPr>
        <w:t>la </w:t>
      </w:r>
      <w:r>
        <w:rPr/>
        <w:t>Candida en diabéticos y Cryptococcus neoformans en pacientes con VIH. En algunos estudios se ha visto que infecciones por Chlamydia trachomatis también pueden causar prostatitis</w:t>
      </w:r>
      <w:r>
        <w:rPr>
          <w:spacing w:val="-15"/>
        </w:rPr>
        <w:t> </w:t>
      </w:r>
      <w:r>
        <w:rPr/>
        <w:t>crónica.</w:t>
      </w:r>
    </w:p>
    <w:p>
      <w:pPr>
        <w:pStyle w:val="BodyText"/>
        <w:spacing w:line="276" w:lineRule="auto" w:before="201"/>
        <w:ind w:left="1440" w:right="1"/>
        <w:jc w:val="both"/>
      </w:pPr>
      <w:r>
        <w:rPr/>
        <w:t>Las prostatitis bacterianas agudas y crónicas son dos entidades distintas ya que las agudas casi nunca se cronifican y las crónicas casi nunca tienen el antecedente de una aguda.</w:t>
      </w:r>
    </w:p>
    <w:p>
      <w:pPr>
        <w:pStyle w:val="BodyText"/>
        <w:spacing w:line="276" w:lineRule="auto" w:before="197"/>
        <w:ind w:left="1440"/>
        <w:jc w:val="both"/>
      </w:pPr>
      <w:r>
        <w:rPr/>
        <w:t>La prostatitis abacteriana crónica puede afectar a los hombres de cualquier edad y aunque no tiene una etiología establecida, se cree que puede estar causada por microorganismos no comunes como Chlamydia trachomatis, Ureoplasma urealyticum y Micoplasma homonis, también se cree que podría deberse a un problema inflamatorioinmunológico. Rara vez los pacientes diagnosticados con síndrome de dolor pélvico crónico (SDPC) o prostatitis crónica abacteriana tienen en su historia clínica el antecedente de un episodio previo de prostatitis aguda. El dolor pélvico crónico puede tener cuatro factores productores distintos, por </w:t>
      </w:r>
      <w:r>
        <w:rPr>
          <w:spacing w:val="-3"/>
        </w:rPr>
        <w:t>lo </w:t>
      </w:r>
      <w:r>
        <w:rPr/>
        <w:t>que se clasifica del siguientes modo: nociceptivo, inflamatorio, neuropático y disfuncional, cada uno de estos con factores desencadenantes distintos y patogenia diferente.</w:t>
      </w:r>
    </w:p>
    <w:p>
      <w:pPr>
        <w:pStyle w:val="BodyText"/>
        <w:spacing w:before="6"/>
      </w:pPr>
      <w:r>
        <w:rPr/>
        <w:br w:type="column"/>
      </w:r>
      <w:r>
        <w:rPr/>
      </w:r>
    </w:p>
    <w:p>
      <w:pPr>
        <w:pStyle w:val="Heading4"/>
        <w:ind w:left="677"/>
      </w:pPr>
      <w:r>
        <w:rPr/>
        <w:t>SINTOMATOLOGIA</w:t>
      </w:r>
    </w:p>
    <w:p>
      <w:pPr>
        <w:pStyle w:val="BodyText"/>
        <w:spacing w:before="1"/>
        <w:rPr>
          <w:b/>
          <w:sz w:val="21"/>
        </w:rPr>
      </w:pPr>
    </w:p>
    <w:p>
      <w:pPr>
        <w:pStyle w:val="BodyText"/>
        <w:spacing w:line="276" w:lineRule="auto"/>
        <w:ind w:left="677" w:right="1432"/>
        <w:jc w:val="both"/>
      </w:pPr>
      <w:r>
        <w:rPr/>
        <w:t>Entre los síntomas más comúnmente referidos por los pacientes con prostatitis aguda está el dolor pelviano el cual puede ser en las siguientes áreas: suprapúbico, próstata y área perineal (46%), escroto y testículo (39%), pene (6%), vejiga (6%) y área lumbar baja (2%). También refieren síntomas urinarios con frecuencia de tipo obstructivo (dificultad para iniciar la micción, calibre disminuido, residuo postmiccional e incluso retención aguda de orina) o de tipo irritativo (imperiosidad, polaquiuria, nicturia, disuria o tenesmo) asociando comúnmente fiebre, artralgias, mialgias y mal estado general.</w:t>
      </w:r>
    </w:p>
    <w:p>
      <w:pPr>
        <w:pStyle w:val="BodyText"/>
        <w:spacing w:line="276" w:lineRule="auto" w:before="198"/>
        <w:ind w:left="677" w:right="1435"/>
        <w:jc w:val="both"/>
      </w:pPr>
      <w:r>
        <w:rPr/>
        <w:t>En las prostatitis crónicas los síntomas son similares a </w:t>
      </w:r>
      <w:r>
        <w:rPr>
          <w:spacing w:val="-3"/>
        </w:rPr>
        <w:t>la </w:t>
      </w:r>
      <w:r>
        <w:rPr/>
        <w:t>prostatitis aguda pero sin síntomas de infección aguda, pueden ser leves e incluso el paciente puede cursar asintomático con infertilidad por alteración en el semen como única manifestación y no suele presentar síntomas sistémicos. En otras ocasiones predominan las manifestaciones sexuales como pérdida parcial o total de </w:t>
      </w:r>
      <w:r>
        <w:rPr>
          <w:spacing w:val="-3"/>
        </w:rPr>
        <w:t>la </w:t>
      </w:r>
      <w:r>
        <w:rPr/>
        <w:t>erección, hemospermia o eyaculación dolorosa o precoz. Los síntomas en estos casos duran por </w:t>
      </w:r>
      <w:r>
        <w:rPr>
          <w:spacing w:val="-3"/>
        </w:rPr>
        <w:t>lo </w:t>
      </w:r>
      <w:r>
        <w:rPr/>
        <w:t>menos 3</w:t>
      </w:r>
      <w:r>
        <w:rPr>
          <w:spacing w:val="-5"/>
        </w:rPr>
        <w:t> </w:t>
      </w:r>
      <w:r>
        <w:rPr/>
        <w:t>meses.</w:t>
      </w:r>
    </w:p>
    <w:p>
      <w:pPr>
        <w:pStyle w:val="BodyText"/>
        <w:spacing w:line="276" w:lineRule="auto" w:before="202"/>
        <w:ind w:left="677" w:right="1433"/>
        <w:jc w:val="both"/>
      </w:pPr>
      <w:r>
        <w:rPr/>
        <w:t>Algunas de las complicaciones que pueden originarse debido a una prostatitis son: una diseminación bacteriana, sepsis de origen urinario, absceso prostático, epididimitis, vasculitis seminal o pielonefritis. En pacientes con abscesos prostáticos el riesgo de fracaso del tratamiento o de recidiva es muy alto, por </w:t>
      </w:r>
      <w:r>
        <w:rPr>
          <w:spacing w:val="-3"/>
        </w:rPr>
        <w:t>lo </w:t>
      </w:r>
      <w:r>
        <w:rPr/>
        <w:t>que se recomienda el drenaje quirúrgico mediante punción guiada por ecografía y se debe incluir </w:t>
      </w:r>
      <w:r>
        <w:rPr>
          <w:spacing w:val="-3"/>
        </w:rPr>
        <w:t>la </w:t>
      </w:r>
      <w:r>
        <w:rPr/>
        <w:t>administración de antibióticos con acción contra bacterias anaerobias o</w:t>
      </w:r>
      <w:r>
        <w:rPr>
          <w:spacing w:val="-7"/>
        </w:rPr>
        <w:t> </w:t>
      </w:r>
      <w:r>
        <w:rPr>
          <w:spacing w:val="-3"/>
        </w:rPr>
        <w:t>la</w:t>
      </w:r>
    </w:p>
    <w:p>
      <w:pPr>
        <w:spacing w:after="0" w:line="276" w:lineRule="auto"/>
        <w:jc w:val="both"/>
        <w:sectPr>
          <w:type w:val="continuous"/>
          <w:pgSz w:w="12240" w:h="15840"/>
          <w:pgMar w:top="1500" w:bottom="0" w:left="0" w:right="0"/>
          <w:cols w:num="2" w:equalWidth="0">
            <w:col w:w="5765" w:space="40"/>
            <w:col w:w="6435"/>
          </w:cols>
        </w:sectPr>
      </w:pPr>
    </w:p>
    <w:p>
      <w:pPr>
        <w:pStyle w:val="BodyText"/>
        <w:rPr>
          <w:sz w:val="20"/>
        </w:rPr>
      </w:pPr>
    </w:p>
    <w:p>
      <w:pPr>
        <w:spacing w:after="0"/>
        <w:rPr>
          <w:sz w:val="20"/>
        </w:rPr>
        <w:sectPr>
          <w:pgSz w:w="12240" w:h="15840"/>
          <w:pgMar w:header="722" w:footer="882" w:top="940" w:bottom="1080" w:left="0" w:right="0"/>
        </w:sectPr>
      </w:pPr>
    </w:p>
    <w:p>
      <w:pPr>
        <w:pStyle w:val="BodyText"/>
        <w:spacing w:before="8"/>
      </w:pPr>
    </w:p>
    <w:p>
      <w:pPr>
        <w:pStyle w:val="BodyText"/>
        <w:spacing w:line="259" w:lineRule="auto"/>
        <w:ind w:left="1440" w:right="94"/>
        <w:jc w:val="both"/>
      </w:pPr>
      <w:r>
        <w:rPr/>
        <w:t>prolongación del tratamiento durante varios meses.</w:t>
      </w:r>
    </w:p>
    <w:p>
      <w:pPr>
        <w:pStyle w:val="Heading4"/>
        <w:spacing w:before="160"/>
        <w:ind w:left="1508"/>
        <w:jc w:val="both"/>
      </w:pPr>
      <w:r>
        <w:rPr/>
        <w:t>DIAGNOSTICO</w:t>
      </w:r>
    </w:p>
    <w:p>
      <w:pPr>
        <w:pStyle w:val="BodyText"/>
        <w:spacing w:before="1"/>
        <w:rPr>
          <w:b/>
          <w:sz w:val="21"/>
        </w:rPr>
      </w:pPr>
    </w:p>
    <w:p>
      <w:pPr>
        <w:pStyle w:val="BodyText"/>
        <w:spacing w:line="276" w:lineRule="auto"/>
        <w:ind w:left="1440" w:right="4"/>
        <w:jc w:val="both"/>
      </w:pPr>
      <w:r>
        <w:rPr/>
        <w:t>Como en todas las patologías, es importante realizar una adecuada exploración física, el tacto rectal es significativo en los casos de PBA ya que </w:t>
      </w:r>
      <w:r>
        <w:rPr>
          <w:spacing w:val="-3"/>
        </w:rPr>
        <w:t>la </w:t>
      </w:r>
      <w:r>
        <w:rPr/>
        <w:t>próstata se</w:t>
      </w:r>
      <w:r>
        <w:rPr>
          <w:spacing w:val="-1"/>
        </w:rPr>
        <w:t> </w:t>
      </w:r>
      <w:r>
        <w:rPr/>
        <w:t>encuentra.</w:t>
      </w:r>
    </w:p>
    <w:p>
      <w:pPr>
        <w:pStyle w:val="BodyText"/>
        <w:spacing w:line="276" w:lineRule="auto" w:before="201"/>
        <w:ind w:left="1440" w:right="5"/>
        <w:jc w:val="both"/>
      </w:pPr>
      <w:r>
        <w:rPr/>
        <w:t>aumentada de tamaño, muy sensible a la palpación y dolorosa. Sin embargo, en los casos de prostatitis crónica este estudio es meramente orientador, notándose un aumento mínimo o moderado de tamaño o sensibilidad.</w:t>
      </w:r>
    </w:p>
    <w:p>
      <w:pPr>
        <w:pStyle w:val="BodyText"/>
        <w:spacing w:line="276" w:lineRule="auto" w:before="201"/>
        <w:ind w:left="1440" w:right="6"/>
        <w:jc w:val="both"/>
      </w:pPr>
      <w:r>
        <w:rPr/>
        <w:t>En 1968 Meares y Stamey publican un método de diagnóstico basado en cultivos cuantitativos y la visualización de leucocitos en la orina fraccionada, obtenida antes y después del masaje prostático, llamada también prueba de los cuatro vasos y se debe de realizar antes de administrar el tratamiento antibiótico. (Tabla 2).</w:t>
      </w:r>
    </w:p>
    <w:p>
      <w:pPr>
        <w:pStyle w:val="BodyText"/>
        <w:spacing w:line="276" w:lineRule="auto" w:before="202"/>
        <w:ind w:left="1440"/>
        <w:jc w:val="both"/>
      </w:pPr>
      <w:r>
        <w:rPr/>
        <w:t>En esta se debe detectar al menos 103 unidades formadoras de colonias por mililitro (UFC/ml) y también se debe observar </w:t>
      </w:r>
      <w:r>
        <w:rPr>
          <w:spacing w:val="-3"/>
        </w:rPr>
        <w:t>la </w:t>
      </w:r>
      <w:r>
        <w:rPr/>
        <w:t>presencia de leucocitos. Si </w:t>
      </w:r>
      <w:r>
        <w:rPr>
          <w:spacing w:val="-3"/>
        </w:rPr>
        <w:t>la </w:t>
      </w:r>
      <w:r>
        <w:rPr/>
        <w:t>infección está localizada en </w:t>
      </w:r>
      <w:r>
        <w:rPr>
          <w:spacing w:val="-3"/>
        </w:rPr>
        <w:t>la </w:t>
      </w:r>
      <w:r>
        <w:rPr/>
        <w:t>próstata, </w:t>
      </w:r>
      <w:r>
        <w:rPr>
          <w:spacing w:val="-3"/>
        </w:rPr>
        <w:t>la </w:t>
      </w:r>
      <w:r>
        <w:rPr/>
        <w:t>cantidad de UFC/ml será como mínimo diez veces superior en las ultimas muestras (posterior al masaje prostático y en </w:t>
      </w:r>
      <w:r>
        <w:rPr>
          <w:spacing w:val="-3"/>
        </w:rPr>
        <w:t>la </w:t>
      </w:r>
      <w:r>
        <w:rPr/>
        <w:t>última micción o M4), además </w:t>
      </w:r>
      <w:r>
        <w:rPr>
          <w:spacing w:val="-3"/>
        </w:rPr>
        <w:t>la </w:t>
      </w:r>
      <w:r>
        <w:rPr/>
        <w:t>presencia de leucocitos (&gt;10-15 leucocitos por campo) suele ser mayor cuando hay afectación prostática en las muestras postmasaje. Con frecuencia se visualizan ¨cuerpos grasos ovales¨ que son macrófagos de gran tamaño con partículas de grasa y son característicos de </w:t>
      </w:r>
      <w:r>
        <w:rPr>
          <w:spacing w:val="-3"/>
        </w:rPr>
        <w:t>la </w:t>
      </w:r>
      <w:r>
        <w:rPr/>
        <w:t>respuesta inflamatoria prostática.</w:t>
      </w:r>
    </w:p>
    <w:p>
      <w:pPr>
        <w:pStyle w:val="BodyText"/>
        <w:spacing w:before="8"/>
      </w:pPr>
      <w:r>
        <w:rPr/>
        <w:br w:type="column"/>
      </w:r>
      <w:r>
        <w:rPr/>
      </w:r>
    </w:p>
    <w:p>
      <w:pPr>
        <w:pStyle w:val="BodyText"/>
        <w:spacing w:line="276" w:lineRule="auto"/>
        <w:ind w:left="675" w:right="1436"/>
        <w:jc w:val="both"/>
      </w:pPr>
      <w:r>
        <w:rPr/>
        <w:t>En </w:t>
      </w:r>
      <w:r>
        <w:rPr>
          <w:spacing w:val="-3"/>
        </w:rPr>
        <w:t>la </w:t>
      </w:r>
      <w:r>
        <w:rPr/>
        <w:t>práctica se suele realizar una prueba simplificada en </w:t>
      </w:r>
      <w:r>
        <w:rPr>
          <w:spacing w:val="-3"/>
        </w:rPr>
        <w:t>la </w:t>
      </w:r>
      <w:r>
        <w:rPr/>
        <w:t>que solamente se </w:t>
      </w:r>
      <w:r>
        <w:rPr>
          <w:spacing w:val="-3"/>
        </w:rPr>
        <w:t>le </w:t>
      </w:r>
      <w:r>
        <w:rPr/>
        <w:t>hace un cultivo cuantitativo de </w:t>
      </w:r>
      <w:r>
        <w:rPr>
          <w:spacing w:val="-3"/>
        </w:rPr>
        <w:t>la </w:t>
      </w:r>
      <w:r>
        <w:rPr/>
        <w:t>orina premasaje (M2) y </w:t>
      </w:r>
      <w:r>
        <w:rPr>
          <w:spacing w:val="-3"/>
        </w:rPr>
        <w:t>la </w:t>
      </w:r>
      <w:r>
        <w:rPr/>
        <w:t>orina postmasaje prostático (M3), ya que tiene una sensibilidad y especificidad del 91% comparada con </w:t>
      </w:r>
      <w:r>
        <w:rPr>
          <w:spacing w:val="-3"/>
        </w:rPr>
        <w:t>la </w:t>
      </w:r>
      <w:r>
        <w:rPr/>
        <w:t>de los cuatro</w:t>
      </w:r>
      <w:r>
        <w:rPr>
          <w:spacing w:val="-5"/>
        </w:rPr>
        <w:t> </w:t>
      </w:r>
      <w:r>
        <w:rPr/>
        <w:t>vasos</w:t>
      </w:r>
    </w:p>
    <w:p>
      <w:pPr>
        <w:pStyle w:val="BodyText"/>
        <w:spacing w:before="8"/>
        <w:rPr>
          <w:sz w:val="17"/>
        </w:rPr>
      </w:pPr>
    </w:p>
    <w:tbl>
      <w:tblPr>
        <w:tblW w:w="0" w:type="auto"/>
        <w:jc w:val="left"/>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73"/>
        <w:gridCol w:w="865"/>
        <w:gridCol w:w="2265"/>
      </w:tblGrid>
      <w:tr>
        <w:trPr>
          <w:trHeight w:val="290" w:hRule="atLeast"/>
        </w:trPr>
        <w:tc>
          <w:tcPr>
            <w:tcW w:w="4503" w:type="dxa"/>
            <w:gridSpan w:val="3"/>
          </w:tcPr>
          <w:p>
            <w:pPr>
              <w:pStyle w:val="TableParagraph"/>
              <w:spacing w:line="250" w:lineRule="exact"/>
              <w:ind w:left="71"/>
              <w:rPr>
                <w:sz w:val="22"/>
              </w:rPr>
            </w:pPr>
            <w:r>
              <w:rPr>
                <w:b/>
                <w:sz w:val="22"/>
              </w:rPr>
              <w:t>Tabla 2</w:t>
            </w:r>
            <w:r>
              <w:rPr>
                <w:sz w:val="22"/>
              </w:rPr>
              <w:t>. Prueba de los cuatro vasos.</w:t>
            </w:r>
          </w:p>
        </w:tc>
      </w:tr>
      <w:tr>
        <w:trPr>
          <w:trHeight w:val="1790" w:hRule="atLeast"/>
        </w:trPr>
        <w:tc>
          <w:tcPr>
            <w:tcW w:w="1373" w:type="dxa"/>
          </w:tcPr>
          <w:p>
            <w:pPr>
              <w:pStyle w:val="TableParagraph"/>
              <w:spacing w:line="229" w:lineRule="exact"/>
              <w:rPr>
                <w:sz w:val="20"/>
              </w:rPr>
            </w:pPr>
            <w:r>
              <w:rPr>
                <w:sz w:val="20"/>
              </w:rPr>
              <w:t>Miccion1</w:t>
            </w:r>
          </w:p>
        </w:tc>
        <w:tc>
          <w:tcPr>
            <w:tcW w:w="865" w:type="dxa"/>
          </w:tcPr>
          <w:p>
            <w:pPr>
              <w:pStyle w:val="TableParagraph"/>
              <w:spacing w:line="229" w:lineRule="exact"/>
              <w:ind w:left="106"/>
              <w:rPr>
                <w:sz w:val="20"/>
              </w:rPr>
            </w:pPr>
            <w:r>
              <w:rPr>
                <w:sz w:val="20"/>
              </w:rPr>
              <w:t>M1</w:t>
            </w:r>
          </w:p>
        </w:tc>
        <w:tc>
          <w:tcPr>
            <w:tcW w:w="2265" w:type="dxa"/>
          </w:tcPr>
          <w:p>
            <w:pPr>
              <w:pStyle w:val="TableParagraph"/>
              <w:tabs>
                <w:tab w:pos="1509" w:val="left" w:leader="none"/>
              </w:tabs>
              <w:spacing w:line="276" w:lineRule="auto"/>
              <w:ind w:left="106" w:right="96"/>
              <w:jc w:val="both"/>
              <w:rPr>
                <w:sz w:val="20"/>
              </w:rPr>
            </w:pPr>
            <w:r>
              <w:rPr>
                <w:sz w:val="20"/>
              </w:rPr>
              <w:t>Primeros 5-10 </w:t>
            </w:r>
            <w:r>
              <w:rPr>
                <w:spacing w:val="-4"/>
                <w:sz w:val="20"/>
              </w:rPr>
              <w:t>ml </w:t>
            </w:r>
            <w:r>
              <w:rPr>
                <w:sz w:val="20"/>
              </w:rPr>
              <w:t>de orina</w:t>
              <w:tab/>
              <w:t>emitida espontáneamente.</w:t>
            </w:r>
          </w:p>
          <w:p>
            <w:pPr>
              <w:pStyle w:val="TableParagraph"/>
              <w:spacing w:line="276" w:lineRule="auto" w:before="1"/>
              <w:ind w:left="106" w:right="98"/>
              <w:jc w:val="both"/>
              <w:rPr>
                <w:sz w:val="20"/>
              </w:rPr>
            </w:pPr>
            <w:r>
              <w:rPr>
                <w:sz w:val="20"/>
              </w:rPr>
              <w:t>Microorganismos y leucocitos de origen uretral y vesical.</w:t>
            </w:r>
          </w:p>
        </w:tc>
      </w:tr>
      <w:tr>
        <w:trPr>
          <w:trHeight w:val="2050" w:hRule="atLeast"/>
        </w:trPr>
        <w:tc>
          <w:tcPr>
            <w:tcW w:w="1373" w:type="dxa"/>
          </w:tcPr>
          <w:p>
            <w:pPr>
              <w:pStyle w:val="TableParagraph"/>
              <w:spacing w:line="226" w:lineRule="exact"/>
              <w:rPr>
                <w:sz w:val="20"/>
              </w:rPr>
            </w:pPr>
            <w:r>
              <w:rPr>
                <w:sz w:val="20"/>
              </w:rPr>
              <w:t>Miccion2</w:t>
            </w:r>
          </w:p>
        </w:tc>
        <w:tc>
          <w:tcPr>
            <w:tcW w:w="865" w:type="dxa"/>
          </w:tcPr>
          <w:p>
            <w:pPr>
              <w:pStyle w:val="TableParagraph"/>
              <w:spacing w:line="226" w:lineRule="exact"/>
              <w:ind w:left="106"/>
              <w:rPr>
                <w:sz w:val="20"/>
              </w:rPr>
            </w:pPr>
            <w:r>
              <w:rPr>
                <w:sz w:val="20"/>
              </w:rPr>
              <w:t>M2</w:t>
            </w:r>
          </w:p>
        </w:tc>
        <w:tc>
          <w:tcPr>
            <w:tcW w:w="2265" w:type="dxa"/>
          </w:tcPr>
          <w:p>
            <w:pPr>
              <w:pStyle w:val="TableParagraph"/>
              <w:tabs>
                <w:tab w:pos="1665" w:val="left" w:leader="none"/>
              </w:tabs>
              <w:spacing w:line="226" w:lineRule="exact"/>
              <w:ind w:left="106"/>
              <w:rPr>
                <w:sz w:val="20"/>
              </w:rPr>
            </w:pPr>
            <w:r>
              <w:rPr>
                <w:sz w:val="20"/>
              </w:rPr>
              <w:t>Orina</w:t>
              <w:tab/>
              <w:t>emita</w:t>
            </w:r>
          </w:p>
          <w:p>
            <w:pPr>
              <w:pStyle w:val="TableParagraph"/>
              <w:tabs>
                <w:tab w:pos="1928" w:val="left" w:leader="none"/>
                <w:tab w:pos="2048" w:val="left" w:leader="none"/>
              </w:tabs>
              <w:spacing w:line="276" w:lineRule="auto" w:before="34"/>
              <w:ind w:left="106" w:right="101"/>
              <w:rPr>
                <w:sz w:val="20"/>
              </w:rPr>
            </w:pPr>
            <w:r>
              <w:rPr>
                <w:sz w:val="20"/>
              </w:rPr>
              <w:t>espontáneamente del chorro medio (510 ml). Microorganismos</w:t>
              <w:tab/>
              <w:tab/>
              <w:t>y leucocitos principalmente</w:t>
              <w:tab/>
              <w:t>de origen vesical.</w:t>
            </w:r>
          </w:p>
        </w:tc>
      </w:tr>
      <w:tr>
        <w:trPr>
          <w:trHeight w:val="2314" w:hRule="atLeast"/>
        </w:trPr>
        <w:tc>
          <w:tcPr>
            <w:tcW w:w="1373" w:type="dxa"/>
          </w:tcPr>
          <w:p>
            <w:pPr>
              <w:pStyle w:val="TableParagraph"/>
              <w:spacing w:line="278" w:lineRule="auto"/>
              <w:ind w:right="53"/>
              <w:rPr>
                <w:sz w:val="20"/>
              </w:rPr>
            </w:pPr>
            <w:r>
              <w:rPr>
                <w:sz w:val="20"/>
              </w:rPr>
              <w:t>Secreción tras masaje prostático</w:t>
            </w:r>
          </w:p>
        </w:tc>
        <w:tc>
          <w:tcPr>
            <w:tcW w:w="865" w:type="dxa"/>
          </w:tcPr>
          <w:p>
            <w:pPr>
              <w:pStyle w:val="TableParagraph"/>
              <w:spacing w:line="280" w:lineRule="auto"/>
              <w:ind w:left="106"/>
              <w:rPr>
                <w:sz w:val="20"/>
              </w:rPr>
            </w:pPr>
            <w:r>
              <w:rPr>
                <w:sz w:val="20"/>
              </w:rPr>
              <w:t>SMP-</w:t>
            </w:r>
            <w:r>
              <w:rPr>
                <w:w w:val="100"/>
                <w:sz w:val="20"/>
              </w:rPr>
              <w:t> </w:t>
            </w:r>
            <w:r>
              <w:rPr>
                <w:sz w:val="20"/>
              </w:rPr>
              <w:t>M3</w:t>
            </w:r>
          </w:p>
        </w:tc>
        <w:tc>
          <w:tcPr>
            <w:tcW w:w="2265" w:type="dxa"/>
          </w:tcPr>
          <w:p>
            <w:pPr>
              <w:pStyle w:val="TableParagraph"/>
              <w:tabs>
                <w:tab w:pos="1632" w:val="left" w:leader="none"/>
              </w:tabs>
              <w:spacing w:line="276" w:lineRule="auto"/>
              <w:ind w:left="106" w:right="97"/>
              <w:jc w:val="both"/>
              <w:rPr>
                <w:sz w:val="20"/>
              </w:rPr>
            </w:pPr>
            <w:r>
              <w:rPr>
                <w:sz w:val="20"/>
              </w:rPr>
              <w:t>Secreciones obtenidas tras realizar un masaje prostático</w:t>
              <w:tab/>
            </w:r>
            <w:r>
              <w:rPr>
                <w:w w:val="95"/>
                <w:sz w:val="20"/>
              </w:rPr>
              <w:t>digital </w:t>
            </w:r>
            <w:r>
              <w:rPr>
                <w:sz w:val="20"/>
              </w:rPr>
              <w:t>transrectal.</w:t>
            </w:r>
          </w:p>
          <w:p>
            <w:pPr>
              <w:pStyle w:val="TableParagraph"/>
              <w:tabs>
                <w:tab w:pos="1928" w:val="left" w:leader="none"/>
                <w:tab w:pos="2048" w:val="left" w:leader="none"/>
              </w:tabs>
              <w:spacing w:line="276" w:lineRule="auto" w:before="5"/>
              <w:ind w:left="106" w:right="101"/>
              <w:rPr>
                <w:sz w:val="20"/>
              </w:rPr>
            </w:pPr>
            <w:r>
              <w:rPr>
                <w:sz w:val="20"/>
              </w:rPr>
              <w:t>Microorganismos</w:t>
              <w:tab/>
              <w:tab/>
              <w:t>y leucocitos principalmente</w:t>
              <w:tab/>
              <w:t>de origen</w:t>
            </w:r>
            <w:r>
              <w:rPr>
                <w:spacing w:val="-1"/>
                <w:sz w:val="20"/>
              </w:rPr>
              <w:t> </w:t>
            </w:r>
            <w:r>
              <w:rPr>
                <w:sz w:val="20"/>
              </w:rPr>
              <w:t>prostático.</w:t>
            </w:r>
          </w:p>
        </w:tc>
      </w:tr>
      <w:tr>
        <w:trPr>
          <w:trHeight w:val="3111" w:hRule="atLeast"/>
        </w:trPr>
        <w:tc>
          <w:tcPr>
            <w:tcW w:w="1373" w:type="dxa"/>
          </w:tcPr>
          <w:p>
            <w:pPr>
              <w:pStyle w:val="TableParagraph"/>
              <w:spacing w:line="229" w:lineRule="exact"/>
              <w:rPr>
                <w:sz w:val="20"/>
              </w:rPr>
            </w:pPr>
            <w:r>
              <w:rPr>
                <w:sz w:val="20"/>
              </w:rPr>
              <w:t>Miccion3</w:t>
            </w:r>
          </w:p>
        </w:tc>
        <w:tc>
          <w:tcPr>
            <w:tcW w:w="865" w:type="dxa"/>
          </w:tcPr>
          <w:p>
            <w:pPr>
              <w:pStyle w:val="TableParagraph"/>
              <w:spacing w:line="229" w:lineRule="exact"/>
              <w:ind w:left="106"/>
              <w:rPr>
                <w:sz w:val="20"/>
              </w:rPr>
            </w:pPr>
            <w:r>
              <w:rPr>
                <w:sz w:val="20"/>
              </w:rPr>
              <w:t>M4</w:t>
            </w:r>
          </w:p>
        </w:tc>
        <w:tc>
          <w:tcPr>
            <w:tcW w:w="2265" w:type="dxa"/>
          </w:tcPr>
          <w:p>
            <w:pPr>
              <w:pStyle w:val="TableParagraph"/>
              <w:tabs>
                <w:tab w:pos="1509" w:val="left" w:leader="none"/>
              </w:tabs>
              <w:spacing w:line="276" w:lineRule="auto"/>
              <w:ind w:left="106" w:right="96"/>
              <w:rPr>
                <w:sz w:val="20"/>
              </w:rPr>
            </w:pPr>
            <w:r>
              <w:rPr>
                <w:sz w:val="20"/>
              </w:rPr>
              <w:t>Primeros 5-10 </w:t>
            </w:r>
            <w:r>
              <w:rPr>
                <w:spacing w:val="-4"/>
                <w:sz w:val="20"/>
              </w:rPr>
              <w:t>ml </w:t>
            </w:r>
            <w:r>
              <w:rPr>
                <w:sz w:val="20"/>
              </w:rPr>
              <w:t>de orina</w:t>
              <w:tab/>
              <w:t>emitida espontáneamente inmediatamente después del masaje prostático.</w:t>
            </w:r>
          </w:p>
          <w:p>
            <w:pPr>
              <w:pStyle w:val="TableParagraph"/>
              <w:tabs>
                <w:tab w:pos="1052" w:val="left" w:leader="none"/>
                <w:tab w:pos="1928" w:val="left" w:leader="none"/>
                <w:tab w:pos="2048" w:val="left" w:leader="none"/>
              </w:tabs>
              <w:spacing w:line="276" w:lineRule="auto" w:before="5"/>
              <w:ind w:left="106" w:right="100"/>
              <w:rPr>
                <w:sz w:val="20"/>
              </w:rPr>
            </w:pPr>
            <w:r>
              <w:rPr>
                <w:sz w:val="20"/>
              </w:rPr>
              <w:t>Microorganismos</w:t>
              <w:tab/>
              <w:tab/>
              <w:t>y leucocitos principalmente</w:t>
              <w:tab/>
              <w:t>de origen</w:t>
              <w:tab/>
              <w:t>vesical</w:t>
              <w:tab/>
              <w:tab/>
              <w:t>y prostático</w:t>
            </w:r>
          </w:p>
        </w:tc>
      </w:tr>
    </w:tbl>
    <w:p>
      <w:pPr>
        <w:pStyle w:val="BodyText"/>
        <w:rPr>
          <w:sz w:val="24"/>
        </w:rPr>
      </w:pPr>
    </w:p>
    <w:p>
      <w:pPr>
        <w:pStyle w:val="BodyText"/>
        <w:spacing w:line="276" w:lineRule="auto" w:before="213"/>
        <w:ind w:left="675" w:right="1433"/>
        <w:jc w:val="both"/>
      </w:pPr>
      <w:r>
        <w:rPr/>
        <w:t>En los pacientes en los que se sospecha una infección de transmisión sexual se</w:t>
      </w:r>
    </w:p>
    <w:p>
      <w:pPr>
        <w:spacing w:after="0" w:line="276" w:lineRule="auto"/>
        <w:jc w:val="both"/>
        <w:sectPr>
          <w:type w:val="continuous"/>
          <w:pgSz w:w="12240" w:h="15840"/>
          <w:pgMar w:top="1500" w:bottom="0" w:left="0" w:right="0"/>
          <w:cols w:num="2" w:equalWidth="0">
            <w:col w:w="5767" w:space="40"/>
            <w:col w:w="6433"/>
          </w:cols>
        </w:sectPr>
      </w:pPr>
    </w:p>
    <w:p>
      <w:pPr>
        <w:pStyle w:val="BodyText"/>
        <w:rPr>
          <w:sz w:val="20"/>
        </w:rPr>
      </w:pPr>
    </w:p>
    <w:p>
      <w:pPr>
        <w:spacing w:after="0"/>
        <w:rPr>
          <w:sz w:val="20"/>
        </w:rPr>
        <w:sectPr>
          <w:footerReference w:type="even" r:id="rId76"/>
          <w:footerReference w:type="default" r:id="rId77"/>
          <w:pgSz w:w="12240" w:h="15840"/>
          <w:pgMar w:footer="872" w:header="722" w:top="940" w:bottom="1060" w:left="0" w:right="0"/>
          <w:pgNumType w:start="30"/>
        </w:sectPr>
      </w:pPr>
    </w:p>
    <w:p>
      <w:pPr>
        <w:pStyle w:val="BodyText"/>
        <w:spacing w:before="8"/>
      </w:pPr>
    </w:p>
    <w:p>
      <w:pPr>
        <w:pStyle w:val="BodyText"/>
        <w:spacing w:line="276" w:lineRule="auto"/>
        <w:ind w:left="1440" w:right="5"/>
        <w:jc w:val="both"/>
      </w:pPr>
      <w:r>
        <w:rPr/>
        <w:t>debe realizar un cultivo de secreciones uretrales e investigación especialmente para Neisseria gonorrhoeae y Chlamydia trachomatis.</w:t>
      </w:r>
    </w:p>
    <w:p>
      <w:pPr>
        <w:pStyle w:val="BodyText"/>
        <w:spacing w:line="276" w:lineRule="auto" w:before="161"/>
        <w:ind w:left="1440" w:right="1"/>
        <w:jc w:val="both"/>
      </w:pPr>
      <w:r>
        <w:rPr/>
        <w:t>En </w:t>
      </w:r>
      <w:r>
        <w:rPr>
          <w:spacing w:val="-3"/>
        </w:rPr>
        <w:t>la </w:t>
      </w:r>
      <w:r>
        <w:rPr/>
        <w:t>prostatitis bacteriana crónica (PBC) el diagnóstico en muchas ocasiones es de exclusión, más de un 30% de los pacientes diagnosticados con prostatitis crónica se quedan sin amparo etiopatogénico concluyente. En estos casos los estudios de imágenes suelen ser irrelevantes a no ser de que el paciente tenga una hipertrofia prostática (benigna o por un carcinoma), sin embargo </w:t>
      </w:r>
      <w:r>
        <w:rPr>
          <w:spacing w:val="-3"/>
        </w:rPr>
        <w:t>la </w:t>
      </w:r>
      <w:r>
        <w:rPr/>
        <w:t>ecografía transrectal y </w:t>
      </w:r>
      <w:r>
        <w:rPr>
          <w:spacing w:val="-3"/>
        </w:rPr>
        <w:t>la </w:t>
      </w:r>
      <w:r>
        <w:rPr/>
        <w:t>tomografía computarizada son útiles para evidenciar cálculos o abscesos prostáticos y </w:t>
      </w:r>
      <w:r>
        <w:rPr>
          <w:spacing w:val="-3"/>
        </w:rPr>
        <w:t>la </w:t>
      </w:r>
      <w:r>
        <w:rPr/>
        <w:t>urografía puede servir para descartar otras causas de infección. Los cambios ecográficos.</w:t>
      </w:r>
    </w:p>
    <w:p>
      <w:pPr>
        <w:pStyle w:val="BodyText"/>
        <w:spacing w:line="276" w:lineRule="auto" w:before="161"/>
        <w:ind w:left="1440"/>
        <w:jc w:val="both"/>
      </w:pPr>
      <w:r>
        <w:rPr/>
        <w:t>observados son: aumento de tamaño de </w:t>
      </w:r>
      <w:r>
        <w:rPr>
          <w:spacing w:val="-3"/>
        </w:rPr>
        <w:t>la </w:t>
      </w:r>
      <w:r>
        <w:rPr/>
        <w:t>próstata, asimetría de los lóbulos prostáticos, incremento del diámetro de los plexos venosos periprostáticos, nódulos hiperecogénicos en </w:t>
      </w:r>
      <w:r>
        <w:rPr>
          <w:spacing w:val="-3"/>
        </w:rPr>
        <w:t>la </w:t>
      </w:r>
      <w:r>
        <w:rPr/>
        <w:t>próstata externa, evidencia de litiasis intraprostática, presencia de halos hipoecoicos periuretrales o calcificaciones entre </w:t>
      </w:r>
      <w:r>
        <w:rPr>
          <w:spacing w:val="-3"/>
        </w:rPr>
        <w:t>la </w:t>
      </w:r>
      <w:r>
        <w:rPr/>
        <w:t>zona de transición y </w:t>
      </w:r>
      <w:r>
        <w:rPr>
          <w:spacing w:val="-3"/>
        </w:rPr>
        <w:t>la</w:t>
      </w:r>
      <w:r>
        <w:rPr>
          <w:spacing w:val="-1"/>
        </w:rPr>
        <w:t> </w:t>
      </w:r>
      <w:r>
        <w:rPr/>
        <w:t>capsula.</w:t>
      </w:r>
    </w:p>
    <w:p>
      <w:pPr>
        <w:pStyle w:val="BodyText"/>
        <w:spacing w:line="276" w:lineRule="auto" w:before="157"/>
        <w:ind w:left="1440" w:right="3"/>
        <w:jc w:val="both"/>
      </w:pPr>
      <w:r>
        <w:rPr/>
        <w:t>Los individuos en los que la biopsia de próstata realizada por sospecha de cáncer prostático reporta únicamente inflamación, estadísticamente tienen posibilidades más altas de padecer de cáncer de próstata en cinco años que los que no tienen inflamación.</w:t>
      </w:r>
    </w:p>
    <w:p>
      <w:pPr>
        <w:pStyle w:val="BodyText"/>
        <w:spacing w:line="276" w:lineRule="auto" w:before="161"/>
        <w:ind w:left="1440" w:right="1"/>
        <w:jc w:val="both"/>
      </w:pPr>
      <w:r>
        <w:rPr/>
        <w:t>En cuanto a los estudios bioquímicos, el antígeno prostático específico (PSA) total en sangre aumenta en </w:t>
      </w:r>
      <w:r>
        <w:rPr>
          <w:spacing w:val="-3"/>
        </w:rPr>
        <w:t>la </w:t>
      </w:r>
      <w:r>
        <w:rPr/>
        <w:t>PBA y se normaliza con su resolución. Por el contrario, en las categorías restantes solo resulta anormal en el 6-15% de los casos. Sin embargo </w:t>
      </w:r>
      <w:r>
        <w:rPr>
          <w:spacing w:val="-3"/>
        </w:rPr>
        <w:t>la </w:t>
      </w:r>
      <w:r>
        <w:rPr/>
        <w:t>presencia de un valor</w:t>
      </w:r>
      <w:r>
        <w:rPr>
          <w:spacing w:val="6"/>
        </w:rPr>
        <w:t> </w:t>
      </w:r>
      <w:r>
        <w:rPr/>
        <w:t>alto</w:t>
      </w:r>
    </w:p>
    <w:p>
      <w:pPr>
        <w:pStyle w:val="BodyText"/>
        <w:spacing w:before="8"/>
      </w:pPr>
      <w:r>
        <w:rPr/>
        <w:br w:type="column"/>
      </w:r>
      <w:r>
        <w:rPr/>
      </w:r>
    </w:p>
    <w:p>
      <w:pPr>
        <w:pStyle w:val="BodyText"/>
        <w:spacing w:line="276" w:lineRule="auto"/>
        <w:ind w:left="675" w:right="1433"/>
        <w:jc w:val="both"/>
      </w:pPr>
      <w:r>
        <w:rPr/>
        <w:t>mantenido tras un episodio de prostatitis crónica obliga siempre a descartar un cáncer de próstata.</w:t>
      </w:r>
    </w:p>
    <w:p>
      <w:pPr>
        <w:pStyle w:val="Heading4"/>
        <w:spacing w:before="159"/>
        <w:ind w:left="675"/>
        <w:jc w:val="both"/>
      </w:pPr>
      <w:r>
        <w:rPr/>
        <w:t>TRATAMIENTO</w:t>
      </w:r>
    </w:p>
    <w:p>
      <w:pPr>
        <w:pStyle w:val="BodyText"/>
        <w:spacing w:line="276" w:lineRule="auto" w:before="207"/>
        <w:ind w:left="675" w:right="1434"/>
        <w:jc w:val="both"/>
      </w:pPr>
      <w:r>
        <w:rPr/>
        <w:t>En las PBA se puede comenzar con un tratamiento antimicrobiano empírico, habitualmente por vía oral pero si es necesario se puede administrar por vía intravenosa o intramuscular. En este caso se administra un antibiótico bactericida contra gram negativos como las cefalosporinas, aminoglicósidos o fluoroquinolonas. Desde el comienzo o una vez pasada la fase aguda, se debe administrar tratamiento oral, siendo los antimicrobianos de elección las fluoroquinolonas. El tratamiento durante dos semanas en suficiente, excepto en caso de recidivas o respuesta clínica lenta en cuyo caso se debe administrar durante un mes completo.</w:t>
      </w:r>
    </w:p>
    <w:p>
      <w:pPr>
        <w:pStyle w:val="BodyText"/>
        <w:spacing w:line="276" w:lineRule="auto" w:before="161"/>
        <w:ind w:left="675" w:right="1432"/>
        <w:jc w:val="both"/>
      </w:pPr>
      <w:r>
        <w:rPr/>
        <w:t>En </w:t>
      </w:r>
      <w:r>
        <w:rPr>
          <w:spacing w:val="-3"/>
        </w:rPr>
        <w:t>la </w:t>
      </w:r>
      <w:r>
        <w:rPr/>
        <w:t>PBC el tratamiento antibiótico de elección es </w:t>
      </w:r>
      <w:r>
        <w:rPr>
          <w:spacing w:val="-3"/>
        </w:rPr>
        <w:t>la </w:t>
      </w:r>
      <w:r>
        <w:rPr/>
        <w:t>fluoroquinolona, </w:t>
      </w:r>
      <w:r>
        <w:rPr>
          <w:spacing w:val="-3"/>
        </w:rPr>
        <w:t>la </w:t>
      </w:r>
      <w:r>
        <w:rPr/>
        <w:t>cual se puede administrar vía oral durante 6-12 semanas y se recomienda realizar urocultivos de control a los 15 días y a </w:t>
      </w:r>
      <w:r>
        <w:rPr>
          <w:spacing w:val="-3"/>
        </w:rPr>
        <w:t>los </w:t>
      </w:r>
      <w:r>
        <w:rPr/>
        <w:t>6 meses de terminado el tratamiento. En aproximadamente 1/3 de los casos los síntomas y </w:t>
      </w:r>
      <w:r>
        <w:rPr>
          <w:spacing w:val="-3"/>
        </w:rPr>
        <w:t>la </w:t>
      </w:r>
      <w:r>
        <w:rPr/>
        <w:t>bacteriuria recurren. Alrededor del 10% de las bacterias causantes de prostatitis son resistentes a </w:t>
      </w:r>
      <w:r>
        <w:rPr>
          <w:spacing w:val="-3"/>
        </w:rPr>
        <w:t>la </w:t>
      </w:r>
      <w:r>
        <w:rPr/>
        <w:t>ciprofloxacina, frente a cerca del 20% en cepas causantes de infección no complicada del tracto</w:t>
      </w:r>
      <w:r>
        <w:rPr>
          <w:spacing w:val="-8"/>
        </w:rPr>
        <w:t> </w:t>
      </w:r>
      <w:r>
        <w:rPr/>
        <w:t>urinario.</w:t>
      </w:r>
    </w:p>
    <w:p>
      <w:pPr>
        <w:pStyle w:val="BodyText"/>
        <w:spacing w:line="276" w:lineRule="auto" w:before="157"/>
        <w:ind w:left="675" w:right="1436"/>
        <w:jc w:val="both"/>
      </w:pPr>
      <w:r>
        <w:rPr/>
        <w:t>En caso de infección recidivante puede ser útil el tratamiento con alfa bloqueadores que relajan </w:t>
      </w:r>
      <w:r>
        <w:rPr>
          <w:spacing w:val="-3"/>
        </w:rPr>
        <w:t>la </w:t>
      </w:r>
      <w:r>
        <w:rPr/>
        <w:t>uretra proximal, </w:t>
      </w:r>
      <w:r>
        <w:rPr>
          <w:spacing w:val="-3"/>
        </w:rPr>
        <w:t>lo </w:t>
      </w:r>
      <w:r>
        <w:rPr/>
        <w:t>que podría disminuir el reflujo de orina hacia </w:t>
      </w:r>
      <w:r>
        <w:rPr>
          <w:spacing w:val="-3"/>
        </w:rPr>
        <w:t>la </w:t>
      </w:r>
      <w:r>
        <w:rPr/>
        <w:t>próstata. También puede plantearse </w:t>
      </w:r>
      <w:r>
        <w:rPr>
          <w:spacing w:val="-3"/>
        </w:rPr>
        <w:t>la </w:t>
      </w:r>
      <w:r>
        <w:rPr/>
        <w:t>resección prostática transuretral en casos de litiasis prostática, adenomas o carcinomas de</w:t>
      </w:r>
      <w:r>
        <w:rPr>
          <w:spacing w:val="-1"/>
        </w:rPr>
        <w:t> </w:t>
      </w:r>
      <w:r>
        <w:rPr/>
        <w:t>próstata.</w:t>
      </w:r>
    </w:p>
    <w:p>
      <w:pPr>
        <w:spacing w:after="0" w:line="276" w:lineRule="auto"/>
        <w:jc w:val="both"/>
        <w:sectPr>
          <w:type w:val="continuous"/>
          <w:pgSz w:w="12240" w:h="15840"/>
          <w:pgMar w:top="1500" w:bottom="0" w:left="0" w:right="0"/>
          <w:cols w:num="2" w:equalWidth="0">
            <w:col w:w="5767" w:space="40"/>
            <w:col w:w="6433"/>
          </w:cols>
        </w:sectPr>
      </w:pPr>
    </w:p>
    <w:p>
      <w:pPr>
        <w:pStyle w:val="BodyText"/>
        <w:rPr>
          <w:sz w:val="20"/>
        </w:rPr>
      </w:pPr>
    </w:p>
    <w:p>
      <w:pPr>
        <w:spacing w:after="0"/>
        <w:rPr>
          <w:sz w:val="20"/>
        </w:rPr>
        <w:sectPr>
          <w:pgSz w:w="12240" w:h="15840"/>
          <w:pgMar w:header="722" w:footer="882" w:top="940" w:bottom="1080" w:left="0" w:right="0"/>
        </w:sectPr>
      </w:pPr>
    </w:p>
    <w:p>
      <w:pPr>
        <w:pStyle w:val="BodyText"/>
        <w:spacing w:before="8"/>
      </w:pPr>
    </w:p>
    <w:p>
      <w:pPr>
        <w:pStyle w:val="BodyText"/>
        <w:spacing w:line="276" w:lineRule="auto"/>
        <w:ind w:left="1440"/>
        <w:jc w:val="both"/>
      </w:pPr>
      <w:r>
        <w:rPr/>
        <w:t>También hay recomendaciones que pueden mejorar </w:t>
      </w:r>
      <w:r>
        <w:rPr>
          <w:spacing w:val="-3"/>
        </w:rPr>
        <w:t>la </w:t>
      </w:r>
      <w:r>
        <w:rPr/>
        <w:t>calidad de vida de los pacientes como el uso de medicamentos que reblandezcan las heces, aumentar el consumo de líquidos (2-4 L/día) y evitar irritantes vesicales como alcohol, café, picante o cítricos. Si todas las medidas fallan, se recomienda optar por el tratamiento supresor que consiste en administrar dosis bajas de antibiótico a largo plazo para mantener </w:t>
      </w:r>
      <w:r>
        <w:rPr>
          <w:spacing w:val="-3"/>
        </w:rPr>
        <w:t>la </w:t>
      </w:r>
      <w:r>
        <w:rPr/>
        <w:t>orina</w:t>
      </w:r>
      <w:r>
        <w:rPr>
          <w:spacing w:val="-9"/>
        </w:rPr>
        <w:t> </w:t>
      </w:r>
      <w:r>
        <w:rPr/>
        <w:t>estéril.</w:t>
      </w:r>
    </w:p>
    <w:p>
      <w:pPr>
        <w:pStyle w:val="BodyText"/>
        <w:spacing w:line="276" w:lineRule="auto" w:before="162"/>
        <w:ind w:left="1440"/>
        <w:jc w:val="both"/>
      </w:pPr>
      <w:r>
        <w:rPr/>
        <w:t>En los pacientes con síndrome de dolor pélvico inflamatorio siempre se debe individualizar el tratamiento a cada paciente, en pacientes con SDPC IIIA con frecuencia se utiliza un antibiótico de modo empírico contra bacterias atípicas como los macrólidos y se ha observado una mejoría hasta en el 40% de los casos, esto complementado con eyaculaciones frecuentes. También se ha visto</w:t>
      </w:r>
      <w:r>
        <w:rPr>
          <w:spacing w:val="17"/>
        </w:rPr>
        <w:t> </w:t>
      </w:r>
      <w:r>
        <w:rPr/>
        <w:t>que tanto</w:t>
      </w:r>
    </w:p>
    <w:p>
      <w:pPr>
        <w:pStyle w:val="BodyText"/>
        <w:spacing w:before="8"/>
      </w:pPr>
      <w:r>
        <w:rPr/>
        <w:br w:type="column"/>
      </w:r>
      <w:r>
        <w:rPr/>
      </w:r>
    </w:p>
    <w:p>
      <w:pPr>
        <w:pStyle w:val="BodyText"/>
        <w:spacing w:line="276" w:lineRule="auto"/>
        <w:ind w:left="680" w:right="1436"/>
        <w:jc w:val="both"/>
      </w:pPr>
      <w:r>
        <w:rPr/>
        <w:t>en la categoría IIIA, como IIIB, los alfa bloqueadores, inhibidores de la 5 α reductasa y AINES en algunos casos muestran mejoría pero aún no hay estudios al respecto. En algunos pacientes el uso de relajantes musculares y antidepresivos tricíclicos como la amitriptilina ha sido de utilidad, también se da la fisioterapia de la musculatura del suelo pélvico y en casos de obstrucción podría realizarse una cirugía prostática.</w:t>
      </w:r>
    </w:p>
    <w:p>
      <w:pPr>
        <w:pStyle w:val="BodyText"/>
        <w:spacing w:line="276" w:lineRule="auto" w:before="162"/>
        <w:ind w:left="680" w:right="1429"/>
        <w:jc w:val="both"/>
      </w:pPr>
      <w:r>
        <w:rPr/>
        <w:t>El uso de termoterapia, mediante el calor aplicado directamente a la próstata, podría contribuir a mejorar la sintomatología por lesión de los plexos nerviosos prostáticos o ejercer un efecto bactericida in vitro.</w:t>
      </w:r>
    </w:p>
    <w:p>
      <w:pPr>
        <w:pStyle w:val="BodyText"/>
        <w:spacing w:line="276" w:lineRule="auto" w:before="162"/>
        <w:ind w:left="680" w:right="1435"/>
        <w:jc w:val="both"/>
      </w:pPr>
      <w:r>
        <w:rPr/>
        <w:t>En los pacientes con prostatitis inflamatoria asintomática no hay un manejo definido, sin embargo, no se recomienda tratamiento alguno excepto en casos de PSA elevado o infertilidad.</w:t>
      </w:r>
    </w:p>
    <w:p>
      <w:pPr>
        <w:spacing w:after="0" w:line="276" w:lineRule="auto"/>
        <w:jc w:val="both"/>
        <w:sectPr>
          <w:type w:val="continuous"/>
          <w:pgSz w:w="12240" w:h="15840"/>
          <w:pgMar w:top="1500" w:bottom="0" w:left="0" w:right="0"/>
          <w:cols w:num="2" w:equalWidth="0">
            <w:col w:w="5762" w:space="40"/>
            <w:col w:w="6438"/>
          </w:cols>
        </w:sectPr>
      </w:pPr>
    </w:p>
    <w:p>
      <w:pPr>
        <w:pStyle w:val="BodyText"/>
        <w:rPr>
          <w:sz w:val="20"/>
        </w:rPr>
      </w:pPr>
    </w:p>
    <w:p>
      <w:pPr>
        <w:pStyle w:val="BodyText"/>
        <w:spacing w:before="3"/>
        <w:rPr>
          <w:sz w:val="21"/>
        </w:rPr>
      </w:pPr>
    </w:p>
    <w:p>
      <w:pPr>
        <w:pStyle w:val="Heading4"/>
        <w:spacing w:before="1"/>
      </w:pPr>
      <w:r>
        <w:rPr/>
        <w:t>BIBLIOGRAFIA</w:t>
      </w:r>
    </w:p>
    <w:p>
      <w:pPr>
        <w:pStyle w:val="BodyText"/>
        <w:spacing w:before="10"/>
        <w:rPr>
          <w:b/>
          <w:sz w:val="28"/>
        </w:rPr>
      </w:pPr>
    </w:p>
    <w:p>
      <w:pPr>
        <w:pStyle w:val="ListParagraph"/>
        <w:numPr>
          <w:ilvl w:val="1"/>
          <w:numId w:val="28"/>
        </w:numPr>
        <w:tabs>
          <w:tab w:pos="1801" w:val="left" w:leader="none"/>
        </w:tabs>
        <w:spacing w:line="271" w:lineRule="auto" w:before="0" w:after="0"/>
        <w:ind w:left="1800" w:right="1445" w:hanging="360"/>
        <w:jc w:val="both"/>
        <w:rPr>
          <w:sz w:val="20"/>
        </w:rPr>
      </w:pPr>
      <w:r>
        <w:rPr>
          <w:sz w:val="20"/>
        </w:rPr>
        <w:t>García-Arenzana Anguera JM; Tratamiento de la prostatitis; Información Terapéutica del Sistema Nacional de Salud; Volumen 29; Numero </w:t>
      </w:r>
      <w:r>
        <w:rPr>
          <w:spacing w:val="1"/>
          <w:sz w:val="20"/>
        </w:rPr>
        <w:t>6, </w:t>
      </w:r>
      <w:r>
        <w:rPr>
          <w:sz w:val="20"/>
        </w:rPr>
        <w:t>año 2005; Paginas</w:t>
      </w:r>
      <w:r>
        <w:rPr>
          <w:spacing w:val="-7"/>
          <w:sz w:val="20"/>
        </w:rPr>
        <w:t> </w:t>
      </w:r>
      <w:r>
        <w:rPr>
          <w:sz w:val="20"/>
        </w:rPr>
        <w:t>145-151.</w:t>
      </w:r>
    </w:p>
    <w:p>
      <w:pPr>
        <w:pStyle w:val="ListParagraph"/>
        <w:numPr>
          <w:ilvl w:val="1"/>
          <w:numId w:val="28"/>
        </w:numPr>
        <w:tabs>
          <w:tab w:pos="1801" w:val="left" w:leader="none"/>
        </w:tabs>
        <w:spacing w:line="276" w:lineRule="auto" w:before="3" w:after="0"/>
        <w:ind w:left="1800" w:right="1441" w:hanging="360"/>
        <w:jc w:val="both"/>
        <w:rPr>
          <w:sz w:val="20"/>
        </w:rPr>
      </w:pPr>
      <w:r>
        <w:rPr>
          <w:sz w:val="20"/>
        </w:rPr>
        <w:t>Juan Fernando Jiménez Cruz, Enrique Broseta Rico; Clasificación, etiología, diagnóstico y tratamiento de la prostatitis. Otros tipos de prostatitis; Enfermedades Infecciosas y Microbiología Clínica; Volumen 23; Numero 4; Año 2005; Paginas</w:t>
      </w:r>
      <w:r>
        <w:rPr>
          <w:spacing w:val="-2"/>
          <w:sz w:val="20"/>
        </w:rPr>
        <w:t> </w:t>
      </w:r>
      <w:r>
        <w:rPr>
          <w:sz w:val="20"/>
        </w:rPr>
        <w:t>47-56.</w:t>
      </w:r>
    </w:p>
    <w:p>
      <w:pPr>
        <w:pStyle w:val="ListParagraph"/>
        <w:numPr>
          <w:ilvl w:val="1"/>
          <w:numId w:val="28"/>
        </w:numPr>
        <w:tabs>
          <w:tab w:pos="1801" w:val="left" w:leader="none"/>
        </w:tabs>
        <w:spacing w:line="276" w:lineRule="auto" w:before="0" w:after="0"/>
        <w:ind w:left="1800" w:right="1433" w:hanging="360"/>
        <w:jc w:val="both"/>
        <w:rPr>
          <w:sz w:val="20"/>
        </w:rPr>
      </w:pPr>
      <w:r>
        <w:rPr>
          <w:sz w:val="20"/>
        </w:rPr>
        <w:t>Maya Rodríguez López, Ileana Baluja Conde, Senia Bermúdez Velásquez; Patologías benignas de la próstata: Prostatitis e hiperplasia benigna; Revista biomédica; Volumen 18; Numero 1; Año 2007; Paginas</w:t>
      </w:r>
      <w:r>
        <w:rPr>
          <w:spacing w:val="-4"/>
          <w:sz w:val="20"/>
        </w:rPr>
        <w:t> </w:t>
      </w:r>
      <w:r>
        <w:rPr>
          <w:sz w:val="20"/>
        </w:rPr>
        <w:t>47-59.</w:t>
      </w:r>
    </w:p>
    <w:p>
      <w:pPr>
        <w:pStyle w:val="ListParagraph"/>
        <w:numPr>
          <w:ilvl w:val="1"/>
          <w:numId w:val="28"/>
        </w:numPr>
        <w:tabs>
          <w:tab w:pos="1800" w:val="left" w:leader="none"/>
          <w:tab w:pos="1801" w:val="left" w:leader="none"/>
        </w:tabs>
        <w:spacing w:line="244" w:lineRule="exact" w:before="1" w:after="0"/>
        <w:ind w:left="1800" w:right="0" w:hanging="360"/>
        <w:jc w:val="left"/>
        <w:rPr>
          <w:sz w:val="20"/>
        </w:rPr>
      </w:pPr>
      <w:r>
        <w:rPr>
          <w:sz w:val="20"/>
        </w:rPr>
        <w:t>Remigio</w:t>
      </w:r>
      <w:r>
        <w:rPr>
          <w:spacing w:val="6"/>
          <w:sz w:val="20"/>
        </w:rPr>
        <w:t> </w:t>
      </w:r>
      <w:r>
        <w:rPr>
          <w:sz w:val="20"/>
        </w:rPr>
        <w:t>Vela</w:t>
      </w:r>
      <w:r>
        <w:rPr>
          <w:spacing w:val="6"/>
          <w:sz w:val="20"/>
        </w:rPr>
        <w:t> </w:t>
      </w:r>
      <w:r>
        <w:rPr>
          <w:sz w:val="20"/>
        </w:rPr>
        <w:t>Navarrete,</w:t>
      </w:r>
      <w:r>
        <w:rPr>
          <w:spacing w:val="6"/>
          <w:sz w:val="20"/>
        </w:rPr>
        <w:t> </w:t>
      </w:r>
      <w:r>
        <w:rPr>
          <w:sz w:val="20"/>
        </w:rPr>
        <w:t>Carmen</w:t>
      </w:r>
      <w:r>
        <w:rPr>
          <w:spacing w:val="6"/>
          <w:sz w:val="20"/>
        </w:rPr>
        <w:t> </w:t>
      </w:r>
      <w:r>
        <w:rPr>
          <w:sz w:val="20"/>
        </w:rPr>
        <w:t>Gonzalez</w:t>
      </w:r>
      <w:r>
        <w:rPr>
          <w:spacing w:val="6"/>
          <w:sz w:val="20"/>
        </w:rPr>
        <w:t> </w:t>
      </w:r>
      <w:r>
        <w:rPr>
          <w:sz w:val="20"/>
        </w:rPr>
        <w:t>Enguita,</w:t>
      </w:r>
      <w:r>
        <w:rPr>
          <w:spacing w:val="6"/>
          <w:sz w:val="20"/>
        </w:rPr>
        <w:t> </w:t>
      </w:r>
      <w:r>
        <w:rPr>
          <w:sz w:val="20"/>
        </w:rPr>
        <w:t>Juan</w:t>
      </w:r>
      <w:r>
        <w:rPr>
          <w:spacing w:val="6"/>
          <w:sz w:val="20"/>
        </w:rPr>
        <w:t> </w:t>
      </w:r>
      <w:r>
        <w:rPr>
          <w:sz w:val="20"/>
        </w:rPr>
        <w:t>Vicente</w:t>
      </w:r>
      <w:r>
        <w:rPr>
          <w:spacing w:val="7"/>
          <w:sz w:val="20"/>
        </w:rPr>
        <w:t> </w:t>
      </w:r>
      <w:r>
        <w:rPr>
          <w:sz w:val="20"/>
        </w:rPr>
        <w:t>García</w:t>
      </w:r>
      <w:r>
        <w:rPr>
          <w:spacing w:val="6"/>
          <w:sz w:val="20"/>
        </w:rPr>
        <w:t> </w:t>
      </w:r>
      <w:r>
        <w:rPr>
          <w:sz w:val="20"/>
        </w:rPr>
        <w:t>Cardoso,</w:t>
      </w:r>
      <w:r>
        <w:rPr>
          <w:spacing w:val="6"/>
          <w:sz w:val="20"/>
        </w:rPr>
        <w:t> </w:t>
      </w:r>
      <w:r>
        <w:rPr>
          <w:sz w:val="20"/>
        </w:rPr>
        <w:t>G.</w:t>
      </w:r>
      <w:r>
        <w:rPr>
          <w:spacing w:val="6"/>
          <w:sz w:val="20"/>
        </w:rPr>
        <w:t> </w:t>
      </w:r>
      <w:r>
        <w:rPr>
          <w:sz w:val="20"/>
        </w:rPr>
        <w:t>Manzarbeitia,</w:t>
      </w:r>
    </w:p>
    <w:p>
      <w:pPr>
        <w:spacing w:line="278" w:lineRule="auto" w:before="32"/>
        <w:ind w:left="1800" w:right="1434" w:firstLine="0"/>
        <w:jc w:val="both"/>
        <w:rPr>
          <w:sz w:val="20"/>
        </w:rPr>
      </w:pPr>
      <w:r>
        <w:rPr>
          <w:sz w:val="20"/>
        </w:rPr>
        <w:t>F. Soriano García; Prostatitis crónica: una revisión critica de su actual definición nosológica, clasificación y potencial carcinogénesis; Archivos Españoles Urológicos; Volumen 60; Numero 6; Año 2007, Paginas 617-623.</w:t>
      </w:r>
    </w:p>
    <w:p>
      <w:pPr>
        <w:pStyle w:val="BodyText"/>
        <w:spacing w:before="8"/>
      </w:pPr>
    </w:p>
    <w:p>
      <w:pPr>
        <w:tabs>
          <w:tab w:pos="7507" w:val="left" w:leader="none"/>
        </w:tabs>
        <w:spacing w:before="1"/>
        <w:ind w:left="1440" w:right="0" w:firstLine="0"/>
        <w:jc w:val="left"/>
        <w:rPr>
          <w:sz w:val="20"/>
        </w:rPr>
      </w:pPr>
      <w:r>
        <w:rPr>
          <w:sz w:val="20"/>
        </w:rPr>
        <w:t>Recepción: 1 Diciembre</w:t>
      </w:r>
      <w:r>
        <w:rPr>
          <w:spacing w:val="-2"/>
          <w:sz w:val="20"/>
        </w:rPr>
        <w:t> </w:t>
      </w:r>
      <w:r>
        <w:rPr>
          <w:sz w:val="20"/>
        </w:rPr>
        <w:t>de</w:t>
      </w:r>
      <w:r>
        <w:rPr>
          <w:spacing w:val="-2"/>
          <w:sz w:val="20"/>
        </w:rPr>
        <w:t> </w:t>
      </w:r>
      <w:r>
        <w:rPr>
          <w:sz w:val="20"/>
        </w:rPr>
        <w:t>2016</w:t>
        <w:tab/>
        <w:t>Aprobación:15 Diciembre de</w:t>
      </w:r>
      <w:r>
        <w:rPr>
          <w:spacing w:val="-5"/>
          <w:sz w:val="20"/>
        </w:rPr>
        <w:t> </w:t>
      </w:r>
      <w:r>
        <w:rPr>
          <w:sz w:val="20"/>
        </w:rPr>
        <w:t>2016</w:t>
      </w:r>
    </w:p>
    <w:p>
      <w:pPr>
        <w:spacing w:after="0"/>
        <w:jc w:val="left"/>
        <w:rPr>
          <w:sz w:val="20"/>
        </w:rPr>
        <w:sectPr>
          <w:type w:val="continuous"/>
          <w:pgSz w:w="12240" w:h="15840"/>
          <w:pgMar w:top="1500" w:bottom="0" w:left="0" w:right="0"/>
        </w:sectPr>
      </w:pPr>
    </w:p>
    <w:p>
      <w:pPr>
        <w:pStyle w:val="BodyText"/>
        <w:rPr>
          <w:sz w:val="20"/>
        </w:rPr>
      </w:pPr>
    </w:p>
    <w:p>
      <w:pPr>
        <w:pStyle w:val="BodyText"/>
        <w:spacing w:before="6"/>
      </w:pPr>
    </w:p>
    <w:p>
      <w:pPr>
        <w:pStyle w:val="Heading4"/>
        <w:ind w:left="4101"/>
      </w:pPr>
      <w:r>
        <w:rPr/>
        <w:t>INSTRUCCIONES PARA PUBLICAR</w:t>
      </w:r>
    </w:p>
    <w:p>
      <w:pPr>
        <w:pStyle w:val="BodyText"/>
        <w:spacing w:before="6"/>
        <w:rPr>
          <w:b/>
          <w:sz w:val="26"/>
        </w:rPr>
      </w:pPr>
    </w:p>
    <w:p>
      <w:pPr>
        <w:spacing w:line="276" w:lineRule="auto" w:before="0"/>
        <w:ind w:left="1440" w:right="1434" w:firstLine="0"/>
        <w:jc w:val="both"/>
        <w:rPr>
          <w:sz w:val="20"/>
        </w:rPr>
      </w:pPr>
      <w:r>
        <w:rPr>
          <w:sz w:val="20"/>
        </w:rPr>
        <w:t>La Revista Médica Sinergia, es una revista científica costarricense, con arbitraje, de periodicidad mensual.  La  cual nació para   ser   una   puerta   abierta   a   todas   las   personas   involucradas   en   el área biocientífico con el fin de difundir sus manuscritos, ya sean trabajos originales, investigación, comunicación científica, reporte de casos, revisión bibliográfica. Las publicaciones deben cumplir con las normas y parámetros requeridos por el comité</w:t>
      </w:r>
      <w:r>
        <w:rPr>
          <w:spacing w:val="-4"/>
          <w:sz w:val="20"/>
        </w:rPr>
        <w:t> </w:t>
      </w:r>
      <w:r>
        <w:rPr>
          <w:sz w:val="20"/>
        </w:rPr>
        <w:t>editorial.</w:t>
      </w:r>
    </w:p>
    <w:p>
      <w:pPr>
        <w:spacing w:line="276" w:lineRule="auto" w:before="0"/>
        <w:ind w:left="1440" w:right="1433" w:firstLine="0"/>
        <w:jc w:val="both"/>
        <w:rPr>
          <w:sz w:val="20"/>
        </w:rPr>
      </w:pPr>
      <w:r>
        <w:rPr>
          <w:sz w:val="20"/>
        </w:rPr>
        <w:t>Todos los trabajos deben ser de alto interés para la comunidad médica y para el área de la salud en general.</w:t>
      </w:r>
    </w:p>
    <w:p>
      <w:pPr>
        <w:spacing w:line="278" w:lineRule="auto" w:before="0"/>
        <w:ind w:left="1440" w:right="1435" w:firstLine="0"/>
        <w:jc w:val="both"/>
        <w:rPr>
          <w:sz w:val="20"/>
        </w:rPr>
      </w:pPr>
      <w:r>
        <w:rPr>
          <w:sz w:val="20"/>
        </w:rPr>
        <w:t>Las publicaciones serán presentadas bajo la estructura del Comité Internacional de Editores de Revistas Médicas, cuya información se puede encontrar </w:t>
      </w:r>
      <w:hyperlink r:id="rId79">
        <w:r>
          <w:rPr>
            <w:sz w:val="20"/>
          </w:rPr>
          <w:t>www.icmje.org.</w:t>
        </w:r>
      </w:hyperlink>
      <w:r>
        <w:rPr>
          <w:sz w:val="20"/>
        </w:rPr>
        <w:t> Las publicaciones que no mantengan  esta estructura serán devueltas.</w:t>
      </w:r>
    </w:p>
    <w:p>
      <w:pPr>
        <w:pStyle w:val="BodyText"/>
        <w:spacing w:before="4"/>
        <w:rPr>
          <w:sz w:val="14"/>
        </w:rPr>
      </w:pPr>
    </w:p>
    <w:p>
      <w:pPr>
        <w:spacing w:before="93"/>
        <w:ind w:left="1732" w:right="1732" w:firstLine="0"/>
        <w:jc w:val="center"/>
        <w:rPr>
          <w:b/>
          <w:sz w:val="20"/>
        </w:rPr>
      </w:pPr>
      <w:r>
        <w:rPr>
          <w:b/>
          <w:sz w:val="20"/>
        </w:rPr>
        <w:t>Instrucciones Generales</w:t>
      </w:r>
    </w:p>
    <w:p>
      <w:pPr>
        <w:spacing w:before="33"/>
        <w:ind w:left="1440" w:right="0" w:firstLine="0"/>
        <w:jc w:val="left"/>
        <w:rPr>
          <w:b/>
          <w:sz w:val="20"/>
        </w:rPr>
      </w:pPr>
      <w:r>
        <w:rPr>
          <w:b/>
          <w:sz w:val="20"/>
        </w:rPr>
        <w:t>Página de título</w:t>
      </w:r>
    </w:p>
    <w:p>
      <w:pPr>
        <w:spacing w:line="276" w:lineRule="auto" w:before="33"/>
        <w:ind w:left="1440" w:right="1579" w:firstLine="0"/>
        <w:jc w:val="left"/>
        <w:rPr>
          <w:sz w:val="20"/>
        </w:rPr>
      </w:pPr>
      <w:r>
        <w:rPr>
          <w:b/>
          <w:sz w:val="20"/>
        </w:rPr>
        <w:t>Título: </w:t>
      </w:r>
      <w:r>
        <w:rPr>
          <w:sz w:val="20"/>
        </w:rPr>
        <w:t>Debe de ser conciso, especifico y sin abreviaturas, debe de ser redactado en español e inglés. </w:t>
      </w:r>
      <w:r>
        <w:rPr>
          <w:b/>
          <w:sz w:val="20"/>
        </w:rPr>
        <w:t>Autores: </w:t>
      </w:r>
      <w:r>
        <w:rPr>
          <w:sz w:val="20"/>
        </w:rPr>
        <w:t>Debe de consignarse el nombre completo del autor(es), debe de estar alineado a la derecha. </w:t>
      </w:r>
      <w:r>
        <w:rPr>
          <w:b/>
          <w:sz w:val="20"/>
        </w:rPr>
        <w:t>Nombre de departamento o institución: </w:t>
      </w:r>
      <w:r>
        <w:rPr>
          <w:sz w:val="20"/>
        </w:rPr>
        <w:t>Lugar donde el autor perteneció durante la elaboración del trabajo.</w:t>
      </w:r>
    </w:p>
    <w:p>
      <w:pPr>
        <w:spacing w:line="278" w:lineRule="auto" w:before="0"/>
        <w:ind w:left="1440" w:right="2852" w:firstLine="0"/>
        <w:jc w:val="left"/>
        <w:rPr>
          <w:b/>
          <w:sz w:val="20"/>
        </w:rPr>
      </w:pPr>
      <w:r>
        <w:rPr>
          <w:b/>
          <w:sz w:val="20"/>
        </w:rPr>
        <w:t>Descriptores: </w:t>
      </w:r>
      <w:r>
        <w:rPr>
          <w:sz w:val="20"/>
        </w:rPr>
        <w:t>La publicación debe tener entre 3 a 5 palabras claves en español e inglés. </w:t>
      </w:r>
      <w:r>
        <w:rPr>
          <w:b/>
          <w:sz w:val="20"/>
        </w:rPr>
        <w:t>Título corto: </w:t>
      </w:r>
      <w:r>
        <w:rPr>
          <w:sz w:val="20"/>
        </w:rPr>
        <w:t>La publicación pobra tener un título corto con un máximo de 50 caracteres. </w:t>
      </w:r>
      <w:r>
        <w:rPr>
          <w:b/>
          <w:sz w:val="20"/>
        </w:rPr>
        <w:t>Enumerar las páginas, cuadros y figuras.</w:t>
      </w:r>
    </w:p>
    <w:p>
      <w:pPr>
        <w:tabs>
          <w:tab w:pos="2447" w:val="left" w:leader="none"/>
          <w:tab w:pos="2918" w:val="left" w:leader="none"/>
          <w:tab w:pos="4603" w:val="left" w:leader="none"/>
          <w:tab w:pos="6497" w:val="left" w:leader="none"/>
          <w:tab w:pos="7579" w:val="left" w:leader="none"/>
          <w:tab w:pos="8365" w:val="left" w:leader="none"/>
          <w:tab w:pos="9276" w:val="left" w:leader="none"/>
        </w:tabs>
        <w:spacing w:line="280" w:lineRule="auto" w:before="2"/>
        <w:ind w:left="1440" w:right="1431" w:firstLine="0"/>
        <w:jc w:val="left"/>
        <w:rPr>
          <w:sz w:val="20"/>
        </w:rPr>
      </w:pPr>
      <w:r>
        <w:rPr>
          <w:b/>
          <w:sz w:val="20"/>
        </w:rPr>
        <w:t>Fuentes</w:t>
        <w:tab/>
        <w:t>de</w:t>
        <w:tab/>
        <w:t>ayuda: </w:t>
      </w:r>
      <w:r>
        <w:rPr>
          <w:sz w:val="20"/>
        </w:rPr>
        <w:t>Persona</w:t>
        <w:tab/>
        <w:t>o</w:t>
      </w:r>
      <w:r>
        <w:rPr>
          <w:spacing w:val="-3"/>
          <w:sz w:val="20"/>
        </w:rPr>
        <w:t> </w:t>
      </w:r>
      <w:r>
        <w:rPr>
          <w:sz w:val="20"/>
        </w:rPr>
        <w:t>instituciones que</w:t>
        <w:tab/>
        <w:t>brindaron</w:t>
        <w:tab/>
        <w:t>ayuda</w:t>
        <w:tab/>
        <w:t>durante</w:t>
        <w:tab/>
        <w:t>la elaboración de la publicación.</w:t>
      </w:r>
    </w:p>
    <w:p>
      <w:pPr>
        <w:tabs>
          <w:tab w:pos="9897" w:val="left" w:leader="none"/>
        </w:tabs>
        <w:spacing w:line="278" w:lineRule="auto" w:before="0"/>
        <w:ind w:left="1440" w:right="1437" w:firstLine="0"/>
        <w:jc w:val="both"/>
        <w:rPr>
          <w:sz w:val="20"/>
        </w:rPr>
      </w:pPr>
      <w:r>
        <w:rPr>
          <w:b/>
          <w:sz w:val="20"/>
        </w:rPr>
        <w:t>Declaración de   potenciales   conflictos   de interés: </w:t>
      </w:r>
      <w:r>
        <w:rPr>
          <w:sz w:val="20"/>
        </w:rPr>
        <w:t>Los   autores   deben   de    llenar    el  formulario “ICMJE Uniform Disclosure Form for Potential Conflicts</w:t>
      </w:r>
      <w:r>
        <w:rPr>
          <w:spacing w:val="-17"/>
          <w:sz w:val="20"/>
        </w:rPr>
        <w:t> </w:t>
      </w:r>
      <w:r>
        <w:rPr>
          <w:sz w:val="20"/>
        </w:rPr>
        <w:t>of</w:t>
      </w:r>
      <w:r>
        <w:rPr>
          <w:spacing w:val="-1"/>
          <w:sz w:val="20"/>
        </w:rPr>
        <w:t> </w:t>
      </w:r>
      <w:r>
        <w:rPr>
          <w:sz w:val="20"/>
        </w:rPr>
        <w:t>Interest”</w:t>
        <w:tab/>
        <w:t>disponible en </w:t>
      </w:r>
      <w:hyperlink r:id="rId79">
        <w:r>
          <w:rPr>
            <w:sz w:val="20"/>
          </w:rPr>
          <w:t>www.icmje.org.</w:t>
        </w:r>
      </w:hyperlink>
    </w:p>
    <w:p>
      <w:pPr>
        <w:pStyle w:val="BodyText"/>
        <w:spacing w:before="6"/>
        <w:rPr>
          <w:sz w:val="23"/>
        </w:rPr>
      </w:pPr>
    </w:p>
    <w:p>
      <w:pPr>
        <w:spacing w:before="0"/>
        <w:ind w:left="1440" w:right="0" w:firstLine="0"/>
        <w:jc w:val="left"/>
        <w:rPr>
          <w:b/>
          <w:sz w:val="20"/>
        </w:rPr>
      </w:pPr>
      <w:r>
        <w:rPr>
          <w:b/>
          <w:sz w:val="20"/>
        </w:rPr>
        <w:t>Tipos de Publicaciones</w:t>
      </w:r>
    </w:p>
    <w:p>
      <w:pPr>
        <w:pStyle w:val="BodyText"/>
        <w:spacing w:before="9"/>
        <w:rPr>
          <w:b/>
          <w:sz w:val="25"/>
        </w:rPr>
      </w:pPr>
    </w:p>
    <w:p>
      <w:pPr>
        <w:pStyle w:val="ListParagraph"/>
        <w:numPr>
          <w:ilvl w:val="0"/>
          <w:numId w:val="29"/>
        </w:numPr>
        <w:tabs>
          <w:tab w:pos="1800" w:val="left" w:leader="none"/>
          <w:tab w:pos="1801" w:val="left" w:leader="none"/>
        </w:tabs>
        <w:spacing w:line="240" w:lineRule="auto" w:before="1" w:after="0"/>
        <w:ind w:left="1800" w:right="0" w:hanging="472"/>
        <w:jc w:val="left"/>
        <w:rPr>
          <w:b/>
          <w:sz w:val="20"/>
        </w:rPr>
      </w:pPr>
      <w:r>
        <w:rPr>
          <w:b/>
          <w:sz w:val="20"/>
        </w:rPr>
        <w:t>Presentación de los artículos originales y de</w:t>
      </w:r>
      <w:r>
        <w:rPr>
          <w:b/>
          <w:spacing w:val="-14"/>
          <w:sz w:val="20"/>
        </w:rPr>
        <w:t> </w:t>
      </w:r>
      <w:r>
        <w:rPr>
          <w:b/>
          <w:sz w:val="20"/>
        </w:rPr>
        <w:t>revisión</w:t>
      </w:r>
    </w:p>
    <w:p>
      <w:pPr>
        <w:spacing w:line="276" w:lineRule="auto" w:before="38"/>
        <w:ind w:left="1800" w:right="1820" w:firstLine="0"/>
        <w:jc w:val="left"/>
        <w:rPr>
          <w:sz w:val="20"/>
        </w:rPr>
      </w:pPr>
      <w:r>
        <w:rPr>
          <w:sz w:val="20"/>
        </w:rPr>
        <w:t>El autor en caso de ser necesario, deberá presentar todas las fuentes de información originales. La publicación debe ir estructurada de la siguiente manera:</w:t>
      </w:r>
    </w:p>
    <w:p>
      <w:pPr>
        <w:pStyle w:val="ListParagraph"/>
        <w:numPr>
          <w:ilvl w:val="1"/>
          <w:numId w:val="29"/>
        </w:numPr>
        <w:tabs>
          <w:tab w:pos="2161" w:val="left" w:leader="none"/>
        </w:tabs>
        <w:spacing w:line="280" w:lineRule="auto" w:before="0" w:after="0"/>
        <w:ind w:left="2160" w:right="1443" w:hanging="360"/>
        <w:jc w:val="both"/>
        <w:rPr>
          <w:sz w:val="20"/>
        </w:rPr>
      </w:pPr>
      <w:r>
        <w:rPr>
          <w:b/>
          <w:sz w:val="20"/>
        </w:rPr>
        <w:t>Resumen: </w:t>
      </w:r>
      <w:r>
        <w:rPr>
          <w:sz w:val="20"/>
        </w:rPr>
        <w:t>250 palabras máximo, con una descripción del trabajo, material, métodos utilización, resultados principales y conclusiones</w:t>
      </w:r>
      <w:r>
        <w:rPr>
          <w:spacing w:val="-9"/>
          <w:sz w:val="20"/>
        </w:rPr>
        <w:t> </w:t>
      </w:r>
      <w:r>
        <w:rPr>
          <w:sz w:val="20"/>
        </w:rPr>
        <w:t>relevantes.</w:t>
      </w:r>
    </w:p>
    <w:p>
      <w:pPr>
        <w:pStyle w:val="ListParagraph"/>
        <w:numPr>
          <w:ilvl w:val="1"/>
          <w:numId w:val="29"/>
        </w:numPr>
        <w:tabs>
          <w:tab w:pos="2161" w:val="left" w:leader="none"/>
        </w:tabs>
        <w:spacing w:line="283" w:lineRule="auto" w:before="0" w:after="0"/>
        <w:ind w:left="2160" w:right="1449" w:hanging="360"/>
        <w:jc w:val="both"/>
        <w:rPr>
          <w:sz w:val="20"/>
        </w:rPr>
      </w:pPr>
      <w:r>
        <w:rPr>
          <w:b/>
          <w:sz w:val="20"/>
        </w:rPr>
        <w:t>Introducción: </w:t>
      </w:r>
      <w:r>
        <w:rPr>
          <w:sz w:val="20"/>
        </w:rPr>
        <w:t>Es el texto donde se plantan las hipótesis, y se contesta las preguntas </w:t>
      </w:r>
      <w:r>
        <w:rPr>
          <w:spacing w:val="-3"/>
          <w:sz w:val="20"/>
        </w:rPr>
        <w:t>como </w:t>
      </w:r>
      <w:r>
        <w:rPr>
          <w:sz w:val="20"/>
        </w:rPr>
        <w:t>y porque de la publicación. Sin olvidar la mención del objetivo principal y</w:t>
      </w:r>
      <w:r>
        <w:rPr>
          <w:spacing w:val="-13"/>
          <w:sz w:val="20"/>
        </w:rPr>
        <w:t> </w:t>
      </w:r>
      <w:r>
        <w:rPr>
          <w:sz w:val="20"/>
        </w:rPr>
        <w:t>secundario.</w:t>
      </w:r>
    </w:p>
    <w:p>
      <w:pPr>
        <w:pStyle w:val="ListParagraph"/>
        <w:numPr>
          <w:ilvl w:val="1"/>
          <w:numId w:val="29"/>
        </w:numPr>
        <w:tabs>
          <w:tab w:pos="2161" w:val="left" w:leader="none"/>
          <w:tab w:pos="4092" w:val="left" w:leader="none"/>
          <w:tab w:pos="5806" w:val="left" w:leader="none"/>
          <w:tab w:pos="6806" w:val="left" w:leader="none"/>
          <w:tab w:pos="8468" w:val="left" w:leader="none"/>
          <w:tab w:pos="10102" w:val="left" w:leader="none"/>
        </w:tabs>
        <w:spacing w:line="280" w:lineRule="auto" w:before="0" w:after="0"/>
        <w:ind w:left="2160" w:right="1432" w:hanging="360"/>
        <w:jc w:val="both"/>
        <w:rPr>
          <w:sz w:val="20"/>
        </w:rPr>
      </w:pPr>
      <w:r>
        <w:rPr>
          <w:b/>
          <w:sz w:val="20"/>
        </w:rPr>
        <w:t>Métodos:</w:t>
      </w:r>
      <w:r>
        <w:rPr>
          <w:b/>
          <w:spacing w:val="0"/>
          <w:sz w:val="20"/>
        </w:rPr>
        <w:t> </w:t>
      </w:r>
      <w:r>
        <w:rPr>
          <w:sz w:val="20"/>
        </w:rPr>
        <w:t>Se</w:t>
        <w:tab/>
        <w:t>mencionan</w:t>
        <w:tab/>
        <w:t>los</w:t>
        <w:tab/>
        <w:t>materiales</w:t>
        <w:tab/>
        <w:t>utilizados,</w:t>
        <w:tab/>
        <w:t>criterios de inclusión y exclusión, composición y característica de muestras</w:t>
      </w:r>
      <w:r>
        <w:rPr>
          <w:spacing w:val="0"/>
          <w:sz w:val="20"/>
        </w:rPr>
        <w:t> </w:t>
      </w:r>
      <w:r>
        <w:rPr>
          <w:sz w:val="20"/>
        </w:rPr>
        <w:t>estudiadas.</w:t>
      </w:r>
    </w:p>
    <w:p>
      <w:pPr>
        <w:pStyle w:val="ListParagraph"/>
        <w:numPr>
          <w:ilvl w:val="1"/>
          <w:numId w:val="29"/>
        </w:numPr>
        <w:tabs>
          <w:tab w:pos="2161" w:val="left" w:leader="none"/>
        </w:tabs>
        <w:spacing w:line="280" w:lineRule="auto" w:before="0" w:after="0"/>
        <w:ind w:left="2160" w:right="1442" w:hanging="360"/>
        <w:jc w:val="both"/>
        <w:rPr>
          <w:sz w:val="20"/>
        </w:rPr>
      </w:pPr>
      <w:r>
        <w:rPr>
          <w:b/>
          <w:sz w:val="20"/>
        </w:rPr>
        <w:t>Resultados: </w:t>
      </w:r>
      <w:r>
        <w:rPr>
          <w:sz w:val="20"/>
        </w:rPr>
        <w:t>los resultados deben de seguir una secuencia lógica y concordante, en el texto, cuadros, figuras y</w:t>
      </w:r>
      <w:r>
        <w:rPr>
          <w:spacing w:val="-5"/>
          <w:sz w:val="20"/>
        </w:rPr>
        <w:t> </w:t>
      </w:r>
      <w:r>
        <w:rPr>
          <w:sz w:val="20"/>
        </w:rPr>
        <w:t>tablas.</w:t>
      </w:r>
    </w:p>
    <w:p>
      <w:pPr>
        <w:pStyle w:val="ListParagraph"/>
        <w:numPr>
          <w:ilvl w:val="1"/>
          <w:numId w:val="29"/>
        </w:numPr>
        <w:tabs>
          <w:tab w:pos="2161" w:val="left" w:leader="none"/>
        </w:tabs>
        <w:spacing w:line="278" w:lineRule="auto" w:before="0" w:after="0"/>
        <w:ind w:left="2160" w:right="1432" w:hanging="360"/>
        <w:jc w:val="both"/>
        <w:rPr>
          <w:sz w:val="20"/>
        </w:rPr>
      </w:pPr>
      <w:r>
        <w:rPr>
          <w:b/>
          <w:sz w:val="20"/>
        </w:rPr>
        <w:t>Discusión: </w:t>
      </w:r>
      <w:r>
        <w:rPr>
          <w:sz w:val="20"/>
        </w:rPr>
        <w:t>es un análisis de datos obtenidos de la investigación. Se expondrá si los resultados solventan las conclusiones. No se repite información mencionada en introducción ni resultados. Además, se valora si se cumplieron con los objetivos primarios y</w:t>
      </w:r>
      <w:r>
        <w:rPr>
          <w:spacing w:val="-10"/>
          <w:sz w:val="20"/>
        </w:rPr>
        <w:t> </w:t>
      </w:r>
      <w:r>
        <w:rPr>
          <w:sz w:val="20"/>
        </w:rPr>
        <w:t>secundarios.</w:t>
      </w:r>
    </w:p>
    <w:p>
      <w:pPr>
        <w:pStyle w:val="ListParagraph"/>
        <w:numPr>
          <w:ilvl w:val="1"/>
          <w:numId w:val="29"/>
        </w:numPr>
        <w:tabs>
          <w:tab w:pos="2161" w:val="left" w:leader="none"/>
        </w:tabs>
        <w:spacing w:line="283" w:lineRule="auto" w:before="0" w:after="0"/>
        <w:ind w:left="2160" w:right="1442" w:hanging="360"/>
        <w:jc w:val="both"/>
        <w:rPr>
          <w:sz w:val="20"/>
        </w:rPr>
      </w:pPr>
      <w:r>
        <w:rPr>
          <w:b/>
          <w:sz w:val="20"/>
        </w:rPr>
        <w:t>Agradecimientos: </w:t>
      </w:r>
      <w:r>
        <w:rPr>
          <w:sz w:val="20"/>
        </w:rPr>
        <w:t>menciona persona o instituciones que brindaron ayuda durante la</w:t>
      </w:r>
      <w:r>
        <w:rPr>
          <w:spacing w:val="-35"/>
          <w:sz w:val="20"/>
        </w:rPr>
        <w:t> </w:t>
      </w:r>
      <w:r>
        <w:rPr>
          <w:sz w:val="20"/>
        </w:rPr>
        <w:t>elaboración de la</w:t>
      </w:r>
      <w:r>
        <w:rPr>
          <w:spacing w:val="-1"/>
          <w:sz w:val="20"/>
        </w:rPr>
        <w:t> </w:t>
      </w:r>
      <w:r>
        <w:rPr>
          <w:sz w:val="20"/>
        </w:rPr>
        <w:t>publicación.</w:t>
      </w:r>
    </w:p>
    <w:p>
      <w:pPr>
        <w:pStyle w:val="ListParagraph"/>
        <w:numPr>
          <w:ilvl w:val="1"/>
          <w:numId w:val="29"/>
        </w:numPr>
        <w:tabs>
          <w:tab w:pos="2161" w:val="left" w:leader="none"/>
        </w:tabs>
        <w:spacing w:line="280" w:lineRule="auto" w:before="0" w:after="0"/>
        <w:ind w:left="2160" w:right="1440" w:hanging="360"/>
        <w:jc w:val="both"/>
        <w:rPr>
          <w:sz w:val="20"/>
        </w:rPr>
      </w:pPr>
      <w:r>
        <w:rPr>
          <w:b/>
          <w:sz w:val="20"/>
        </w:rPr>
        <w:t>Referencia: </w:t>
      </w:r>
      <w:r>
        <w:rPr>
          <w:sz w:val="20"/>
        </w:rPr>
        <w:t>Insertadas consecutivamente con números arábigos en el cuerpo del texto y citadas con toda la información pertinente en el área de referencia. Se recomienda el sistema de</w:t>
      </w:r>
      <w:r>
        <w:rPr>
          <w:spacing w:val="-16"/>
          <w:sz w:val="20"/>
        </w:rPr>
        <w:t> </w:t>
      </w:r>
      <w:r>
        <w:rPr>
          <w:sz w:val="20"/>
        </w:rPr>
        <w:t>revistas</w:t>
      </w:r>
    </w:p>
    <w:p>
      <w:pPr>
        <w:spacing w:after="0" w:line="280" w:lineRule="auto"/>
        <w:jc w:val="both"/>
        <w:rPr>
          <w:sz w:val="20"/>
        </w:rPr>
        <w:sectPr>
          <w:headerReference w:type="even" r:id="rId78"/>
          <w:pgSz w:w="12240" w:h="15840"/>
          <w:pgMar w:header="723" w:footer="872" w:top="940" w:bottom="1060" w:left="0" w:right="0"/>
        </w:sectPr>
      </w:pPr>
    </w:p>
    <w:p>
      <w:pPr>
        <w:spacing w:before="76"/>
        <w:ind w:left="7402" w:right="0" w:firstLine="0"/>
        <w:jc w:val="left"/>
        <w:rPr>
          <w:i/>
          <w:sz w:val="20"/>
        </w:rPr>
      </w:pPr>
      <w:r>
        <w:rPr>
          <w:i/>
          <w:color w:val="2D74B5"/>
          <w:sz w:val="20"/>
        </w:rPr>
        <w:t>INSTRUCCIONES DE PUBLICACION</w:t>
      </w:r>
    </w:p>
    <w:p>
      <w:pPr>
        <w:pStyle w:val="BodyText"/>
        <w:rPr>
          <w:i/>
          <w:sz w:val="20"/>
        </w:rPr>
      </w:pPr>
    </w:p>
    <w:p>
      <w:pPr>
        <w:pStyle w:val="BodyText"/>
        <w:spacing w:before="7"/>
        <w:rPr>
          <w:i/>
        </w:rPr>
      </w:pPr>
    </w:p>
    <w:p>
      <w:pPr>
        <w:spacing w:line="276" w:lineRule="auto" w:before="0"/>
        <w:ind w:left="2160" w:right="1435" w:firstLine="0"/>
        <w:jc w:val="both"/>
        <w:rPr>
          <w:sz w:val="20"/>
        </w:rPr>
      </w:pPr>
      <w:r>
        <w:rPr>
          <w:sz w:val="20"/>
        </w:rPr>
        <w:t>médicas “</w:t>
      </w:r>
      <w:hyperlink r:id="rId79">
        <w:r>
          <w:rPr>
            <w:sz w:val="20"/>
          </w:rPr>
          <w:t>www.icmje.org</w:t>
        </w:r>
      </w:hyperlink>
      <w:r>
        <w:rPr>
          <w:sz w:val="20"/>
        </w:rPr>
        <w:t>”.o el formato APA. Una referencia bibliográfica que tiene menos de 6 autores, se mencionan a todos separados por una “coma”. Si la referencia bibliográfica tiene más de seis autores se menciona hasta el sexto autor y se agrega “et al”.</w:t>
      </w:r>
    </w:p>
    <w:p>
      <w:pPr>
        <w:spacing w:before="0"/>
        <w:ind w:left="2148" w:right="9210" w:firstLine="0"/>
        <w:jc w:val="left"/>
        <w:rPr>
          <w:sz w:val="20"/>
        </w:rPr>
      </w:pPr>
      <w:r>
        <w:rPr>
          <w:sz w:val="20"/>
        </w:rPr>
        <w:t>Ejemplos:</w:t>
      </w:r>
    </w:p>
    <w:p>
      <w:pPr>
        <w:spacing w:before="33"/>
        <w:ind w:left="2148" w:right="9210" w:firstLine="0"/>
        <w:jc w:val="left"/>
        <w:rPr>
          <w:sz w:val="20"/>
        </w:rPr>
      </w:pPr>
      <w:r>
        <w:rPr>
          <w:sz w:val="20"/>
        </w:rPr>
        <w:t>Revista:</w:t>
      </w:r>
    </w:p>
    <w:p>
      <w:pPr>
        <w:spacing w:line="276" w:lineRule="auto" w:before="37"/>
        <w:ind w:left="2148" w:right="1431" w:firstLine="0"/>
        <w:jc w:val="left"/>
        <w:rPr>
          <w:sz w:val="20"/>
        </w:rPr>
      </w:pPr>
      <w:r>
        <w:rPr>
          <w:sz w:val="20"/>
        </w:rPr>
        <w:t>Morales – Martínez F. ¿Que es la geriatría? Revista Gerontológica en Acción. Ano1. No.1 marzo. Costa Rica, 1987: 31-36.</w:t>
      </w:r>
    </w:p>
    <w:p>
      <w:pPr>
        <w:spacing w:before="0"/>
        <w:ind w:left="2148" w:right="0" w:firstLine="0"/>
        <w:jc w:val="left"/>
        <w:rPr>
          <w:sz w:val="20"/>
        </w:rPr>
      </w:pPr>
      <w:r>
        <w:rPr>
          <w:sz w:val="20"/>
        </w:rPr>
        <w:t>Libro:</w:t>
      </w:r>
    </w:p>
    <w:p>
      <w:pPr>
        <w:spacing w:line="276" w:lineRule="auto" w:before="34"/>
        <w:ind w:left="2148" w:right="2511" w:firstLine="0"/>
        <w:jc w:val="left"/>
        <w:rPr>
          <w:sz w:val="20"/>
        </w:rPr>
      </w:pPr>
      <w:r>
        <w:rPr>
          <w:sz w:val="20"/>
        </w:rPr>
        <w:t>Sánchez E. Guía Médica de San José. 1era. Ed. San José: Editorial Esculapio, 2016. Capítulo de libro:</w:t>
      </w:r>
    </w:p>
    <w:p>
      <w:pPr>
        <w:spacing w:line="276" w:lineRule="auto" w:before="0"/>
        <w:ind w:left="2148" w:right="1468" w:firstLine="0"/>
        <w:jc w:val="left"/>
        <w:rPr>
          <w:sz w:val="20"/>
        </w:rPr>
      </w:pPr>
      <w:r>
        <w:rPr>
          <w:sz w:val="20"/>
        </w:rPr>
        <w:t>Sánchez E. Guía Medica el Tumi. En: Margarita Malpartida ed. Hipertensión Arterial. Lima. 2012: 8 – 16.</w:t>
      </w:r>
    </w:p>
    <w:p>
      <w:pPr>
        <w:spacing w:before="0"/>
        <w:ind w:left="2148" w:right="0" w:firstLine="0"/>
        <w:jc w:val="left"/>
        <w:rPr>
          <w:sz w:val="20"/>
        </w:rPr>
      </w:pPr>
      <w:r>
        <w:rPr>
          <w:sz w:val="20"/>
        </w:rPr>
        <w:t>Cita electrónica:</w:t>
      </w:r>
    </w:p>
    <w:p>
      <w:pPr>
        <w:spacing w:line="276" w:lineRule="auto" w:before="38"/>
        <w:ind w:left="2148" w:right="1579" w:firstLine="0"/>
        <w:jc w:val="left"/>
        <w:rPr>
          <w:sz w:val="20"/>
        </w:rPr>
      </w:pPr>
      <w:r>
        <w:rPr>
          <w:sz w:val="20"/>
        </w:rPr>
        <w:t>Rojas A, Rosario, &amp; Quezada L, Arnoldo. (2013). Relación entre dermatitis atópica y alergia alimentaria. Revista chilena de pediatría, 84(4), 438-450. Recuperado en 09 de junio de 2016,  de </w:t>
      </w:r>
      <w:hyperlink r:id="rId81">
        <w:r>
          <w:rPr>
            <w:sz w:val="20"/>
          </w:rPr>
          <w:t>http://www.scielo.cl/scielo.php?script=sci_arttext&amp;pid=S0370-</w:t>
        </w:r>
      </w:hyperlink>
      <w:r>
        <w:rPr>
          <w:sz w:val="20"/>
        </w:rPr>
        <w:t> </w:t>
      </w:r>
      <w:hyperlink r:id="rId81">
        <w:r>
          <w:rPr>
            <w:sz w:val="20"/>
          </w:rPr>
          <w:t>41062013000400012&amp;lng=es&amp;tlng=es</w:t>
        </w:r>
      </w:hyperlink>
      <w:r>
        <w:rPr>
          <w:sz w:val="20"/>
        </w:rPr>
        <w:t>.</w:t>
      </w:r>
      <w:r>
        <w:rPr>
          <w:spacing w:val="-5"/>
          <w:sz w:val="20"/>
        </w:rPr>
        <w:t> </w:t>
      </w:r>
      <w:r>
        <w:rPr>
          <w:sz w:val="20"/>
        </w:rPr>
        <w:t>10.4067/S0370-41062013000400012.</w:t>
      </w:r>
    </w:p>
    <w:p>
      <w:pPr>
        <w:pStyle w:val="ListParagraph"/>
        <w:numPr>
          <w:ilvl w:val="1"/>
          <w:numId w:val="29"/>
        </w:numPr>
        <w:tabs>
          <w:tab w:pos="2161" w:val="left" w:leader="none"/>
        </w:tabs>
        <w:spacing w:line="278" w:lineRule="auto" w:before="0" w:after="0"/>
        <w:ind w:left="2160" w:right="1433" w:hanging="360"/>
        <w:jc w:val="both"/>
        <w:rPr>
          <w:sz w:val="20"/>
        </w:rPr>
      </w:pPr>
      <w:r>
        <w:rPr>
          <w:b/>
          <w:sz w:val="20"/>
        </w:rPr>
        <w:t>Cuadros, figuras y tablas: </w:t>
      </w:r>
      <w:r>
        <w:rPr>
          <w:sz w:val="20"/>
        </w:rPr>
        <w:t>Tienen que ser explicativos, deben tener título y numeración consecutiva correspondiente. Deben de ser originales, en caso de ser de otra fuente, se debe adjuntar una carta por el autor o editorial autorizando su utilización para la</w:t>
      </w:r>
      <w:r>
        <w:rPr>
          <w:spacing w:val="-12"/>
          <w:sz w:val="20"/>
        </w:rPr>
        <w:t> </w:t>
      </w:r>
      <w:r>
        <w:rPr>
          <w:sz w:val="20"/>
        </w:rPr>
        <w:t>publicación.</w:t>
      </w:r>
    </w:p>
    <w:p>
      <w:pPr>
        <w:pStyle w:val="BodyText"/>
        <w:spacing w:before="2"/>
        <w:rPr>
          <w:sz w:val="23"/>
        </w:rPr>
      </w:pPr>
    </w:p>
    <w:p>
      <w:pPr>
        <w:pStyle w:val="ListParagraph"/>
        <w:numPr>
          <w:ilvl w:val="0"/>
          <w:numId w:val="29"/>
        </w:numPr>
        <w:tabs>
          <w:tab w:pos="1800" w:val="left" w:leader="none"/>
          <w:tab w:pos="1801" w:val="left" w:leader="none"/>
        </w:tabs>
        <w:spacing w:line="240" w:lineRule="auto" w:before="0" w:after="0"/>
        <w:ind w:left="1800" w:right="0" w:hanging="528"/>
        <w:jc w:val="left"/>
        <w:rPr>
          <w:b/>
          <w:sz w:val="20"/>
        </w:rPr>
      </w:pPr>
      <w:r>
        <w:rPr>
          <w:b/>
          <w:sz w:val="20"/>
        </w:rPr>
        <w:t>Revisiones</w:t>
      </w:r>
    </w:p>
    <w:p>
      <w:pPr>
        <w:spacing w:line="276" w:lineRule="auto" w:before="37"/>
        <w:ind w:left="1800" w:right="1433" w:firstLine="0"/>
        <w:jc w:val="both"/>
        <w:rPr>
          <w:sz w:val="20"/>
        </w:rPr>
      </w:pPr>
      <w:r>
        <w:rPr>
          <w:sz w:val="20"/>
        </w:rPr>
        <w:t>Las     revisiones serán valorares     por     nuestro comité editorial, entidad     editora      (Sociedad de Médicos de América)        y        dos        pares        externos.        Los artículos deben         de   ser interés medico científico. Máximo 4</w:t>
      </w:r>
      <w:r>
        <w:rPr>
          <w:spacing w:val="-4"/>
          <w:sz w:val="20"/>
        </w:rPr>
        <w:t> </w:t>
      </w:r>
      <w:r>
        <w:rPr>
          <w:sz w:val="20"/>
        </w:rPr>
        <w:t>paginas.</w:t>
      </w:r>
    </w:p>
    <w:p>
      <w:pPr>
        <w:pStyle w:val="BodyText"/>
        <w:spacing w:before="6"/>
      </w:pPr>
    </w:p>
    <w:p>
      <w:pPr>
        <w:pStyle w:val="ListParagraph"/>
        <w:numPr>
          <w:ilvl w:val="0"/>
          <w:numId w:val="29"/>
        </w:numPr>
        <w:tabs>
          <w:tab w:pos="1800" w:val="left" w:leader="none"/>
          <w:tab w:pos="1801" w:val="left" w:leader="none"/>
        </w:tabs>
        <w:spacing w:line="240" w:lineRule="auto" w:before="1" w:after="0"/>
        <w:ind w:left="1800" w:right="0" w:hanging="584"/>
        <w:jc w:val="left"/>
        <w:rPr>
          <w:b/>
          <w:sz w:val="20"/>
        </w:rPr>
      </w:pPr>
      <w:r>
        <w:rPr>
          <w:b/>
          <w:sz w:val="20"/>
        </w:rPr>
        <w:t>Opiniones</w:t>
      </w:r>
    </w:p>
    <w:p>
      <w:pPr>
        <w:spacing w:before="38"/>
        <w:ind w:left="1800" w:right="0" w:firstLine="0"/>
        <w:jc w:val="left"/>
        <w:rPr>
          <w:sz w:val="20"/>
        </w:rPr>
      </w:pPr>
      <w:r>
        <w:rPr>
          <w:sz w:val="20"/>
        </w:rPr>
        <w:t>Informan temas de la actualidad en los avances científicos de la medicina. Máximo 2 paginas.</w:t>
      </w:r>
    </w:p>
    <w:p>
      <w:pPr>
        <w:pStyle w:val="BodyText"/>
        <w:spacing w:before="6"/>
        <w:rPr>
          <w:sz w:val="25"/>
        </w:rPr>
      </w:pPr>
    </w:p>
    <w:p>
      <w:pPr>
        <w:pStyle w:val="ListParagraph"/>
        <w:numPr>
          <w:ilvl w:val="0"/>
          <w:numId w:val="29"/>
        </w:numPr>
        <w:tabs>
          <w:tab w:pos="1800" w:val="left" w:leader="none"/>
          <w:tab w:pos="1801" w:val="left" w:leader="none"/>
        </w:tabs>
        <w:spacing w:line="240" w:lineRule="auto" w:before="0" w:after="0"/>
        <w:ind w:left="1800" w:right="0" w:hanging="604"/>
        <w:jc w:val="left"/>
        <w:rPr>
          <w:b/>
          <w:sz w:val="20"/>
        </w:rPr>
      </w:pPr>
      <w:r>
        <w:rPr>
          <w:b/>
          <w:sz w:val="20"/>
        </w:rPr>
        <w:t>Reporte de</w:t>
      </w:r>
      <w:r>
        <w:rPr>
          <w:b/>
          <w:spacing w:val="-3"/>
          <w:sz w:val="20"/>
        </w:rPr>
        <w:t> </w:t>
      </w:r>
      <w:r>
        <w:rPr>
          <w:b/>
          <w:sz w:val="20"/>
        </w:rPr>
        <w:t>casos</w:t>
      </w:r>
    </w:p>
    <w:p>
      <w:pPr>
        <w:spacing w:before="41"/>
        <w:ind w:left="1800" w:right="0" w:firstLine="0"/>
        <w:jc w:val="left"/>
        <w:rPr>
          <w:sz w:val="20"/>
        </w:rPr>
      </w:pPr>
      <w:r>
        <w:rPr>
          <w:sz w:val="20"/>
        </w:rPr>
        <w:t>La publicación debe estar estructurada de la siguiente forma:</w:t>
      </w:r>
    </w:p>
    <w:p>
      <w:pPr>
        <w:pStyle w:val="ListParagraph"/>
        <w:numPr>
          <w:ilvl w:val="1"/>
          <w:numId w:val="29"/>
        </w:numPr>
        <w:tabs>
          <w:tab w:pos="2161" w:val="left" w:leader="none"/>
        </w:tabs>
        <w:spacing w:line="240" w:lineRule="auto" w:before="34" w:after="0"/>
        <w:ind w:left="2160" w:right="0" w:hanging="360"/>
        <w:jc w:val="left"/>
        <w:rPr>
          <w:sz w:val="20"/>
        </w:rPr>
      </w:pPr>
      <w:r>
        <w:rPr>
          <w:sz w:val="20"/>
        </w:rPr>
        <w:t>Título</w:t>
      </w:r>
    </w:p>
    <w:p>
      <w:pPr>
        <w:pStyle w:val="ListParagraph"/>
        <w:numPr>
          <w:ilvl w:val="1"/>
          <w:numId w:val="29"/>
        </w:numPr>
        <w:tabs>
          <w:tab w:pos="2161" w:val="left" w:leader="none"/>
        </w:tabs>
        <w:spacing w:line="240" w:lineRule="auto" w:before="34" w:after="0"/>
        <w:ind w:left="2160" w:right="0" w:hanging="360"/>
        <w:jc w:val="left"/>
        <w:rPr>
          <w:sz w:val="20"/>
        </w:rPr>
      </w:pPr>
      <w:r>
        <w:rPr>
          <w:sz w:val="20"/>
        </w:rPr>
        <w:t>Resumen: máximo 250 palabras. En español e</w:t>
      </w:r>
      <w:r>
        <w:rPr>
          <w:spacing w:val="5"/>
          <w:sz w:val="20"/>
        </w:rPr>
        <w:t> </w:t>
      </w:r>
      <w:r>
        <w:rPr>
          <w:sz w:val="20"/>
        </w:rPr>
        <w:t>inglés.</w:t>
      </w:r>
    </w:p>
    <w:p>
      <w:pPr>
        <w:pStyle w:val="ListParagraph"/>
        <w:numPr>
          <w:ilvl w:val="1"/>
          <w:numId w:val="29"/>
        </w:numPr>
        <w:tabs>
          <w:tab w:pos="2161" w:val="left" w:leader="none"/>
        </w:tabs>
        <w:spacing w:line="276" w:lineRule="auto" w:before="34" w:after="0"/>
        <w:ind w:left="2160" w:right="1438" w:hanging="360"/>
        <w:jc w:val="left"/>
        <w:rPr>
          <w:sz w:val="20"/>
        </w:rPr>
      </w:pPr>
      <w:r>
        <w:rPr>
          <w:sz w:val="20"/>
        </w:rPr>
        <w:t>Introducción: se debe contestar las preguntas: ¿porque se publica?, ¿que se publica? Mencionar objetivos primarios y</w:t>
      </w:r>
      <w:r>
        <w:rPr>
          <w:spacing w:val="-1"/>
          <w:sz w:val="20"/>
        </w:rPr>
        <w:t> </w:t>
      </w:r>
      <w:r>
        <w:rPr>
          <w:sz w:val="20"/>
        </w:rPr>
        <w:t>secundarios.</w:t>
      </w:r>
    </w:p>
    <w:p>
      <w:pPr>
        <w:pStyle w:val="ListParagraph"/>
        <w:numPr>
          <w:ilvl w:val="1"/>
          <w:numId w:val="29"/>
        </w:numPr>
        <w:tabs>
          <w:tab w:pos="2161" w:val="left" w:leader="none"/>
        </w:tabs>
        <w:spacing w:line="276" w:lineRule="auto" w:before="0" w:after="0"/>
        <w:ind w:left="2160" w:right="1443" w:hanging="360"/>
        <w:jc w:val="left"/>
        <w:rPr>
          <w:sz w:val="20"/>
        </w:rPr>
      </w:pPr>
      <w:r>
        <w:rPr>
          <w:sz w:val="20"/>
        </w:rPr>
        <w:t>Presentación </w:t>
      </w:r>
      <w:r>
        <w:rPr>
          <w:spacing w:val="-3"/>
          <w:sz w:val="20"/>
        </w:rPr>
        <w:t>del </w:t>
      </w:r>
      <w:r>
        <w:rPr>
          <w:sz w:val="20"/>
        </w:rPr>
        <w:t>caso: se debe realizar una presentación cronológica de la enfermedad y de la evolución del paciente. Con posible diagnóstico, tratamiento y</w:t>
      </w:r>
      <w:r>
        <w:rPr>
          <w:spacing w:val="-7"/>
          <w:sz w:val="20"/>
        </w:rPr>
        <w:t> </w:t>
      </w:r>
      <w:r>
        <w:rPr>
          <w:sz w:val="20"/>
        </w:rPr>
        <w:t>pronóstico.</w:t>
      </w:r>
    </w:p>
    <w:p>
      <w:pPr>
        <w:pStyle w:val="ListParagraph"/>
        <w:numPr>
          <w:ilvl w:val="1"/>
          <w:numId w:val="29"/>
        </w:numPr>
        <w:tabs>
          <w:tab w:pos="2161" w:val="left" w:leader="none"/>
        </w:tabs>
        <w:spacing w:line="280" w:lineRule="auto" w:before="0" w:after="0"/>
        <w:ind w:left="2160" w:right="1445" w:hanging="360"/>
        <w:jc w:val="left"/>
        <w:rPr>
          <w:sz w:val="20"/>
        </w:rPr>
      </w:pPr>
      <w:r>
        <w:rPr>
          <w:sz w:val="20"/>
        </w:rPr>
        <w:t>Discusión: es un análisis de datos obtenidos de la investigación. Se expondrá si los resultados solventan las conclusiones. </w:t>
      </w:r>
      <w:r>
        <w:rPr>
          <w:spacing w:val="-3"/>
          <w:sz w:val="20"/>
        </w:rPr>
        <w:t>No </w:t>
      </w:r>
      <w:r>
        <w:rPr>
          <w:sz w:val="20"/>
        </w:rPr>
        <w:t>se repite información mencionada en introducción ni</w:t>
      </w:r>
      <w:r>
        <w:rPr>
          <w:spacing w:val="-25"/>
          <w:sz w:val="20"/>
        </w:rPr>
        <w:t> </w:t>
      </w:r>
      <w:r>
        <w:rPr>
          <w:sz w:val="20"/>
        </w:rPr>
        <w:t>resultados.</w:t>
      </w:r>
    </w:p>
    <w:p>
      <w:pPr>
        <w:spacing w:line="226" w:lineRule="exact" w:before="0"/>
        <w:ind w:left="1800" w:right="0" w:firstLine="0"/>
        <w:jc w:val="left"/>
        <w:rPr>
          <w:sz w:val="20"/>
        </w:rPr>
      </w:pPr>
      <w:r>
        <w:rPr>
          <w:sz w:val="20"/>
        </w:rPr>
        <w:t>Máximo 5 paginas.</w:t>
      </w:r>
    </w:p>
    <w:p>
      <w:pPr>
        <w:pStyle w:val="BodyText"/>
        <w:spacing w:before="6"/>
        <w:rPr>
          <w:sz w:val="25"/>
        </w:rPr>
      </w:pPr>
    </w:p>
    <w:p>
      <w:pPr>
        <w:spacing w:before="0"/>
        <w:ind w:left="1440" w:right="0" w:firstLine="0"/>
        <w:jc w:val="left"/>
        <w:rPr>
          <w:b/>
          <w:sz w:val="20"/>
        </w:rPr>
      </w:pPr>
      <w:r>
        <w:rPr>
          <w:b/>
          <w:sz w:val="20"/>
        </w:rPr>
        <w:t>Presentación del manuscrito</w:t>
      </w:r>
    </w:p>
    <w:p>
      <w:pPr>
        <w:spacing w:line="276" w:lineRule="auto" w:before="37"/>
        <w:ind w:left="1440" w:right="1431" w:firstLine="0"/>
        <w:jc w:val="both"/>
        <w:rPr>
          <w:sz w:val="20"/>
        </w:rPr>
      </w:pPr>
      <w:r>
        <w:rPr>
          <w:sz w:val="20"/>
        </w:rPr>
        <w:t>La publicación será estructurada de  la siguiente manera:  página  de  título,  resumen  (español –  inglés), introducción, cuerpo de la publicación, discusión, conclusiones, referencias</w:t>
      </w:r>
      <w:r>
        <w:rPr>
          <w:spacing w:val="-12"/>
          <w:sz w:val="20"/>
        </w:rPr>
        <w:t> </w:t>
      </w:r>
      <w:r>
        <w:rPr>
          <w:sz w:val="20"/>
        </w:rPr>
        <w:t>bibliográficas.</w:t>
      </w:r>
    </w:p>
    <w:p>
      <w:pPr>
        <w:spacing w:line="276" w:lineRule="auto" w:before="0"/>
        <w:ind w:left="1440" w:right="1432" w:firstLine="0"/>
        <w:jc w:val="both"/>
        <w:rPr>
          <w:sz w:val="20"/>
        </w:rPr>
      </w:pPr>
      <w:r>
        <w:rPr>
          <w:sz w:val="20"/>
        </w:rPr>
        <w:t>Todos los trabajos deben de ser enviados en formato digital en Word para Windows ®, en una columna, los títulos con letra Arial #14 - negrita, el contenido en Arial #11, con espacio 1,5. Con numeración de la página. Página tamaño carta. Los cuadros deben de ser realizadas en Word con letras Arial#11 y contener su título respectivo en Arial #11</w:t>
      </w:r>
    </w:p>
    <w:p>
      <w:pPr>
        <w:spacing w:before="0"/>
        <w:ind w:left="1440" w:right="0" w:firstLine="0"/>
        <w:jc w:val="both"/>
        <w:rPr>
          <w:sz w:val="20"/>
        </w:rPr>
      </w:pPr>
      <w:r>
        <w:rPr>
          <w:sz w:val="20"/>
        </w:rPr>
        <w:t>Las figuras o dibujos deben de ir con su respectivo título en Arial #11.</w:t>
      </w:r>
    </w:p>
    <w:p>
      <w:pPr>
        <w:spacing w:after="0"/>
        <w:jc w:val="both"/>
        <w:rPr>
          <w:sz w:val="20"/>
        </w:rPr>
        <w:sectPr>
          <w:headerReference w:type="default" r:id="rId80"/>
          <w:pgSz w:w="12240" w:h="15840"/>
          <w:pgMar w:header="0" w:footer="882" w:top="640" w:bottom="1080" w:left="0" w:right="0"/>
        </w:sectPr>
      </w:pPr>
    </w:p>
    <w:p>
      <w:pPr>
        <w:pStyle w:val="BodyText"/>
        <w:rPr>
          <w:sz w:val="20"/>
        </w:rPr>
      </w:pPr>
    </w:p>
    <w:p>
      <w:pPr>
        <w:pStyle w:val="BodyText"/>
        <w:rPr>
          <w:sz w:val="20"/>
        </w:rPr>
      </w:pPr>
    </w:p>
    <w:p>
      <w:pPr>
        <w:pStyle w:val="BodyText"/>
        <w:spacing w:before="5"/>
        <w:rPr>
          <w:sz w:val="17"/>
        </w:rPr>
      </w:pPr>
    </w:p>
    <w:p>
      <w:pPr>
        <w:spacing w:before="94"/>
        <w:ind w:left="1440" w:right="0" w:firstLine="0"/>
        <w:jc w:val="left"/>
        <w:rPr>
          <w:sz w:val="20"/>
        </w:rPr>
      </w:pPr>
      <w:r>
        <w:rPr>
          <w:sz w:val="20"/>
        </w:rPr>
        <w:t>Además se deberá presentar los siguientes documentos adjuntos:</w:t>
      </w:r>
    </w:p>
    <w:p>
      <w:pPr>
        <w:pStyle w:val="ListParagraph"/>
        <w:numPr>
          <w:ilvl w:val="0"/>
          <w:numId w:val="30"/>
        </w:numPr>
        <w:tabs>
          <w:tab w:pos="1801" w:val="left" w:leader="none"/>
        </w:tabs>
        <w:spacing w:line="240" w:lineRule="auto" w:before="30" w:after="0"/>
        <w:ind w:left="1800" w:right="0" w:hanging="360"/>
        <w:jc w:val="left"/>
        <w:rPr>
          <w:b/>
          <w:sz w:val="20"/>
        </w:rPr>
      </w:pPr>
      <w:r>
        <w:rPr>
          <w:b/>
          <w:sz w:val="20"/>
        </w:rPr>
        <w:t>Información de</w:t>
      </w:r>
      <w:r>
        <w:rPr>
          <w:b/>
          <w:spacing w:val="-1"/>
          <w:sz w:val="20"/>
        </w:rPr>
        <w:t> </w:t>
      </w:r>
      <w:r>
        <w:rPr>
          <w:b/>
          <w:sz w:val="20"/>
        </w:rPr>
        <w:t>contacto.</w:t>
      </w:r>
    </w:p>
    <w:p>
      <w:pPr>
        <w:spacing w:line="276" w:lineRule="auto" w:before="38"/>
        <w:ind w:left="1440" w:right="1431" w:firstLine="0"/>
        <w:jc w:val="both"/>
        <w:rPr>
          <w:sz w:val="20"/>
        </w:rPr>
      </w:pPr>
      <w:r>
        <w:rPr>
          <w:sz w:val="20"/>
        </w:rPr>
        <w:t>Yo   “nombre   del   autor”   soy   autor responsable de   la publicación “título   de   la publicación”   declaro información de     contacto:     nombre completo,      número      de identificación, teléfono,   correo electrónico, dirección. Además, autorizo   que   se   </w:t>
      </w:r>
      <w:r>
        <w:rPr>
          <w:spacing w:val="-4"/>
          <w:sz w:val="20"/>
        </w:rPr>
        <w:t>me   </w:t>
      </w:r>
      <w:r>
        <w:rPr>
          <w:sz w:val="20"/>
        </w:rPr>
        <w:t>contacte    por    medio telefónico o correo electrónico para cualquier observación. Por ultimo  </w:t>
      </w:r>
      <w:r>
        <w:rPr>
          <w:spacing w:val="-4"/>
          <w:sz w:val="20"/>
        </w:rPr>
        <w:t>me </w:t>
      </w:r>
      <w:r>
        <w:rPr>
          <w:sz w:val="20"/>
        </w:rPr>
        <w:t>responsabilizo  de  mantener  actualizada la información de</w:t>
      </w:r>
      <w:r>
        <w:rPr>
          <w:spacing w:val="-1"/>
          <w:sz w:val="20"/>
        </w:rPr>
        <w:t> </w:t>
      </w:r>
      <w:r>
        <w:rPr>
          <w:sz w:val="20"/>
        </w:rPr>
        <w:t>contacto.</w:t>
      </w:r>
    </w:p>
    <w:p>
      <w:pPr>
        <w:pStyle w:val="ListParagraph"/>
        <w:numPr>
          <w:ilvl w:val="0"/>
          <w:numId w:val="30"/>
        </w:numPr>
        <w:tabs>
          <w:tab w:pos="1801" w:val="left" w:leader="none"/>
        </w:tabs>
        <w:spacing w:line="226" w:lineRule="exact" w:before="0" w:after="0"/>
        <w:ind w:left="1800" w:right="0" w:hanging="360"/>
        <w:jc w:val="left"/>
        <w:rPr>
          <w:b/>
          <w:sz w:val="20"/>
        </w:rPr>
      </w:pPr>
      <w:r>
        <w:rPr>
          <w:b/>
          <w:sz w:val="20"/>
        </w:rPr>
        <w:t>Responsabilidad del autor.</w:t>
      </w:r>
    </w:p>
    <w:p>
      <w:pPr>
        <w:spacing w:line="276" w:lineRule="auto" w:before="38"/>
        <w:ind w:left="1440" w:right="1432" w:firstLine="0"/>
        <w:jc w:val="both"/>
        <w:rPr>
          <w:sz w:val="20"/>
        </w:rPr>
      </w:pPr>
      <w:r>
        <w:rPr>
          <w:sz w:val="20"/>
        </w:rPr>
        <w:t>Yo       “nombre        del        autor”        soy        autor responsable de        la publicación “título        de    la publicación”, declaro haber trabajado    en    la elaboración de     dicha publicación y </w:t>
      </w:r>
      <w:r>
        <w:rPr>
          <w:spacing w:val="-3"/>
          <w:sz w:val="20"/>
        </w:rPr>
        <w:t>asumo     </w:t>
      </w:r>
      <w:r>
        <w:rPr>
          <w:sz w:val="20"/>
        </w:rPr>
        <w:t>todas  las responsabilidades de la información publicada. Además, declaro que facilitaré en caso de ser necesario todos los documentos originales que fueron requeridos para elaboración de la</w:t>
      </w:r>
      <w:r>
        <w:rPr>
          <w:spacing w:val="-21"/>
          <w:sz w:val="20"/>
        </w:rPr>
        <w:t> </w:t>
      </w:r>
      <w:r>
        <w:rPr>
          <w:sz w:val="20"/>
        </w:rPr>
        <w:t>publicación.</w:t>
      </w:r>
    </w:p>
    <w:p>
      <w:pPr>
        <w:pStyle w:val="ListParagraph"/>
        <w:numPr>
          <w:ilvl w:val="0"/>
          <w:numId w:val="30"/>
        </w:numPr>
        <w:tabs>
          <w:tab w:pos="1801" w:val="left" w:leader="none"/>
        </w:tabs>
        <w:spacing w:line="240" w:lineRule="auto" w:before="1" w:after="0"/>
        <w:ind w:left="1800" w:right="0" w:hanging="360"/>
        <w:jc w:val="left"/>
        <w:rPr>
          <w:b/>
          <w:sz w:val="20"/>
        </w:rPr>
      </w:pPr>
      <w:r>
        <w:rPr>
          <w:b/>
          <w:sz w:val="20"/>
        </w:rPr>
        <w:t>Liberación de</w:t>
      </w:r>
      <w:r>
        <w:rPr>
          <w:b/>
          <w:spacing w:val="-1"/>
          <w:sz w:val="20"/>
        </w:rPr>
        <w:t> </w:t>
      </w:r>
      <w:r>
        <w:rPr>
          <w:b/>
          <w:sz w:val="20"/>
        </w:rPr>
        <w:t>responsabilidad.</w:t>
      </w:r>
    </w:p>
    <w:p>
      <w:pPr>
        <w:spacing w:line="276" w:lineRule="auto" w:before="38"/>
        <w:ind w:left="1440" w:right="1434" w:firstLine="0"/>
        <w:jc w:val="both"/>
        <w:rPr>
          <w:sz w:val="20"/>
        </w:rPr>
      </w:pPr>
      <w:r>
        <w:rPr>
          <w:sz w:val="20"/>
        </w:rPr>
        <w:t>Yo “nombre del autor” soy autor responsable de la publicación “título de la publicación” libero de responsabilidad a la Revista Médica Sinergia y a la Entidad Editora de cualquier conflicto que pueda generar el artículo.</w:t>
      </w:r>
    </w:p>
    <w:p>
      <w:pPr>
        <w:pStyle w:val="ListParagraph"/>
        <w:numPr>
          <w:ilvl w:val="0"/>
          <w:numId w:val="30"/>
        </w:numPr>
        <w:tabs>
          <w:tab w:pos="1801" w:val="left" w:leader="none"/>
        </w:tabs>
        <w:spacing w:line="226" w:lineRule="exact" w:before="0" w:after="0"/>
        <w:ind w:left="1800" w:right="0" w:hanging="360"/>
        <w:jc w:val="left"/>
        <w:rPr>
          <w:b/>
          <w:sz w:val="20"/>
        </w:rPr>
      </w:pPr>
      <w:r>
        <w:rPr>
          <w:b/>
          <w:sz w:val="20"/>
        </w:rPr>
        <w:t>Conflictos de</w:t>
      </w:r>
      <w:r>
        <w:rPr>
          <w:b/>
          <w:spacing w:val="-6"/>
          <w:sz w:val="20"/>
        </w:rPr>
        <w:t> </w:t>
      </w:r>
      <w:r>
        <w:rPr>
          <w:b/>
          <w:sz w:val="20"/>
        </w:rPr>
        <w:t>interés.</w:t>
      </w:r>
    </w:p>
    <w:p>
      <w:pPr>
        <w:spacing w:line="276" w:lineRule="auto" w:before="38"/>
        <w:ind w:left="1440" w:right="1579" w:firstLine="0"/>
        <w:jc w:val="left"/>
        <w:rPr>
          <w:sz w:val="20"/>
        </w:rPr>
      </w:pPr>
      <w:r>
        <w:rPr>
          <w:sz w:val="20"/>
        </w:rPr>
        <w:t>Yo “nombre del autor”  soy  autor responsable de  la publicación “título  de  la publicación”  declaro  que la publicación no contiene conflictos de</w:t>
      </w:r>
      <w:r>
        <w:rPr>
          <w:spacing w:val="-3"/>
          <w:sz w:val="20"/>
        </w:rPr>
        <w:t> </w:t>
      </w:r>
      <w:r>
        <w:rPr>
          <w:sz w:val="20"/>
        </w:rPr>
        <w:t>interés.</w:t>
      </w:r>
    </w:p>
    <w:p>
      <w:pPr>
        <w:spacing w:line="280" w:lineRule="auto" w:before="0"/>
        <w:ind w:left="1440" w:right="1431" w:firstLine="0"/>
        <w:jc w:val="left"/>
        <w:rPr>
          <w:sz w:val="20"/>
        </w:rPr>
      </w:pPr>
      <w:r>
        <w:rPr>
          <w:sz w:val="20"/>
        </w:rPr>
        <w:t>En caso de tener conflictos de interés se debe llenar “ICMJE Uniform Disclosure Form Potential Conflicts of Interest” disponible en </w:t>
      </w:r>
      <w:hyperlink r:id="rId79">
        <w:r>
          <w:rPr>
            <w:sz w:val="20"/>
          </w:rPr>
          <w:t>www.icmje.org.</w:t>
        </w:r>
      </w:hyperlink>
    </w:p>
    <w:p>
      <w:pPr>
        <w:pStyle w:val="ListParagraph"/>
        <w:numPr>
          <w:ilvl w:val="0"/>
          <w:numId w:val="30"/>
        </w:numPr>
        <w:tabs>
          <w:tab w:pos="1801" w:val="left" w:leader="none"/>
        </w:tabs>
        <w:spacing w:line="222" w:lineRule="exact" w:before="0" w:after="0"/>
        <w:ind w:left="1800" w:right="0" w:hanging="360"/>
        <w:jc w:val="left"/>
        <w:rPr>
          <w:b/>
          <w:sz w:val="20"/>
        </w:rPr>
      </w:pPr>
      <w:r>
        <w:rPr>
          <w:b/>
          <w:sz w:val="20"/>
        </w:rPr>
        <w:t>Principios científicos, éticos,</w:t>
      </w:r>
      <w:r>
        <w:rPr>
          <w:b/>
          <w:spacing w:val="-1"/>
          <w:sz w:val="20"/>
        </w:rPr>
        <w:t> </w:t>
      </w:r>
      <w:r>
        <w:rPr>
          <w:b/>
          <w:sz w:val="20"/>
        </w:rPr>
        <w:t>morales.</w:t>
      </w:r>
    </w:p>
    <w:p>
      <w:pPr>
        <w:spacing w:line="276" w:lineRule="auto" w:before="38"/>
        <w:ind w:left="1440" w:right="1431" w:firstLine="0"/>
        <w:jc w:val="both"/>
        <w:rPr>
          <w:sz w:val="20"/>
        </w:rPr>
      </w:pPr>
      <w:r>
        <w:rPr>
          <w:sz w:val="20"/>
        </w:rPr>
        <w:t>Yo “nombre del autor”  soy  autor responsable de  la publicación “título  de  la publicación”  declaro  que la publicación se    apegó    a    los principios científicos, éticos y     morales     para     la elaboración de la publicación.</w:t>
      </w:r>
    </w:p>
    <w:p>
      <w:pPr>
        <w:pStyle w:val="ListParagraph"/>
        <w:numPr>
          <w:ilvl w:val="0"/>
          <w:numId w:val="30"/>
        </w:numPr>
        <w:tabs>
          <w:tab w:pos="1801" w:val="left" w:leader="none"/>
        </w:tabs>
        <w:spacing w:line="226" w:lineRule="exact" w:before="0" w:after="0"/>
        <w:ind w:left="1800" w:right="0" w:hanging="360"/>
        <w:jc w:val="left"/>
        <w:rPr>
          <w:b/>
          <w:sz w:val="20"/>
        </w:rPr>
      </w:pPr>
      <w:r>
        <w:rPr>
          <w:b/>
          <w:sz w:val="20"/>
        </w:rPr>
        <w:t>Exigencia de</w:t>
      </w:r>
      <w:r>
        <w:rPr>
          <w:b/>
          <w:spacing w:val="-3"/>
          <w:sz w:val="20"/>
        </w:rPr>
        <w:t> </w:t>
      </w:r>
      <w:r>
        <w:rPr>
          <w:b/>
          <w:sz w:val="20"/>
        </w:rPr>
        <w:t>originalidad.</w:t>
      </w:r>
    </w:p>
    <w:p>
      <w:pPr>
        <w:spacing w:line="276" w:lineRule="auto" w:before="38"/>
        <w:ind w:left="1440" w:right="1435" w:firstLine="0"/>
        <w:jc w:val="both"/>
        <w:rPr>
          <w:sz w:val="20"/>
        </w:rPr>
      </w:pPr>
      <w:r>
        <w:rPr>
          <w:sz w:val="20"/>
        </w:rPr>
        <w:t>Yo “nombre del autor” soy autor responsable de la publicación “título de la publicación” declaro que la publicación es un artículo original, cuyo contenido no ha sido publicado en otro medio. Además, declaro que los resultados y conclusiones no han sido manipulados para el beneficio de terceros.</w:t>
      </w:r>
    </w:p>
    <w:p>
      <w:pPr>
        <w:pStyle w:val="BodyText"/>
        <w:spacing w:before="10"/>
      </w:pPr>
    </w:p>
    <w:p>
      <w:pPr>
        <w:spacing w:before="1"/>
        <w:ind w:left="1440" w:right="0" w:firstLine="0"/>
        <w:jc w:val="left"/>
        <w:rPr>
          <w:b/>
          <w:sz w:val="20"/>
        </w:rPr>
      </w:pPr>
      <w:r>
        <w:rPr>
          <w:b/>
          <w:sz w:val="20"/>
        </w:rPr>
        <w:t>Pasos para publicar:</w:t>
      </w:r>
    </w:p>
    <w:p>
      <w:pPr>
        <w:pStyle w:val="ListParagraph"/>
        <w:numPr>
          <w:ilvl w:val="0"/>
          <w:numId w:val="31"/>
        </w:numPr>
        <w:tabs>
          <w:tab w:pos="1801" w:val="left" w:leader="none"/>
        </w:tabs>
        <w:spacing w:line="276" w:lineRule="auto" w:before="38" w:after="0"/>
        <w:ind w:left="1800" w:right="1434" w:hanging="360"/>
        <w:jc w:val="left"/>
        <w:rPr>
          <w:sz w:val="20"/>
        </w:rPr>
      </w:pPr>
      <w:r>
        <w:rPr>
          <w:sz w:val="20"/>
        </w:rPr>
        <w:t>Enviar un correo electrónico a la dirección electrónica </w:t>
      </w:r>
      <w:hyperlink r:id="rId25">
        <w:r>
          <w:rPr>
            <w:sz w:val="20"/>
          </w:rPr>
          <w:t>revistamedicasinergia@gmail.com </w:t>
        </w:r>
      </w:hyperlink>
      <w:r>
        <w:rPr>
          <w:sz w:val="20"/>
        </w:rPr>
        <w:t>solicitando la disponibilidad </w:t>
      </w:r>
      <w:r>
        <w:rPr>
          <w:spacing w:val="-3"/>
          <w:sz w:val="20"/>
        </w:rPr>
        <w:t>tema </w:t>
      </w:r>
      <w:r>
        <w:rPr>
          <w:sz w:val="20"/>
        </w:rPr>
        <w:t>para poder</w:t>
      </w:r>
      <w:r>
        <w:rPr>
          <w:spacing w:val="-1"/>
          <w:sz w:val="20"/>
        </w:rPr>
        <w:t> </w:t>
      </w:r>
      <w:r>
        <w:rPr>
          <w:sz w:val="20"/>
        </w:rPr>
        <w:t>publicar.</w:t>
      </w:r>
    </w:p>
    <w:p>
      <w:pPr>
        <w:pStyle w:val="ListParagraph"/>
        <w:numPr>
          <w:ilvl w:val="0"/>
          <w:numId w:val="31"/>
        </w:numPr>
        <w:tabs>
          <w:tab w:pos="1801" w:val="left" w:leader="none"/>
        </w:tabs>
        <w:spacing w:line="276" w:lineRule="auto" w:before="0" w:after="0"/>
        <w:ind w:left="1800" w:right="1443" w:hanging="360"/>
        <w:jc w:val="left"/>
        <w:rPr>
          <w:sz w:val="20"/>
        </w:rPr>
      </w:pPr>
      <w:r>
        <w:rPr>
          <w:sz w:val="20"/>
        </w:rPr>
        <w:t>Un coordinador de comunicará usted vía correo electrónico solicitando el articulo y los documentos adjuntos.</w:t>
      </w:r>
    </w:p>
    <w:p>
      <w:pPr>
        <w:pStyle w:val="ListParagraph"/>
        <w:numPr>
          <w:ilvl w:val="0"/>
          <w:numId w:val="31"/>
        </w:numPr>
        <w:tabs>
          <w:tab w:pos="1801" w:val="left" w:leader="none"/>
          <w:tab w:pos="3322" w:val="left" w:leader="none"/>
          <w:tab w:pos="4821" w:val="left" w:leader="none"/>
          <w:tab w:pos="6601" w:val="left" w:leader="none"/>
          <w:tab w:pos="7634" w:val="left" w:leader="none"/>
          <w:tab w:pos="8189" w:val="left" w:leader="none"/>
          <w:tab w:pos="8680" w:val="left" w:leader="none"/>
        </w:tabs>
        <w:spacing w:line="276" w:lineRule="auto" w:before="0" w:after="0"/>
        <w:ind w:left="1800" w:right="1433" w:hanging="360"/>
        <w:jc w:val="left"/>
        <w:rPr>
          <w:sz w:val="20"/>
        </w:rPr>
      </w:pPr>
      <w:r>
        <w:rPr>
          <w:sz w:val="20"/>
        </w:rPr>
        <w:t>El coordinador</w:t>
        <w:tab/>
        <w:t>le</w:t>
      </w:r>
      <w:r>
        <w:rPr>
          <w:spacing w:val="-2"/>
          <w:sz w:val="20"/>
        </w:rPr>
        <w:t> </w:t>
      </w:r>
      <w:r>
        <w:rPr>
          <w:sz w:val="20"/>
        </w:rPr>
        <w:t>informará</w:t>
      </w:r>
      <w:r>
        <w:rPr>
          <w:spacing w:val="1"/>
          <w:sz w:val="20"/>
        </w:rPr>
        <w:t> </w:t>
      </w:r>
      <w:r>
        <w:rPr>
          <w:sz w:val="20"/>
        </w:rPr>
        <w:t>si</w:t>
        <w:tab/>
        <w:t>su</w:t>
      </w:r>
      <w:r>
        <w:rPr>
          <w:spacing w:val="-2"/>
          <w:sz w:val="20"/>
        </w:rPr>
        <w:t> </w:t>
      </w:r>
      <w:r>
        <w:rPr>
          <w:sz w:val="20"/>
        </w:rPr>
        <w:t>publicación ha</w:t>
        <w:tab/>
        <w:t>cumplido</w:t>
        <w:tab/>
        <w:t>con</w:t>
        <w:tab/>
        <w:t>los</w:t>
        <w:tab/>
        <w:t>requisitos mínimos para la publicación.</w:t>
      </w:r>
    </w:p>
    <w:p>
      <w:pPr>
        <w:pStyle w:val="ListParagraph"/>
        <w:numPr>
          <w:ilvl w:val="0"/>
          <w:numId w:val="31"/>
        </w:numPr>
        <w:tabs>
          <w:tab w:pos="1801" w:val="left" w:leader="none"/>
        </w:tabs>
        <w:spacing w:line="276" w:lineRule="auto" w:before="3" w:after="0"/>
        <w:ind w:left="1800" w:right="1435" w:hanging="360"/>
        <w:jc w:val="both"/>
        <w:rPr>
          <w:sz w:val="20"/>
        </w:rPr>
      </w:pPr>
      <w:r>
        <w:rPr>
          <w:sz w:val="20"/>
        </w:rPr>
        <w:t>La publicación será enviada al comité asesor y entidad editora, quienes valorarán la calidad de la publicación. Luego la publicación será enviada al sistema de arbitraje externo, compuesto por un panel de expertos en el </w:t>
      </w:r>
      <w:r>
        <w:rPr>
          <w:spacing w:val="-3"/>
          <w:sz w:val="20"/>
        </w:rPr>
        <w:t>tema </w:t>
      </w:r>
      <w:r>
        <w:rPr>
          <w:sz w:val="20"/>
        </w:rPr>
        <w:t>para la evaluación de la información. El sistema de arbitraje externo evaluará la publicación sin conocer el nombre del autor del</w:t>
      </w:r>
      <w:r>
        <w:rPr>
          <w:spacing w:val="0"/>
          <w:sz w:val="20"/>
        </w:rPr>
        <w:t> </w:t>
      </w:r>
      <w:r>
        <w:rPr>
          <w:sz w:val="20"/>
        </w:rPr>
        <w:t>artículo.</w:t>
      </w:r>
    </w:p>
    <w:p>
      <w:pPr>
        <w:pStyle w:val="ListParagraph"/>
        <w:numPr>
          <w:ilvl w:val="0"/>
          <w:numId w:val="31"/>
        </w:numPr>
        <w:tabs>
          <w:tab w:pos="1801" w:val="left" w:leader="none"/>
        </w:tabs>
        <w:spacing w:line="276" w:lineRule="auto" w:before="0" w:after="0"/>
        <w:ind w:left="1800" w:right="1435" w:hanging="360"/>
        <w:jc w:val="both"/>
        <w:rPr>
          <w:sz w:val="20"/>
        </w:rPr>
      </w:pPr>
      <w:r>
        <w:rPr>
          <w:sz w:val="20"/>
        </w:rPr>
        <w:t>El coordinador se comunicará con usted informando si la publicación fue aceptada, observada (se debe realizar cambios) o rechazada. En caso de ser observada, el autor tiene 48 horas para realizar los cambios</w:t>
      </w:r>
      <w:r>
        <w:rPr>
          <w:spacing w:val="0"/>
          <w:sz w:val="20"/>
        </w:rPr>
        <w:t> </w:t>
      </w:r>
      <w:r>
        <w:rPr>
          <w:sz w:val="20"/>
        </w:rPr>
        <w:t>pertinentes.</w:t>
      </w:r>
    </w:p>
    <w:p>
      <w:pPr>
        <w:pStyle w:val="ListParagraph"/>
        <w:numPr>
          <w:ilvl w:val="0"/>
          <w:numId w:val="31"/>
        </w:numPr>
        <w:tabs>
          <w:tab w:pos="1801" w:val="left" w:leader="none"/>
          <w:tab w:pos="2795" w:val="left" w:leader="none"/>
          <w:tab w:pos="4684" w:val="left" w:leader="none"/>
          <w:tab w:pos="5799" w:val="left" w:leader="none"/>
          <w:tab w:pos="6255" w:val="left" w:leader="none"/>
          <w:tab w:pos="7601" w:val="left" w:leader="none"/>
          <w:tab w:pos="8056" w:val="left" w:leader="none"/>
          <w:tab w:pos="9003" w:val="left" w:leader="none"/>
          <w:tab w:pos="9555" w:val="left" w:leader="none"/>
          <w:tab w:pos="10573" w:val="left" w:leader="none"/>
        </w:tabs>
        <w:spacing w:line="276" w:lineRule="auto" w:before="1" w:after="0"/>
        <w:ind w:left="1800" w:right="1442" w:hanging="360"/>
        <w:jc w:val="left"/>
        <w:rPr>
          <w:sz w:val="20"/>
        </w:rPr>
      </w:pPr>
      <w:r>
        <w:rPr>
          <w:sz w:val="20"/>
        </w:rPr>
        <w:t>Cuando</w:t>
        <w:tab/>
        <w:t>la publicación</w:t>
      </w:r>
      <w:r>
        <w:rPr>
          <w:spacing w:val="0"/>
          <w:sz w:val="20"/>
        </w:rPr>
        <w:t> </w:t>
      </w:r>
      <w:r>
        <w:rPr>
          <w:sz w:val="20"/>
        </w:rPr>
        <w:t>sea</w:t>
        <w:tab/>
        <w:t>aceptada</w:t>
        <w:tab/>
        <w:t>el</w:t>
        <w:tab/>
        <w:t>coordinador</w:t>
        <w:tab/>
        <w:t>le</w:t>
        <w:tab/>
        <w:t>enviara</w:t>
        <w:tab/>
        <w:t>las</w:t>
        <w:tab/>
        <w:t>pruebas</w:t>
        <w:tab/>
        <w:t>de imprenta vía correo electrónico. En este paso NO se podrá realizar modificaciones en la</w:t>
      </w:r>
      <w:r>
        <w:rPr>
          <w:spacing w:val="-23"/>
          <w:sz w:val="20"/>
        </w:rPr>
        <w:t> </w:t>
      </w:r>
      <w:r>
        <w:rPr>
          <w:sz w:val="20"/>
        </w:rPr>
        <w:t>publicación.</w:t>
      </w:r>
    </w:p>
    <w:p>
      <w:pPr>
        <w:spacing w:after="0" w:line="276" w:lineRule="auto"/>
        <w:jc w:val="left"/>
        <w:rPr>
          <w:sz w:val="20"/>
        </w:rPr>
        <w:sectPr>
          <w:headerReference w:type="even" r:id="rId82"/>
          <w:footerReference w:type="even" r:id="rId83"/>
          <w:pgSz w:w="12240" w:h="15840"/>
          <w:pgMar w:header="723" w:footer="872" w:top="940" w:bottom="1060" w:left="0" w:right="0"/>
          <w:pgNumType w:start="34"/>
        </w:sectPr>
      </w:pPr>
    </w:p>
    <w:p>
      <w:pPr>
        <w:pStyle w:val="BodyText"/>
        <w:rPr>
          <w:sz w:val="20"/>
        </w:rPr>
      </w:pPr>
    </w:p>
    <w:p>
      <w:pPr>
        <w:spacing w:before="213"/>
        <w:ind w:left="3701" w:right="0" w:firstLine="0"/>
        <w:jc w:val="left"/>
        <w:rPr>
          <w:b/>
          <w:i/>
          <w:sz w:val="36"/>
        </w:rPr>
      </w:pPr>
      <w:r>
        <w:rPr/>
        <w:drawing>
          <wp:anchor distT="0" distB="0" distL="0" distR="0" allowOverlap="1" layoutInCell="1" locked="0" behindDoc="1" simplePos="0" relativeHeight="268370999">
            <wp:simplePos x="0" y="0"/>
            <wp:positionH relativeFrom="page">
              <wp:posOffset>-3175</wp:posOffset>
            </wp:positionH>
            <wp:positionV relativeFrom="paragraph">
              <wp:posOffset>85137</wp:posOffset>
            </wp:positionV>
            <wp:extent cx="7778750" cy="485775"/>
            <wp:effectExtent l="0" t="0" r="0" b="0"/>
            <wp:wrapNone/>
            <wp:docPr id="95" name="image41.png" descr=""/>
            <wp:cNvGraphicFramePr>
              <a:graphicFrameLocks noChangeAspect="1"/>
            </wp:cNvGraphicFramePr>
            <a:graphic>
              <a:graphicData uri="http://schemas.openxmlformats.org/drawingml/2006/picture">
                <pic:pic>
                  <pic:nvPicPr>
                    <pic:cNvPr id="96" name="image41.png"/>
                    <pic:cNvPicPr/>
                  </pic:nvPicPr>
                  <pic:blipFill>
                    <a:blip r:embed="rId86" cstate="print"/>
                    <a:stretch>
                      <a:fillRect/>
                    </a:stretch>
                  </pic:blipFill>
                  <pic:spPr>
                    <a:xfrm>
                      <a:off x="0" y="0"/>
                      <a:ext cx="7778750" cy="485775"/>
                    </a:xfrm>
                    <a:prstGeom prst="rect">
                      <a:avLst/>
                    </a:prstGeom>
                  </pic:spPr>
                </pic:pic>
              </a:graphicData>
            </a:graphic>
          </wp:anchor>
        </w:drawing>
      </w:r>
      <w:r>
        <w:rPr>
          <w:b/>
          <w:i/>
          <w:sz w:val="36"/>
        </w:rPr>
        <w:t>PUBLIQUE CON NOSOTROS</w:t>
      </w: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spacing w:before="10"/>
        <w:rPr>
          <w:b/>
          <w:i/>
          <w:sz w:val="11"/>
        </w:rPr>
      </w:pPr>
      <w:r>
        <w:rPr/>
        <w:drawing>
          <wp:anchor distT="0" distB="0" distL="0" distR="0" allowOverlap="1" layoutInCell="1" locked="0" behindDoc="0" simplePos="0" relativeHeight="1696">
            <wp:simplePos x="0" y="0"/>
            <wp:positionH relativeFrom="page">
              <wp:posOffset>2643504</wp:posOffset>
            </wp:positionH>
            <wp:positionV relativeFrom="paragraph">
              <wp:posOffset>111927</wp:posOffset>
            </wp:positionV>
            <wp:extent cx="2069862" cy="1859756"/>
            <wp:effectExtent l="0" t="0" r="0" b="0"/>
            <wp:wrapTopAndBottom/>
            <wp:docPr id="97" name="image42.jpeg" descr=""/>
            <wp:cNvGraphicFramePr>
              <a:graphicFrameLocks noChangeAspect="1"/>
            </wp:cNvGraphicFramePr>
            <a:graphic>
              <a:graphicData uri="http://schemas.openxmlformats.org/drawingml/2006/picture">
                <pic:pic>
                  <pic:nvPicPr>
                    <pic:cNvPr id="98" name="image42.jpeg"/>
                    <pic:cNvPicPr/>
                  </pic:nvPicPr>
                  <pic:blipFill>
                    <a:blip r:embed="rId87" cstate="print"/>
                    <a:stretch>
                      <a:fillRect/>
                    </a:stretch>
                  </pic:blipFill>
                  <pic:spPr>
                    <a:xfrm>
                      <a:off x="0" y="0"/>
                      <a:ext cx="2069862" cy="1859756"/>
                    </a:xfrm>
                    <a:prstGeom prst="rect">
                      <a:avLst/>
                    </a:prstGeom>
                  </pic:spPr>
                </pic:pic>
              </a:graphicData>
            </a:graphic>
          </wp:anchor>
        </w:drawing>
      </w:r>
    </w:p>
    <w:p>
      <w:pPr>
        <w:pStyle w:val="BodyText"/>
        <w:rPr>
          <w:b/>
          <w:i/>
          <w:sz w:val="20"/>
        </w:rPr>
      </w:pPr>
    </w:p>
    <w:p>
      <w:pPr>
        <w:pStyle w:val="BodyText"/>
        <w:rPr>
          <w:b/>
          <w:i/>
          <w:sz w:val="20"/>
        </w:rPr>
      </w:pPr>
    </w:p>
    <w:p>
      <w:pPr>
        <w:pStyle w:val="BodyText"/>
        <w:rPr>
          <w:b/>
          <w:i/>
          <w:sz w:val="20"/>
        </w:rPr>
      </w:pPr>
    </w:p>
    <w:p>
      <w:pPr>
        <w:pStyle w:val="BodyText"/>
        <w:spacing w:before="2"/>
        <w:rPr>
          <w:b/>
          <w:i/>
          <w:sz w:val="17"/>
        </w:rPr>
      </w:pPr>
    </w:p>
    <w:p>
      <w:pPr>
        <w:spacing w:line="276" w:lineRule="auto" w:before="92"/>
        <w:ind w:left="1721" w:right="1732" w:firstLine="0"/>
        <w:jc w:val="center"/>
        <w:rPr>
          <w:sz w:val="24"/>
        </w:rPr>
      </w:pPr>
      <w:r>
        <w:rPr>
          <w:sz w:val="24"/>
        </w:rPr>
        <w:t>La publicación de un artículo científico, revisiones bibliográficas, etc. Contribuye al desarrollo de la sociedad y a que otros investigadores acorten sus tiempos de investigación.</w:t>
      </w:r>
    </w:p>
    <w:p>
      <w:pPr>
        <w:spacing w:line="448" w:lineRule="auto" w:before="203"/>
        <w:ind w:left="2776" w:right="2784" w:firstLine="0"/>
        <w:jc w:val="center"/>
        <w:rPr>
          <w:sz w:val="24"/>
        </w:rPr>
      </w:pPr>
      <w:r>
        <w:rPr>
          <w:sz w:val="24"/>
        </w:rPr>
        <w:t>Al publicar artículos se muestra la fortaleza en investigación Por ello lo invitamos a publicar con nosotros</w:t>
      </w:r>
    </w:p>
    <w:p>
      <w:pPr>
        <w:pStyle w:val="BodyText"/>
        <w:rPr>
          <w:sz w:val="26"/>
        </w:rPr>
      </w:pPr>
    </w:p>
    <w:p>
      <w:pPr>
        <w:spacing w:line="448" w:lineRule="auto" w:before="227"/>
        <w:ind w:left="5514" w:right="4802" w:hanging="47"/>
        <w:jc w:val="center"/>
        <w:rPr>
          <w:sz w:val="22"/>
        </w:rPr>
      </w:pPr>
      <w:r>
        <w:rPr>
          <w:sz w:val="24"/>
        </w:rPr>
        <w:t>Contáctenos Teléfono: </w:t>
      </w:r>
      <w:r>
        <w:rPr>
          <w:sz w:val="22"/>
        </w:rPr>
        <w:t>8668002</w:t>
      </w:r>
    </w:p>
    <w:p>
      <w:pPr>
        <w:spacing w:before="6"/>
        <w:ind w:left="2439" w:right="1732" w:firstLine="0"/>
        <w:jc w:val="center"/>
        <w:rPr>
          <w:sz w:val="24"/>
        </w:rPr>
      </w:pPr>
      <w:r>
        <w:rPr>
          <w:sz w:val="24"/>
        </w:rPr>
        <w:t>E-mail: </w:t>
      </w:r>
      <w:hyperlink r:id="rId25">
        <w:r>
          <w:rPr>
            <w:sz w:val="24"/>
          </w:rPr>
          <w:t>revistamedicasinergia@gmail.com</w:t>
        </w:r>
      </w:hyperlink>
    </w:p>
    <w:p>
      <w:pPr>
        <w:spacing w:after="0"/>
        <w:jc w:val="center"/>
        <w:rPr>
          <w:sz w:val="24"/>
        </w:rPr>
        <w:sectPr>
          <w:headerReference w:type="default" r:id="rId84"/>
          <w:footerReference w:type="default" r:id="rId85"/>
          <w:pgSz w:w="12240" w:h="15840"/>
          <w:pgMar w:header="0" w:footer="0" w:top="1500" w:bottom="280" w:left="0" w:right="0"/>
        </w:sectPr>
      </w:pPr>
    </w:p>
    <w:p>
      <w:pPr>
        <w:spacing w:line="1102" w:lineRule="exact" w:before="0"/>
        <w:ind w:left="1700" w:right="0" w:firstLine="0"/>
        <w:jc w:val="left"/>
        <w:rPr>
          <w:rFonts w:ascii="Calibri"/>
          <w:sz w:val="96"/>
        </w:rPr>
      </w:pPr>
      <w:r>
        <w:rPr/>
        <w:pict>
          <v:group style="position:absolute;margin-left:-.25pt;margin-top:0pt;width:610.7pt;height:792pt;mso-position-horizontal-relative:page;mso-position-vertical-relative:page;z-index:-64432" coordorigin="-5,0" coordsize="12214,15840">
            <v:shape style="position:absolute;left:0;top:0;width:11908;height:15840" coordorigin="0,0" coordsize="11908,15840" path="m11908,3115l0,3115,0,15840,11908,15840,11908,3115m11908,0l0,0,0,2950,11908,2950,11908,0e" filled="true" fillcolor="#deeaf6" stroked="false">
              <v:path arrowok="t"/>
              <v:fill type="solid"/>
            </v:shape>
            <v:shape style="position:absolute;left:1064;top:1116;width:4196;height:2152" type="#_x0000_t75" stroked="false">
              <v:imagedata r:id="rId90" o:title=""/>
            </v:shape>
            <v:shape style="position:absolute;left:-5;top:2945;width:12214;height:175" type="#_x0000_t75" stroked="false">
              <v:imagedata r:id="rId91" o:title=""/>
            </v:shape>
            <w10:wrap type="none"/>
          </v:group>
        </w:pict>
      </w:r>
      <w:r>
        <w:rPr>
          <w:rFonts w:ascii="Calibri"/>
          <w:color w:val="5B9BD4"/>
          <w:sz w:val="96"/>
        </w:rPr>
        <w:t>Indice</w:t>
      </w:r>
    </w:p>
    <w:p>
      <w:pPr>
        <w:pStyle w:val="BodyText"/>
        <w:spacing w:before="8"/>
        <w:rPr>
          <w:rFonts w:ascii="Calibri"/>
          <w:sz w:val="96"/>
        </w:rPr>
      </w:pPr>
    </w:p>
    <w:p>
      <w:pPr>
        <w:spacing w:before="0"/>
        <w:ind w:left="1700" w:right="0" w:firstLine="0"/>
        <w:jc w:val="left"/>
        <w:rPr>
          <w:b/>
          <w:sz w:val="28"/>
        </w:rPr>
      </w:pPr>
      <w:r>
        <w:rPr>
          <w:b/>
          <w:sz w:val="28"/>
        </w:rPr>
        <w:t>REVISIONES BIBLIOGRAFICAS</w:t>
      </w:r>
    </w:p>
    <w:p>
      <w:pPr>
        <w:pStyle w:val="BodyText"/>
        <w:rPr>
          <w:b/>
          <w:sz w:val="20"/>
        </w:rPr>
      </w:pPr>
    </w:p>
    <w:p>
      <w:pPr>
        <w:pStyle w:val="BodyText"/>
        <w:rPr>
          <w:b/>
          <w:sz w:val="20"/>
        </w:rPr>
      </w:pPr>
    </w:p>
    <w:p>
      <w:pPr>
        <w:pStyle w:val="BodyText"/>
        <w:spacing w:before="8"/>
        <w:rPr>
          <w:b/>
          <w:sz w:val="26"/>
        </w:rPr>
      </w:pPr>
    </w:p>
    <w:tbl>
      <w:tblPr>
        <w:tblW w:w="0" w:type="auto"/>
        <w:jc w:val="left"/>
        <w:tblInd w:w="1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813"/>
      </w:tblGrid>
      <w:tr>
        <w:trPr>
          <w:trHeight w:val="1303" w:hRule="atLeast"/>
        </w:trPr>
        <w:tc>
          <w:tcPr>
            <w:tcW w:w="8813" w:type="dxa"/>
            <w:shd w:val="clear" w:color="auto" w:fill="DEEAF6"/>
          </w:tcPr>
          <w:p>
            <w:pPr>
              <w:pStyle w:val="TableParagraph"/>
              <w:spacing w:line="268" w:lineRule="exact"/>
              <w:ind w:left="200"/>
              <w:rPr>
                <w:b/>
                <w:sz w:val="24"/>
              </w:rPr>
            </w:pPr>
            <w:r>
              <w:rPr>
                <w:b/>
                <w:sz w:val="24"/>
              </w:rPr>
              <w:t>AREA DE MEDICINA INTERNA</w:t>
            </w:r>
          </w:p>
          <w:p>
            <w:pPr>
              <w:pStyle w:val="TableParagraph"/>
              <w:spacing w:before="8"/>
              <w:ind w:left="0"/>
              <w:rPr>
                <w:b/>
                <w:sz w:val="24"/>
              </w:rPr>
            </w:pPr>
          </w:p>
          <w:p>
            <w:pPr>
              <w:pStyle w:val="TableParagraph"/>
              <w:ind w:left="200"/>
              <w:rPr>
                <w:sz w:val="24"/>
              </w:rPr>
            </w:pPr>
            <w:r>
              <w:rPr>
                <w:sz w:val="24"/>
              </w:rPr>
              <w:t>Actualización de los factores de riesgo cardiovascular</w:t>
            </w:r>
          </w:p>
          <w:p>
            <w:pPr>
              <w:pStyle w:val="TableParagraph"/>
              <w:tabs>
                <w:tab w:pos="8600" w:val="right" w:leader="dot"/>
              </w:tabs>
              <w:spacing w:before="38"/>
              <w:ind w:left="200"/>
              <w:rPr>
                <w:sz w:val="22"/>
              </w:rPr>
            </w:pPr>
            <w:r>
              <w:rPr>
                <w:i/>
                <w:sz w:val="20"/>
              </w:rPr>
              <w:t>Randall</w:t>
            </w:r>
            <w:r>
              <w:rPr>
                <w:i/>
                <w:spacing w:val="-2"/>
                <w:sz w:val="20"/>
              </w:rPr>
              <w:t> </w:t>
            </w:r>
            <w:r>
              <w:rPr>
                <w:i/>
                <w:sz w:val="20"/>
              </w:rPr>
              <w:t>Quirós</w:t>
            </w:r>
            <w:r>
              <w:rPr>
                <w:i/>
                <w:spacing w:val="-1"/>
                <w:sz w:val="20"/>
              </w:rPr>
              <w:t> </w:t>
            </w:r>
            <w:r>
              <w:rPr>
                <w:i/>
                <w:sz w:val="20"/>
              </w:rPr>
              <w:t>Fallas</w:t>
              <w:tab/>
            </w:r>
            <w:r>
              <w:rPr>
                <w:sz w:val="22"/>
              </w:rPr>
              <w:t>3</w:t>
            </w:r>
          </w:p>
        </w:tc>
      </w:tr>
      <w:tr>
        <w:trPr>
          <w:trHeight w:val="1242" w:hRule="atLeast"/>
        </w:trPr>
        <w:tc>
          <w:tcPr>
            <w:tcW w:w="8813" w:type="dxa"/>
            <w:shd w:val="clear" w:color="auto" w:fill="DEEAF6"/>
          </w:tcPr>
          <w:p>
            <w:pPr>
              <w:pStyle w:val="TableParagraph"/>
              <w:spacing w:before="176"/>
              <w:ind w:left="200"/>
              <w:rPr>
                <w:sz w:val="24"/>
              </w:rPr>
            </w:pPr>
            <w:r>
              <w:rPr>
                <w:sz w:val="24"/>
              </w:rPr>
              <w:t>Cáncer de mama</w:t>
            </w:r>
          </w:p>
          <w:p>
            <w:pPr>
              <w:pStyle w:val="TableParagraph"/>
              <w:tabs>
                <w:tab w:pos="8579" w:val="right" w:leader="dot"/>
              </w:tabs>
              <w:spacing w:before="38"/>
              <w:ind w:left="200"/>
              <w:rPr>
                <w:sz w:val="22"/>
              </w:rPr>
            </w:pPr>
            <w:r>
              <w:rPr>
                <w:i/>
                <w:sz w:val="20"/>
              </w:rPr>
              <w:t>Mariangela</w:t>
            </w:r>
            <w:r>
              <w:rPr>
                <w:i/>
                <w:spacing w:val="-1"/>
                <w:sz w:val="20"/>
              </w:rPr>
              <w:t> </w:t>
            </w:r>
            <w:r>
              <w:rPr>
                <w:i/>
                <w:sz w:val="20"/>
              </w:rPr>
              <w:t>Espinosa</w:t>
            </w:r>
            <w:r>
              <w:rPr>
                <w:i/>
                <w:spacing w:val="-1"/>
                <w:sz w:val="20"/>
              </w:rPr>
              <w:t> </w:t>
            </w:r>
            <w:r>
              <w:rPr>
                <w:i/>
                <w:sz w:val="20"/>
              </w:rPr>
              <w:t>Ramírez</w:t>
              <w:tab/>
            </w:r>
            <w:r>
              <w:rPr>
                <w:sz w:val="22"/>
              </w:rPr>
              <w:t>8</w:t>
            </w:r>
          </w:p>
        </w:tc>
      </w:tr>
      <w:tr>
        <w:trPr>
          <w:trHeight w:val="1776" w:hRule="atLeast"/>
        </w:trPr>
        <w:tc>
          <w:tcPr>
            <w:tcW w:w="8813" w:type="dxa"/>
            <w:shd w:val="clear" w:color="auto" w:fill="DEEAF6"/>
          </w:tcPr>
          <w:p>
            <w:pPr>
              <w:pStyle w:val="TableParagraph"/>
              <w:ind w:left="0"/>
              <w:rPr>
                <w:b/>
                <w:sz w:val="26"/>
              </w:rPr>
            </w:pPr>
          </w:p>
          <w:p>
            <w:pPr>
              <w:pStyle w:val="TableParagraph"/>
              <w:spacing w:before="191"/>
              <w:ind w:left="200"/>
              <w:rPr>
                <w:b/>
                <w:sz w:val="24"/>
              </w:rPr>
            </w:pPr>
            <w:r>
              <w:rPr>
                <w:b/>
                <w:sz w:val="24"/>
              </w:rPr>
              <w:t>AREA DE CIRUGIA</w:t>
            </w:r>
          </w:p>
          <w:p>
            <w:pPr>
              <w:pStyle w:val="TableParagraph"/>
              <w:spacing w:before="7"/>
              <w:ind w:left="0"/>
              <w:rPr>
                <w:b/>
                <w:sz w:val="24"/>
              </w:rPr>
            </w:pPr>
          </w:p>
          <w:p>
            <w:pPr>
              <w:pStyle w:val="TableParagraph"/>
              <w:ind w:left="200"/>
              <w:rPr>
                <w:sz w:val="24"/>
              </w:rPr>
            </w:pPr>
            <w:r>
              <w:rPr>
                <w:sz w:val="24"/>
              </w:rPr>
              <w:t>Adenocarcinoma gástrico</w:t>
            </w:r>
          </w:p>
          <w:p>
            <w:pPr>
              <w:pStyle w:val="TableParagraph"/>
              <w:tabs>
                <w:tab w:pos="8568" w:val="right" w:leader="dot"/>
              </w:tabs>
              <w:spacing w:before="35"/>
              <w:ind w:left="200"/>
              <w:rPr>
                <w:sz w:val="22"/>
              </w:rPr>
            </w:pPr>
            <w:r>
              <w:rPr>
                <w:i/>
                <w:sz w:val="20"/>
              </w:rPr>
              <w:t>Esteban</w:t>
            </w:r>
            <w:r>
              <w:rPr>
                <w:i/>
                <w:spacing w:val="-1"/>
                <w:sz w:val="20"/>
              </w:rPr>
              <w:t> </w:t>
            </w:r>
            <w:r>
              <w:rPr>
                <w:i/>
                <w:sz w:val="20"/>
              </w:rPr>
              <w:t>Sánchez</w:t>
            </w:r>
            <w:r>
              <w:rPr>
                <w:i/>
                <w:spacing w:val="-8"/>
                <w:sz w:val="20"/>
              </w:rPr>
              <w:t> </w:t>
            </w:r>
            <w:r>
              <w:rPr>
                <w:i/>
                <w:sz w:val="20"/>
              </w:rPr>
              <w:t>Gaitán</w:t>
              <w:tab/>
            </w:r>
            <w:r>
              <w:rPr>
                <w:sz w:val="22"/>
              </w:rPr>
              <w:t>13</w:t>
            </w:r>
          </w:p>
        </w:tc>
      </w:tr>
      <w:tr>
        <w:trPr>
          <w:trHeight w:val="853" w:hRule="atLeast"/>
        </w:trPr>
        <w:tc>
          <w:tcPr>
            <w:tcW w:w="8813" w:type="dxa"/>
            <w:shd w:val="clear" w:color="auto" w:fill="DEEAF6"/>
          </w:tcPr>
          <w:p>
            <w:pPr>
              <w:pStyle w:val="TableParagraph"/>
              <w:spacing w:line="275" w:lineRule="exact" w:before="154"/>
              <w:ind w:left="200"/>
              <w:rPr>
                <w:sz w:val="24"/>
              </w:rPr>
            </w:pPr>
            <w:r>
              <w:rPr>
                <w:sz w:val="24"/>
              </w:rPr>
              <w:t>Artritis séptica</w:t>
            </w:r>
          </w:p>
          <w:p>
            <w:pPr>
              <w:pStyle w:val="TableParagraph"/>
              <w:tabs>
                <w:tab w:pos="8588" w:val="right" w:leader="dot"/>
              </w:tabs>
              <w:spacing w:line="252" w:lineRule="exact"/>
              <w:ind w:left="200"/>
              <w:rPr>
                <w:sz w:val="22"/>
              </w:rPr>
            </w:pPr>
            <w:r>
              <w:rPr>
                <w:i/>
                <w:sz w:val="20"/>
              </w:rPr>
              <w:t>María Fernanda</w:t>
            </w:r>
            <w:r>
              <w:rPr>
                <w:i/>
                <w:spacing w:val="-4"/>
                <w:sz w:val="20"/>
              </w:rPr>
              <w:t> </w:t>
            </w:r>
            <w:r>
              <w:rPr>
                <w:i/>
                <w:sz w:val="20"/>
              </w:rPr>
              <w:t>Bolaños</w:t>
            </w:r>
            <w:r>
              <w:rPr>
                <w:i/>
                <w:spacing w:val="-1"/>
                <w:sz w:val="20"/>
              </w:rPr>
              <w:t> </w:t>
            </w:r>
            <w:r>
              <w:rPr>
                <w:i/>
                <w:sz w:val="20"/>
              </w:rPr>
              <w:t>Solís</w:t>
              <w:tab/>
            </w:r>
            <w:r>
              <w:rPr>
                <w:sz w:val="22"/>
              </w:rPr>
              <w:t>22</w:t>
            </w:r>
          </w:p>
        </w:tc>
      </w:tr>
      <w:tr>
        <w:trPr>
          <w:trHeight w:val="1284" w:hRule="atLeast"/>
        </w:trPr>
        <w:tc>
          <w:tcPr>
            <w:tcW w:w="8813" w:type="dxa"/>
            <w:shd w:val="clear" w:color="auto" w:fill="DEEAF6"/>
          </w:tcPr>
          <w:p>
            <w:pPr>
              <w:pStyle w:val="TableParagraph"/>
              <w:spacing w:before="164"/>
              <w:ind w:left="200"/>
              <w:rPr>
                <w:sz w:val="24"/>
              </w:rPr>
            </w:pPr>
            <w:r>
              <w:rPr>
                <w:sz w:val="24"/>
              </w:rPr>
              <w:t>Prostatitis</w:t>
            </w:r>
          </w:p>
          <w:p>
            <w:pPr>
              <w:pStyle w:val="TableParagraph"/>
              <w:tabs>
                <w:tab w:pos="8612" w:val="right" w:leader="dot"/>
              </w:tabs>
              <w:spacing w:before="38"/>
              <w:ind w:left="200"/>
              <w:rPr>
                <w:sz w:val="22"/>
              </w:rPr>
            </w:pPr>
            <w:r>
              <w:rPr>
                <w:i/>
                <w:sz w:val="20"/>
              </w:rPr>
              <w:t>Karla</w:t>
            </w:r>
            <w:r>
              <w:rPr>
                <w:i/>
                <w:spacing w:val="-1"/>
                <w:sz w:val="20"/>
              </w:rPr>
              <w:t> </w:t>
            </w:r>
            <w:r>
              <w:rPr>
                <w:i/>
                <w:sz w:val="20"/>
              </w:rPr>
              <w:t>León</w:t>
            </w:r>
            <w:r>
              <w:rPr>
                <w:i/>
                <w:spacing w:val="-3"/>
                <w:sz w:val="20"/>
              </w:rPr>
              <w:t> </w:t>
            </w:r>
            <w:r>
              <w:rPr>
                <w:i/>
                <w:sz w:val="20"/>
              </w:rPr>
              <w:t>Torres</w:t>
              <w:tab/>
            </w:r>
            <w:r>
              <w:rPr>
                <w:sz w:val="22"/>
              </w:rPr>
              <w:t>26</w:t>
            </w:r>
          </w:p>
        </w:tc>
      </w:tr>
      <w:tr>
        <w:trPr>
          <w:trHeight w:val="820" w:hRule="atLeast"/>
        </w:trPr>
        <w:tc>
          <w:tcPr>
            <w:tcW w:w="8813" w:type="dxa"/>
            <w:shd w:val="clear" w:color="auto" w:fill="DEEAF6"/>
          </w:tcPr>
          <w:p>
            <w:pPr>
              <w:pStyle w:val="TableParagraph"/>
              <w:tabs>
                <w:tab w:pos="8607" w:val="right" w:leader="dot"/>
              </w:tabs>
              <w:spacing w:line="256" w:lineRule="exact" w:before="544"/>
              <w:ind w:left="200"/>
              <w:rPr>
                <w:sz w:val="22"/>
              </w:rPr>
            </w:pPr>
            <w:r>
              <w:rPr>
                <w:sz w:val="24"/>
              </w:rPr>
              <w:t>Instrucciones</w:t>
            </w:r>
            <w:r>
              <w:rPr>
                <w:spacing w:val="3"/>
                <w:sz w:val="24"/>
              </w:rPr>
              <w:t> </w:t>
            </w:r>
            <w:r>
              <w:rPr>
                <w:sz w:val="24"/>
              </w:rPr>
              <w:t>de</w:t>
            </w:r>
            <w:r>
              <w:rPr>
                <w:spacing w:val="-2"/>
                <w:sz w:val="24"/>
              </w:rPr>
              <w:t> </w:t>
            </w:r>
            <w:r>
              <w:rPr>
                <w:sz w:val="24"/>
              </w:rPr>
              <w:t>publicación</w:t>
              <w:tab/>
            </w:r>
            <w:r>
              <w:rPr>
                <w:sz w:val="22"/>
              </w:rPr>
              <w:t>32</w:t>
            </w:r>
          </w:p>
        </w:tc>
      </w:tr>
    </w:tbl>
    <w:sectPr>
      <w:headerReference w:type="even" r:id="rId88"/>
      <w:footerReference w:type="even" r:id="rId89"/>
      <w:pgSz w:w="12240" w:h="15840"/>
      <w:pgMar w:header="0" w:footer="0" w:top="1500" w:bottom="28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 w:name="Cambria Math">
    <w:altName w:val="Cambria Math"/>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70303">
          <wp:simplePos x="0" y="0"/>
          <wp:positionH relativeFrom="page">
            <wp:posOffset>916939</wp:posOffset>
          </wp:positionH>
          <wp:positionV relativeFrom="page">
            <wp:posOffset>9441180</wp:posOffset>
          </wp:positionV>
          <wp:extent cx="5910580" cy="203200"/>
          <wp:effectExtent l="0" t="0" r="0" b="0"/>
          <wp:wrapNone/>
          <wp:docPr id="9" name="image28.png" descr=""/>
          <wp:cNvGraphicFramePr>
            <a:graphicFrameLocks noChangeAspect="1"/>
          </wp:cNvGraphicFramePr>
          <a:graphic>
            <a:graphicData uri="http://schemas.openxmlformats.org/drawingml/2006/picture">
              <pic:pic>
                <pic:nvPicPr>
                  <pic:cNvPr id="10" name="image28.png"/>
                  <pic:cNvPicPr/>
                </pic:nvPicPr>
                <pic:blipFill>
                  <a:blip r:embed="rId1" cstate="print"/>
                  <a:stretch>
                    <a:fillRect/>
                  </a:stretch>
                </pic:blipFill>
                <pic:spPr>
                  <a:xfrm>
                    <a:off x="0" y="0"/>
                    <a:ext cx="5910580" cy="203200"/>
                  </a:xfrm>
                  <a:prstGeom prst="rect">
                    <a:avLst/>
                  </a:prstGeom>
                </pic:spPr>
              </pic:pic>
            </a:graphicData>
          </a:graphic>
        </wp:anchor>
      </w:drawing>
    </w:r>
    <w:r>
      <w:rPr/>
      <w:drawing>
        <wp:anchor distT="0" distB="0" distL="0" distR="0" allowOverlap="1" layoutInCell="1" locked="0" behindDoc="1" simplePos="0" relativeHeight="268370327">
          <wp:simplePos x="0" y="0"/>
          <wp:positionH relativeFrom="page">
            <wp:posOffset>485140</wp:posOffset>
          </wp:positionH>
          <wp:positionV relativeFrom="page">
            <wp:posOffset>9390380</wp:posOffset>
          </wp:positionV>
          <wp:extent cx="419100" cy="190500"/>
          <wp:effectExtent l="0" t="0" r="0" b="0"/>
          <wp:wrapNone/>
          <wp:docPr id="11" name="image29.png" descr=""/>
          <wp:cNvGraphicFramePr>
            <a:graphicFrameLocks noChangeAspect="1"/>
          </wp:cNvGraphicFramePr>
          <a:graphic>
            <a:graphicData uri="http://schemas.openxmlformats.org/drawingml/2006/picture">
              <pic:pic>
                <pic:nvPicPr>
                  <pic:cNvPr id="12" name="image29.png"/>
                  <pic:cNvPicPr/>
                </pic:nvPicPr>
                <pic:blipFill>
                  <a:blip r:embed="rId2" cstate="print"/>
                  <a:stretch>
                    <a:fillRect/>
                  </a:stretch>
                </pic:blipFill>
                <pic:spPr>
                  <a:xfrm>
                    <a:off x="0" y="0"/>
                    <a:ext cx="419100" cy="190500"/>
                  </a:xfrm>
                  <a:prstGeom prst="rect">
                    <a:avLst/>
                  </a:prstGeom>
                </pic:spPr>
              </pic:pic>
            </a:graphicData>
          </a:graphic>
        </wp:anchor>
      </w:drawing>
    </w:r>
    <w:r>
      <w:rPr/>
      <w:pict>
        <v:line style="position:absolute;mso-position-horizontal-relative:page;mso-position-vertical-relative:page;z-index:-65104" from="73.492996pt,735.132568pt" to="539.252996pt,735.132568pt" stroked="true" strokeweight="1.4649pt" strokecolor="#3366cc">
          <v:stroke dashstyle="solid"/>
          <w10:wrap type="none"/>
        </v:line>
      </w:pict>
    </w:r>
    <w:r>
      <w:rPr/>
      <w:pict>
        <v:shape style="position:absolute;margin-left:35.650002pt;margin-top:741.299988pt;width:39pt;height:16pt;mso-position-horizontal-relative:page;mso-position-vertical-relative:page;z-index:-65080" type="#_x0000_t202" filled="false" stroked="false">
          <v:textbox inset="0,0,0,0">
            <w:txbxContent>
              <w:p>
                <w:pPr>
                  <w:tabs>
                    <w:tab w:pos="427"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2</w:t>
                </w:r>
                <w:r>
                  <w:rPr/>
                  <w:fldChar w:fldCharType="end"/>
                </w:r>
                <w:r>
                  <w:rPr>
                    <w:rFonts w:ascii="Calibri"/>
                    <w:color w:val="FFFFFF"/>
                    <w:spacing w:val="-20"/>
                    <w:sz w:val="28"/>
                    <w:shd w:fill="3366CC" w:color="auto" w:val="clear"/>
                  </w:rPr>
                  <w:t> </w:t>
                </w:r>
              </w:p>
            </w:txbxContent>
          </v:textbox>
          <w10:wrap type="none"/>
        </v:shape>
      </w:pict>
    </w:r>
    <w:r>
      <w:rPr/>
      <w:pict>
        <v:shape style="position:absolute;margin-left:236.270004pt;margin-top:742.747253pt;width:136.85pt;height:13.2pt;mso-position-horizontal-relative:page;mso-position-vertical-relative:page;z-index:-65056" type="#_x0000_t202" filled="false" stroked="false">
          <v:textbox inset="0,0,0,0">
            <w:txbxContent>
              <w:p>
                <w:pPr>
                  <w:spacing w:before="13"/>
                  <w:ind w:left="20" w:right="0" w:firstLine="0"/>
                  <w:jc w:val="left"/>
                  <w:rPr>
                    <w:i/>
                    <w:sz w:val="20"/>
                  </w:rPr>
                </w:pPr>
                <w:r>
                  <w:rPr>
                    <w:i/>
                    <w:color w:val="3166CC"/>
                    <w:sz w:val="20"/>
                  </w:rPr>
                  <w:t>REVISTA MEDICA SINERGIA</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71479">
          <wp:simplePos x="0" y="0"/>
          <wp:positionH relativeFrom="page">
            <wp:posOffset>916939</wp:posOffset>
          </wp:positionH>
          <wp:positionV relativeFrom="page">
            <wp:posOffset>9441180</wp:posOffset>
          </wp:positionV>
          <wp:extent cx="5910580" cy="203200"/>
          <wp:effectExtent l="0" t="0" r="0" b="0"/>
          <wp:wrapNone/>
          <wp:docPr id="45" name="image28.png" descr=""/>
          <wp:cNvGraphicFramePr>
            <a:graphicFrameLocks noChangeAspect="1"/>
          </wp:cNvGraphicFramePr>
          <a:graphic>
            <a:graphicData uri="http://schemas.openxmlformats.org/drawingml/2006/picture">
              <pic:pic>
                <pic:nvPicPr>
                  <pic:cNvPr id="46" name="image28.png"/>
                  <pic:cNvPicPr/>
                </pic:nvPicPr>
                <pic:blipFill>
                  <a:blip r:embed="rId1" cstate="print"/>
                  <a:stretch>
                    <a:fillRect/>
                  </a:stretch>
                </pic:blipFill>
                <pic:spPr>
                  <a:xfrm>
                    <a:off x="0" y="0"/>
                    <a:ext cx="5910580" cy="203200"/>
                  </a:xfrm>
                  <a:prstGeom prst="rect">
                    <a:avLst/>
                  </a:prstGeom>
                </pic:spPr>
              </pic:pic>
            </a:graphicData>
          </a:graphic>
        </wp:anchor>
      </w:drawing>
    </w:r>
    <w:r>
      <w:rPr/>
      <w:drawing>
        <wp:anchor distT="0" distB="0" distL="0" distR="0" allowOverlap="1" layoutInCell="1" locked="0" behindDoc="1" simplePos="0" relativeHeight="268371503">
          <wp:simplePos x="0" y="0"/>
          <wp:positionH relativeFrom="page">
            <wp:posOffset>485140</wp:posOffset>
          </wp:positionH>
          <wp:positionV relativeFrom="page">
            <wp:posOffset>9390380</wp:posOffset>
          </wp:positionV>
          <wp:extent cx="419100" cy="190500"/>
          <wp:effectExtent l="0" t="0" r="0" b="0"/>
          <wp:wrapNone/>
          <wp:docPr id="47" name="image29.png" descr=""/>
          <wp:cNvGraphicFramePr>
            <a:graphicFrameLocks noChangeAspect="1"/>
          </wp:cNvGraphicFramePr>
          <a:graphic>
            <a:graphicData uri="http://schemas.openxmlformats.org/drawingml/2006/picture">
              <pic:pic>
                <pic:nvPicPr>
                  <pic:cNvPr id="48" name="image29.png"/>
                  <pic:cNvPicPr/>
                </pic:nvPicPr>
                <pic:blipFill>
                  <a:blip r:embed="rId2" cstate="print"/>
                  <a:stretch>
                    <a:fillRect/>
                  </a:stretch>
                </pic:blipFill>
                <pic:spPr>
                  <a:xfrm>
                    <a:off x="0" y="0"/>
                    <a:ext cx="419100" cy="190500"/>
                  </a:xfrm>
                  <a:prstGeom prst="rect">
                    <a:avLst/>
                  </a:prstGeom>
                </pic:spPr>
              </pic:pic>
            </a:graphicData>
          </a:graphic>
        </wp:anchor>
      </w:drawing>
    </w:r>
    <w:r>
      <w:rPr/>
      <w:pict>
        <v:line style="position:absolute;mso-position-horizontal-relative:page;mso-position-vertical-relative:page;z-index:-63928" from="73.492996pt,735.132568pt" to="539.252996pt,735.132568pt" stroked="true" strokeweight="1.4649pt" strokecolor="#3366cc">
          <v:stroke dashstyle="solid"/>
          <w10:wrap type="none"/>
        </v:line>
      </w:pict>
    </w:r>
    <w:r>
      <w:rPr/>
      <w:pict>
        <v:shape style="position:absolute;margin-left:35.650002pt;margin-top:741.299988pt;width:39pt;height:16pt;mso-position-horizontal-relative:page;mso-position-vertical-relative:page;z-index:-63904" type="#_x0000_t202" filled="false" stroked="false">
          <v:textbox inset="0,0,0,0">
            <w:txbxContent>
              <w:p>
                <w:pPr>
                  <w:tabs>
                    <w:tab w:pos="283"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14</w:t>
                </w:r>
                <w:r>
                  <w:rPr/>
                  <w:fldChar w:fldCharType="end"/>
                </w:r>
                <w:r>
                  <w:rPr>
                    <w:rFonts w:ascii="Calibri"/>
                    <w:color w:val="FFFFFF"/>
                    <w:spacing w:val="-16"/>
                    <w:sz w:val="28"/>
                    <w:shd w:fill="3366CC" w:color="auto" w:val="clear"/>
                  </w:rPr>
                  <w:t> </w:t>
                </w:r>
              </w:p>
            </w:txbxContent>
          </v:textbox>
          <w10:wrap type="none"/>
        </v:shape>
      </w:pict>
    </w:r>
    <w:r>
      <w:rPr/>
      <w:pict>
        <v:shape style="position:absolute;margin-left:236.270004pt;margin-top:742.747253pt;width:136.85pt;height:13.2pt;mso-position-horizontal-relative:page;mso-position-vertical-relative:page;z-index:-63880" type="#_x0000_t202" filled="false" stroked="false">
          <v:textbox inset="0,0,0,0">
            <w:txbxContent>
              <w:p>
                <w:pPr>
                  <w:spacing w:before="13"/>
                  <w:ind w:left="20" w:right="0" w:firstLine="0"/>
                  <w:jc w:val="left"/>
                  <w:rPr>
                    <w:i/>
                    <w:sz w:val="20"/>
                  </w:rPr>
                </w:pPr>
                <w:r>
                  <w:rPr>
                    <w:i/>
                    <w:color w:val="3166CC"/>
                    <w:sz w:val="20"/>
                  </w:rPr>
                  <w:t>REVISTA MEDICA SINERGIA</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71647">
          <wp:simplePos x="0" y="0"/>
          <wp:positionH relativeFrom="page">
            <wp:posOffset>916939</wp:posOffset>
          </wp:positionH>
          <wp:positionV relativeFrom="page">
            <wp:posOffset>9441180</wp:posOffset>
          </wp:positionV>
          <wp:extent cx="5910580" cy="203200"/>
          <wp:effectExtent l="0" t="0" r="0" b="0"/>
          <wp:wrapNone/>
          <wp:docPr id="51" name="image28.png" descr=""/>
          <wp:cNvGraphicFramePr>
            <a:graphicFrameLocks noChangeAspect="1"/>
          </wp:cNvGraphicFramePr>
          <a:graphic>
            <a:graphicData uri="http://schemas.openxmlformats.org/drawingml/2006/picture">
              <pic:pic>
                <pic:nvPicPr>
                  <pic:cNvPr id="52" name="image28.png"/>
                  <pic:cNvPicPr/>
                </pic:nvPicPr>
                <pic:blipFill>
                  <a:blip r:embed="rId1" cstate="print"/>
                  <a:stretch>
                    <a:fillRect/>
                  </a:stretch>
                </pic:blipFill>
                <pic:spPr>
                  <a:xfrm>
                    <a:off x="0" y="0"/>
                    <a:ext cx="5910580" cy="203200"/>
                  </a:xfrm>
                  <a:prstGeom prst="rect">
                    <a:avLst/>
                  </a:prstGeom>
                </pic:spPr>
              </pic:pic>
            </a:graphicData>
          </a:graphic>
        </wp:anchor>
      </w:drawing>
    </w:r>
    <w:r>
      <w:rPr/>
      <w:drawing>
        <wp:anchor distT="0" distB="0" distL="0" distR="0" allowOverlap="1" layoutInCell="1" locked="0" behindDoc="1" simplePos="0" relativeHeight="268371671">
          <wp:simplePos x="0" y="0"/>
          <wp:positionH relativeFrom="page">
            <wp:posOffset>485140</wp:posOffset>
          </wp:positionH>
          <wp:positionV relativeFrom="page">
            <wp:posOffset>9390380</wp:posOffset>
          </wp:positionV>
          <wp:extent cx="419100" cy="190500"/>
          <wp:effectExtent l="0" t="0" r="0" b="0"/>
          <wp:wrapNone/>
          <wp:docPr id="53" name="image29.png" descr=""/>
          <wp:cNvGraphicFramePr>
            <a:graphicFrameLocks noChangeAspect="1"/>
          </wp:cNvGraphicFramePr>
          <a:graphic>
            <a:graphicData uri="http://schemas.openxmlformats.org/drawingml/2006/picture">
              <pic:pic>
                <pic:nvPicPr>
                  <pic:cNvPr id="54" name="image29.png"/>
                  <pic:cNvPicPr/>
                </pic:nvPicPr>
                <pic:blipFill>
                  <a:blip r:embed="rId2" cstate="print"/>
                  <a:stretch>
                    <a:fillRect/>
                  </a:stretch>
                </pic:blipFill>
                <pic:spPr>
                  <a:xfrm>
                    <a:off x="0" y="0"/>
                    <a:ext cx="419100" cy="190500"/>
                  </a:xfrm>
                  <a:prstGeom prst="rect">
                    <a:avLst/>
                  </a:prstGeom>
                </pic:spPr>
              </pic:pic>
            </a:graphicData>
          </a:graphic>
        </wp:anchor>
      </w:drawing>
    </w:r>
    <w:r>
      <w:rPr/>
      <w:pict>
        <v:line style="position:absolute;mso-position-horizontal-relative:page;mso-position-vertical-relative:page;z-index:-63760" from="73.492996pt,735.132568pt" to="539.252996pt,735.132568pt" stroked="true" strokeweight="1.4649pt" strokecolor="#3366cc">
          <v:stroke dashstyle="solid"/>
          <w10:wrap type="none"/>
        </v:line>
      </w:pict>
    </w:r>
    <w:r>
      <w:rPr/>
      <w:pict>
        <v:shape style="position:absolute;margin-left:35.650002pt;margin-top:741.299988pt;width:39pt;height:16pt;mso-position-horizontal-relative:page;mso-position-vertical-relative:page;z-index:-63736" type="#_x0000_t202" filled="false" stroked="false">
          <v:textbox inset="0,0,0,0">
            <w:txbxContent>
              <w:p>
                <w:pPr>
                  <w:tabs>
                    <w:tab w:pos="283"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20</w:t>
                </w:r>
                <w:r>
                  <w:rPr/>
                  <w:fldChar w:fldCharType="end"/>
                </w:r>
                <w:r>
                  <w:rPr>
                    <w:rFonts w:ascii="Calibri"/>
                    <w:color w:val="FFFFFF"/>
                    <w:spacing w:val="-16"/>
                    <w:sz w:val="28"/>
                    <w:shd w:fill="3366CC" w:color="auto" w:val="clear"/>
                  </w:rPr>
                  <w:t> </w:t>
                </w:r>
              </w:p>
            </w:txbxContent>
          </v:textbox>
          <w10:wrap type="none"/>
        </v:shape>
      </w:pict>
    </w:r>
    <w:r>
      <w:rPr/>
      <w:pict>
        <v:shape style="position:absolute;margin-left:236.270004pt;margin-top:742.747253pt;width:136.85pt;height:13.2pt;mso-position-horizontal-relative:page;mso-position-vertical-relative:page;z-index:-63712" type="#_x0000_t202" filled="false" stroked="false">
          <v:textbox inset="0,0,0,0">
            <w:txbxContent>
              <w:p>
                <w:pPr>
                  <w:spacing w:before="13"/>
                  <w:ind w:left="20" w:right="0" w:firstLine="0"/>
                  <w:jc w:val="left"/>
                  <w:rPr>
                    <w:i/>
                    <w:sz w:val="20"/>
                  </w:rPr>
                </w:pPr>
                <w:r>
                  <w:rPr>
                    <w:i/>
                    <w:color w:val="3166CC"/>
                    <w:sz w:val="20"/>
                  </w:rPr>
                  <w:t>REVISTA MEDICA SINERGIA</w:t>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71767">
          <wp:simplePos x="0" y="0"/>
          <wp:positionH relativeFrom="page">
            <wp:posOffset>916939</wp:posOffset>
          </wp:positionH>
          <wp:positionV relativeFrom="page">
            <wp:posOffset>9441180</wp:posOffset>
          </wp:positionV>
          <wp:extent cx="5890260" cy="203200"/>
          <wp:effectExtent l="0" t="0" r="0" b="0"/>
          <wp:wrapNone/>
          <wp:docPr id="55" name="image30.png" descr=""/>
          <wp:cNvGraphicFramePr>
            <a:graphicFrameLocks noChangeAspect="1"/>
          </wp:cNvGraphicFramePr>
          <a:graphic>
            <a:graphicData uri="http://schemas.openxmlformats.org/drawingml/2006/picture">
              <pic:pic>
                <pic:nvPicPr>
                  <pic:cNvPr id="56" name="image30.png"/>
                  <pic:cNvPicPr/>
                </pic:nvPicPr>
                <pic:blipFill>
                  <a:blip r:embed="rId1" cstate="print"/>
                  <a:stretch>
                    <a:fillRect/>
                  </a:stretch>
                </pic:blipFill>
                <pic:spPr>
                  <a:xfrm>
                    <a:off x="0" y="0"/>
                    <a:ext cx="5890260" cy="203200"/>
                  </a:xfrm>
                  <a:prstGeom prst="rect">
                    <a:avLst/>
                  </a:prstGeom>
                </pic:spPr>
              </pic:pic>
            </a:graphicData>
          </a:graphic>
        </wp:anchor>
      </w:drawing>
    </w:r>
    <w:r>
      <w:rPr/>
      <w:drawing>
        <wp:anchor distT="0" distB="0" distL="0" distR="0" allowOverlap="1" layoutInCell="1" locked="0" behindDoc="1" simplePos="0" relativeHeight="268371791">
          <wp:simplePos x="0" y="0"/>
          <wp:positionH relativeFrom="page">
            <wp:posOffset>6870700</wp:posOffset>
          </wp:positionH>
          <wp:positionV relativeFrom="page">
            <wp:posOffset>9385300</wp:posOffset>
          </wp:positionV>
          <wp:extent cx="419100" cy="190500"/>
          <wp:effectExtent l="0" t="0" r="0" b="0"/>
          <wp:wrapNone/>
          <wp:docPr id="57" name="image29.png" descr=""/>
          <wp:cNvGraphicFramePr>
            <a:graphicFrameLocks noChangeAspect="1"/>
          </wp:cNvGraphicFramePr>
          <a:graphic>
            <a:graphicData uri="http://schemas.openxmlformats.org/drawingml/2006/picture">
              <pic:pic>
                <pic:nvPicPr>
                  <pic:cNvPr id="58" name="image29.png"/>
                  <pic:cNvPicPr/>
                </pic:nvPicPr>
                <pic:blipFill>
                  <a:blip r:embed="rId2" cstate="print"/>
                  <a:stretch>
                    <a:fillRect/>
                  </a:stretch>
                </pic:blipFill>
                <pic:spPr>
                  <a:xfrm>
                    <a:off x="0" y="0"/>
                    <a:ext cx="419100" cy="190500"/>
                  </a:xfrm>
                  <a:prstGeom prst="rect">
                    <a:avLst/>
                  </a:prstGeom>
                </pic:spPr>
              </pic:pic>
            </a:graphicData>
          </a:graphic>
        </wp:anchor>
      </w:drawing>
    </w:r>
    <w:r>
      <w:rPr/>
      <w:pict>
        <v:group style="position:absolute;margin-left:72.987999pt;margin-top:733.900085pt;width:465.3pt;height:2.5pt;mso-position-horizontal-relative:page;mso-position-vertical-relative:page;z-index:-63640" coordorigin="1460,14678" coordsize="9306,50">
          <v:rect style="position:absolute;left:1469;top:14688;width:9286;height:30" filled="true" fillcolor="#3366cc" stroked="false">
            <v:fill type="solid"/>
          </v:rect>
          <v:rect style="position:absolute;left:1459;top:14678;width:9306;height:50" filled="true" fillcolor="#006fc0" stroked="false">
            <v:fill type="solid"/>
          </v:rect>
          <w10:wrap type="none"/>
        </v:group>
      </w:pict>
    </w:r>
    <w:r>
      <w:rPr/>
      <w:pict>
        <v:shape style="position:absolute;margin-left:538.5pt;margin-top:740.900024pt;width:39pt;height:16pt;mso-position-horizontal-relative:page;mso-position-vertical-relative:page;z-index:-63616" type="#_x0000_t202" filled="false" stroked="false">
          <v:textbox inset="0,0,0,0">
            <w:txbxContent>
              <w:p>
                <w:pPr>
                  <w:tabs>
                    <w:tab w:pos="285"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21</w:t>
                </w:r>
                <w:r>
                  <w:rPr/>
                  <w:fldChar w:fldCharType="end"/>
                </w:r>
                <w:r>
                  <w:rPr>
                    <w:rFonts w:ascii="Calibri"/>
                    <w:color w:val="FFFFFF"/>
                    <w:spacing w:val="-18"/>
                    <w:sz w:val="28"/>
                    <w:shd w:fill="3366CC" w:color="auto" w:val="clear"/>
                  </w:rPr>
                  <w:t> </w:t>
                </w:r>
              </w:p>
            </w:txbxContent>
          </v:textbox>
          <w10:wrap type="none"/>
        </v:shape>
      </w:pict>
    </w:r>
    <w:r>
      <w:rPr/>
      <w:pict>
        <v:shape style="position:absolute;margin-left:186.649994pt;margin-top:742.747253pt;width:234.95pt;height:13.2pt;mso-position-horizontal-relative:page;mso-position-vertical-relative:page;z-index:-63592" type="#_x0000_t202" filled="false" stroked="false">
          <v:textbox inset="0,0,0,0">
            <w:txbxContent>
              <w:p>
                <w:pPr>
                  <w:spacing w:before="13"/>
                  <w:ind w:left="20" w:right="0" w:firstLine="0"/>
                  <w:jc w:val="left"/>
                  <w:rPr>
                    <w:i/>
                    <w:sz w:val="20"/>
                  </w:rPr>
                </w:pPr>
                <w:r>
                  <w:rPr>
                    <w:i/>
                    <w:color w:val="2E5395"/>
                    <w:sz w:val="20"/>
                  </w:rPr>
                  <w:t>REVISTA MEDICA SINERGIA Vol 2 (1), Enero 2017</w:t>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71887">
          <wp:simplePos x="0" y="0"/>
          <wp:positionH relativeFrom="page">
            <wp:posOffset>916939</wp:posOffset>
          </wp:positionH>
          <wp:positionV relativeFrom="page">
            <wp:posOffset>9441180</wp:posOffset>
          </wp:positionV>
          <wp:extent cx="5910580" cy="203200"/>
          <wp:effectExtent l="0" t="0" r="0" b="0"/>
          <wp:wrapNone/>
          <wp:docPr id="59" name="image28.png" descr=""/>
          <wp:cNvGraphicFramePr>
            <a:graphicFrameLocks noChangeAspect="1"/>
          </wp:cNvGraphicFramePr>
          <a:graphic>
            <a:graphicData uri="http://schemas.openxmlformats.org/drawingml/2006/picture">
              <pic:pic>
                <pic:nvPicPr>
                  <pic:cNvPr id="60" name="image28.png"/>
                  <pic:cNvPicPr/>
                </pic:nvPicPr>
                <pic:blipFill>
                  <a:blip r:embed="rId1" cstate="print"/>
                  <a:stretch>
                    <a:fillRect/>
                  </a:stretch>
                </pic:blipFill>
                <pic:spPr>
                  <a:xfrm>
                    <a:off x="0" y="0"/>
                    <a:ext cx="5910580" cy="203200"/>
                  </a:xfrm>
                  <a:prstGeom prst="rect">
                    <a:avLst/>
                  </a:prstGeom>
                </pic:spPr>
              </pic:pic>
            </a:graphicData>
          </a:graphic>
        </wp:anchor>
      </w:drawing>
    </w:r>
    <w:r>
      <w:rPr/>
      <w:drawing>
        <wp:anchor distT="0" distB="0" distL="0" distR="0" allowOverlap="1" layoutInCell="1" locked="0" behindDoc="1" simplePos="0" relativeHeight="268371911">
          <wp:simplePos x="0" y="0"/>
          <wp:positionH relativeFrom="page">
            <wp:posOffset>485140</wp:posOffset>
          </wp:positionH>
          <wp:positionV relativeFrom="page">
            <wp:posOffset>9390380</wp:posOffset>
          </wp:positionV>
          <wp:extent cx="419100" cy="190500"/>
          <wp:effectExtent l="0" t="0" r="0" b="0"/>
          <wp:wrapNone/>
          <wp:docPr id="61" name="image29.png" descr=""/>
          <wp:cNvGraphicFramePr>
            <a:graphicFrameLocks noChangeAspect="1"/>
          </wp:cNvGraphicFramePr>
          <a:graphic>
            <a:graphicData uri="http://schemas.openxmlformats.org/drawingml/2006/picture">
              <pic:pic>
                <pic:nvPicPr>
                  <pic:cNvPr id="62" name="image29.png"/>
                  <pic:cNvPicPr/>
                </pic:nvPicPr>
                <pic:blipFill>
                  <a:blip r:embed="rId2" cstate="print"/>
                  <a:stretch>
                    <a:fillRect/>
                  </a:stretch>
                </pic:blipFill>
                <pic:spPr>
                  <a:xfrm>
                    <a:off x="0" y="0"/>
                    <a:ext cx="419100" cy="190500"/>
                  </a:xfrm>
                  <a:prstGeom prst="rect">
                    <a:avLst/>
                  </a:prstGeom>
                </pic:spPr>
              </pic:pic>
            </a:graphicData>
          </a:graphic>
        </wp:anchor>
      </w:drawing>
    </w:r>
    <w:r>
      <w:rPr/>
      <w:pict>
        <v:line style="position:absolute;mso-position-horizontal-relative:page;mso-position-vertical-relative:page;z-index:-63520" from="73.492996pt,735.132568pt" to="539.252996pt,735.132568pt" stroked="true" strokeweight="1.4649pt" strokecolor="#3366cc">
          <v:stroke dashstyle="solid"/>
          <w10:wrap type="none"/>
        </v:line>
      </w:pict>
    </w:r>
    <w:r>
      <w:rPr/>
      <w:pict>
        <v:shape style="position:absolute;margin-left:35.650002pt;margin-top:741.299988pt;width:39pt;height:16pt;mso-position-horizontal-relative:page;mso-position-vertical-relative:page;z-index:-63496" type="#_x0000_t202" filled="false" stroked="false">
          <v:textbox inset="0,0,0,0">
            <w:txbxContent>
              <w:p>
                <w:pPr>
                  <w:tabs>
                    <w:tab w:pos="283"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22</w:t>
                </w:r>
                <w:r>
                  <w:rPr/>
                  <w:fldChar w:fldCharType="end"/>
                </w:r>
                <w:r>
                  <w:rPr>
                    <w:rFonts w:ascii="Calibri"/>
                    <w:color w:val="FFFFFF"/>
                    <w:spacing w:val="-16"/>
                    <w:sz w:val="28"/>
                    <w:shd w:fill="3366CC" w:color="auto" w:val="clear"/>
                  </w:rPr>
                  <w:t> </w:t>
                </w:r>
              </w:p>
            </w:txbxContent>
          </v:textbox>
          <w10:wrap type="none"/>
        </v:shape>
      </w:pict>
    </w:r>
    <w:r>
      <w:rPr/>
      <w:pict>
        <v:shape style="position:absolute;margin-left:236.270004pt;margin-top:742.747253pt;width:136.85pt;height:13.2pt;mso-position-horizontal-relative:page;mso-position-vertical-relative:page;z-index:-63472" type="#_x0000_t202" filled="false" stroked="false">
          <v:textbox inset="0,0,0,0">
            <w:txbxContent>
              <w:p>
                <w:pPr>
                  <w:spacing w:before="13"/>
                  <w:ind w:left="20" w:right="0" w:firstLine="0"/>
                  <w:jc w:val="left"/>
                  <w:rPr>
                    <w:i/>
                    <w:sz w:val="20"/>
                  </w:rPr>
                </w:pPr>
                <w:r>
                  <w:rPr>
                    <w:i/>
                    <w:color w:val="3166CC"/>
                    <w:sz w:val="20"/>
                  </w:rPr>
                  <w:t>REVISTA MEDICA SINERGIA</w:t>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72007">
          <wp:simplePos x="0" y="0"/>
          <wp:positionH relativeFrom="page">
            <wp:posOffset>916939</wp:posOffset>
          </wp:positionH>
          <wp:positionV relativeFrom="page">
            <wp:posOffset>9441180</wp:posOffset>
          </wp:positionV>
          <wp:extent cx="5890260" cy="203200"/>
          <wp:effectExtent l="0" t="0" r="0" b="0"/>
          <wp:wrapNone/>
          <wp:docPr id="63" name="image30.png" descr=""/>
          <wp:cNvGraphicFramePr>
            <a:graphicFrameLocks noChangeAspect="1"/>
          </wp:cNvGraphicFramePr>
          <a:graphic>
            <a:graphicData uri="http://schemas.openxmlformats.org/drawingml/2006/picture">
              <pic:pic>
                <pic:nvPicPr>
                  <pic:cNvPr id="64" name="image30.png"/>
                  <pic:cNvPicPr/>
                </pic:nvPicPr>
                <pic:blipFill>
                  <a:blip r:embed="rId1" cstate="print"/>
                  <a:stretch>
                    <a:fillRect/>
                  </a:stretch>
                </pic:blipFill>
                <pic:spPr>
                  <a:xfrm>
                    <a:off x="0" y="0"/>
                    <a:ext cx="5890260" cy="203200"/>
                  </a:xfrm>
                  <a:prstGeom prst="rect">
                    <a:avLst/>
                  </a:prstGeom>
                </pic:spPr>
              </pic:pic>
            </a:graphicData>
          </a:graphic>
        </wp:anchor>
      </w:drawing>
    </w:r>
    <w:r>
      <w:rPr/>
      <w:drawing>
        <wp:anchor distT="0" distB="0" distL="0" distR="0" allowOverlap="1" layoutInCell="1" locked="0" behindDoc="1" simplePos="0" relativeHeight="268372031">
          <wp:simplePos x="0" y="0"/>
          <wp:positionH relativeFrom="page">
            <wp:posOffset>6870700</wp:posOffset>
          </wp:positionH>
          <wp:positionV relativeFrom="page">
            <wp:posOffset>9385300</wp:posOffset>
          </wp:positionV>
          <wp:extent cx="419100" cy="190500"/>
          <wp:effectExtent l="0" t="0" r="0" b="0"/>
          <wp:wrapNone/>
          <wp:docPr id="65" name="image29.png" descr=""/>
          <wp:cNvGraphicFramePr>
            <a:graphicFrameLocks noChangeAspect="1"/>
          </wp:cNvGraphicFramePr>
          <a:graphic>
            <a:graphicData uri="http://schemas.openxmlformats.org/drawingml/2006/picture">
              <pic:pic>
                <pic:nvPicPr>
                  <pic:cNvPr id="66" name="image29.png"/>
                  <pic:cNvPicPr/>
                </pic:nvPicPr>
                <pic:blipFill>
                  <a:blip r:embed="rId2" cstate="print"/>
                  <a:stretch>
                    <a:fillRect/>
                  </a:stretch>
                </pic:blipFill>
                <pic:spPr>
                  <a:xfrm>
                    <a:off x="0" y="0"/>
                    <a:ext cx="419100" cy="190500"/>
                  </a:xfrm>
                  <a:prstGeom prst="rect">
                    <a:avLst/>
                  </a:prstGeom>
                </pic:spPr>
              </pic:pic>
            </a:graphicData>
          </a:graphic>
        </wp:anchor>
      </w:drawing>
    </w:r>
    <w:r>
      <w:rPr/>
      <w:pict>
        <v:group style="position:absolute;margin-left:72.987999pt;margin-top:733.900085pt;width:465.3pt;height:2.5pt;mso-position-horizontal-relative:page;mso-position-vertical-relative:page;z-index:-63400" coordorigin="1460,14678" coordsize="9306,50">
          <v:rect style="position:absolute;left:1469;top:14688;width:9286;height:30" filled="true" fillcolor="#3366cc" stroked="false">
            <v:fill type="solid"/>
          </v:rect>
          <v:rect style="position:absolute;left:1459;top:14678;width:9306;height:50" filled="true" fillcolor="#006fc0" stroked="false">
            <v:fill type="solid"/>
          </v:rect>
          <w10:wrap type="none"/>
        </v:group>
      </w:pict>
    </w:r>
    <w:r>
      <w:rPr/>
      <w:pict>
        <v:shape style="position:absolute;margin-left:538.5pt;margin-top:740.900024pt;width:39pt;height:16pt;mso-position-horizontal-relative:page;mso-position-vertical-relative:page;z-index:-63376" type="#_x0000_t202" filled="false" stroked="false">
          <v:textbox inset="0,0,0,0">
            <w:txbxContent>
              <w:p>
                <w:pPr>
                  <w:tabs>
                    <w:tab w:pos="285"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23</w:t>
                </w:r>
                <w:r>
                  <w:rPr/>
                  <w:fldChar w:fldCharType="end"/>
                </w:r>
                <w:r>
                  <w:rPr>
                    <w:rFonts w:ascii="Calibri"/>
                    <w:color w:val="FFFFFF"/>
                    <w:spacing w:val="-18"/>
                    <w:sz w:val="28"/>
                    <w:shd w:fill="3366CC" w:color="auto" w:val="clear"/>
                  </w:rPr>
                  <w:t> </w:t>
                </w:r>
              </w:p>
            </w:txbxContent>
          </v:textbox>
          <w10:wrap type="none"/>
        </v:shape>
      </w:pict>
    </w:r>
    <w:r>
      <w:rPr/>
      <w:pict>
        <v:shape style="position:absolute;margin-left:186.649994pt;margin-top:742.747253pt;width:234.95pt;height:13.2pt;mso-position-horizontal-relative:page;mso-position-vertical-relative:page;z-index:-63352" type="#_x0000_t202" filled="false" stroked="false">
          <v:textbox inset="0,0,0,0">
            <w:txbxContent>
              <w:p>
                <w:pPr>
                  <w:spacing w:before="13"/>
                  <w:ind w:left="20" w:right="0" w:firstLine="0"/>
                  <w:jc w:val="left"/>
                  <w:rPr>
                    <w:i/>
                    <w:sz w:val="20"/>
                  </w:rPr>
                </w:pPr>
                <w:r>
                  <w:rPr>
                    <w:i/>
                    <w:color w:val="2E5395"/>
                    <w:sz w:val="20"/>
                  </w:rPr>
                  <w:t>REVISTA MEDICA SINERGIA Vol 2 (1), Enero 2017</w:t>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72175">
          <wp:simplePos x="0" y="0"/>
          <wp:positionH relativeFrom="page">
            <wp:posOffset>916939</wp:posOffset>
          </wp:positionH>
          <wp:positionV relativeFrom="page">
            <wp:posOffset>9441180</wp:posOffset>
          </wp:positionV>
          <wp:extent cx="5890260" cy="203200"/>
          <wp:effectExtent l="0" t="0" r="0" b="0"/>
          <wp:wrapNone/>
          <wp:docPr id="67" name="image30.png" descr=""/>
          <wp:cNvGraphicFramePr>
            <a:graphicFrameLocks noChangeAspect="1"/>
          </wp:cNvGraphicFramePr>
          <a:graphic>
            <a:graphicData uri="http://schemas.openxmlformats.org/drawingml/2006/picture">
              <pic:pic>
                <pic:nvPicPr>
                  <pic:cNvPr id="68" name="image30.png"/>
                  <pic:cNvPicPr/>
                </pic:nvPicPr>
                <pic:blipFill>
                  <a:blip r:embed="rId1" cstate="print"/>
                  <a:stretch>
                    <a:fillRect/>
                  </a:stretch>
                </pic:blipFill>
                <pic:spPr>
                  <a:xfrm>
                    <a:off x="0" y="0"/>
                    <a:ext cx="5890260" cy="203200"/>
                  </a:xfrm>
                  <a:prstGeom prst="rect">
                    <a:avLst/>
                  </a:prstGeom>
                </pic:spPr>
              </pic:pic>
            </a:graphicData>
          </a:graphic>
        </wp:anchor>
      </w:drawing>
    </w:r>
    <w:r>
      <w:rPr/>
      <w:drawing>
        <wp:anchor distT="0" distB="0" distL="0" distR="0" allowOverlap="1" layoutInCell="1" locked="0" behindDoc="1" simplePos="0" relativeHeight="268372199">
          <wp:simplePos x="0" y="0"/>
          <wp:positionH relativeFrom="page">
            <wp:posOffset>6870700</wp:posOffset>
          </wp:positionH>
          <wp:positionV relativeFrom="page">
            <wp:posOffset>9385300</wp:posOffset>
          </wp:positionV>
          <wp:extent cx="419100" cy="190500"/>
          <wp:effectExtent l="0" t="0" r="0" b="0"/>
          <wp:wrapNone/>
          <wp:docPr id="69" name="image29.png" descr=""/>
          <wp:cNvGraphicFramePr>
            <a:graphicFrameLocks noChangeAspect="1"/>
          </wp:cNvGraphicFramePr>
          <a:graphic>
            <a:graphicData uri="http://schemas.openxmlformats.org/drawingml/2006/picture">
              <pic:pic>
                <pic:nvPicPr>
                  <pic:cNvPr id="70" name="image29.png"/>
                  <pic:cNvPicPr/>
                </pic:nvPicPr>
                <pic:blipFill>
                  <a:blip r:embed="rId2" cstate="print"/>
                  <a:stretch>
                    <a:fillRect/>
                  </a:stretch>
                </pic:blipFill>
                <pic:spPr>
                  <a:xfrm>
                    <a:off x="0" y="0"/>
                    <a:ext cx="419100" cy="190500"/>
                  </a:xfrm>
                  <a:prstGeom prst="rect">
                    <a:avLst/>
                  </a:prstGeom>
                </pic:spPr>
              </pic:pic>
            </a:graphicData>
          </a:graphic>
        </wp:anchor>
      </w:drawing>
    </w:r>
    <w:r>
      <w:rPr/>
      <w:pict>
        <v:group style="position:absolute;margin-left:72.987999pt;margin-top:733.900085pt;width:465.3pt;height:2.5pt;mso-position-horizontal-relative:page;mso-position-vertical-relative:page;z-index:-63232" coordorigin="1460,14678" coordsize="9306,50">
          <v:rect style="position:absolute;left:1469;top:14688;width:9286;height:30" filled="true" fillcolor="#3366cc" stroked="false">
            <v:fill type="solid"/>
          </v:rect>
          <v:rect style="position:absolute;left:1459;top:14678;width:9306;height:50" filled="true" fillcolor="#006fc0" stroked="false">
            <v:fill type="solid"/>
          </v:rect>
          <w10:wrap type="none"/>
        </v:group>
      </w:pict>
    </w:r>
    <w:r>
      <w:rPr/>
      <w:pict>
        <v:shape style="position:absolute;margin-left:538.5pt;margin-top:740.900024pt;width:39pt;height:16pt;mso-position-horizontal-relative:page;mso-position-vertical-relative:page;z-index:-63208" type="#_x0000_t202" filled="false" stroked="false">
          <v:textbox inset="0,0,0,0">
            <w:txbxContent>
              <w:p>
                <w:pPr>
                  <w:tabs>
                    <w:tab w:pos="285"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25</w:t>
                </w:r>
                <w:r>
                  <w:rPr/>
                  <w:fldChar w:fldCharType="end"/>
                </w:r>
                <w:r>
                  <w:rPr>
                    <w:rFonts w:ascii="Calibri"/>
                    <w:color w:val="FFFFFF"/>
                    <w:spacing w:val="-18"/>
                    <w:sz w:val="28"/>
                    <w:shd w:fill="3366CC" w:color="auto" w:val="clear"/>
                  </w:rPr>
                  <w:t> </w:t>
                </w:r>
              </w:p>
            </w:txbxContent>
          </v:textbox>
          <w10:wrap type="none"/>
        </v:shape>
      </w:pict>
    </w:r>
    <w:r>
      <w:rPr/>
      <w:pict>
        <v:shape style="position:absolute;margin-left:186.649994pt;margin-top:742.747253pt;width:234.95pt;height:13.2pt;mso-position-horizontal-relative:page;mso-position-vertical-relative:page;z-index:-63184" type="#_x0000_t202" filled="false" stroked="false">
          <v:textbox inset="0,0,0,0">
            <w:txbxContent>
              <w:p>
                <w:pPr>
                  <w:spacing w:before="13"/>
                  <w:ind w:left="20" w:right="0" w:firstLine="0"/>
                  <w:jc w:val="left"/>
                  <w:rPr>
                    <w:i/>
                    <w:sz w:val="20"/>
                  </w:rPr>
                </w:pPr>
                <w:r>
                  <w:rPr>
                    <w:i/>
                    <w:color w:val="2E5395"/>
                    <w:sz w:val="20"/>
                  </w:rPr>
                  <w:t>REVISTA MEDICA SINERGIA Vol 2 (1), Enero 2017</w:t>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72295">
          <wp:simplePos x="0" y="0"/>
          <wp:positionH relativeFrom="page">
            <wp:posOffset>916939</wp:posOffset>
          </wp:positionH>
          <wp:positionV relativeFrom="page">
            <wp:posOffset>9441180</wp:posOffset>
          </wp:positionV>
          <wp:extent cx="5910580" cy="203200"/>
          <wp:effectExtent l="0" t="0" r="0" b="0"/>
          <wp:wrapNone/>
          <wp:docPr id="71" name="image28.png" descr=""/>
          <wp:cNvGraphicFramePr>
            <a:graphicFrameLocks noChangeAspect="1"/>
          </wp:cNvGraphicFramePr>
          <a:graphic>
            <a:graphicData uri="http://schemas.openxmlformats.org/drawingml/2006/picture">
              <pic:pic>
                <pic:nvPicPr>
                  <pic:cNvPr id="72" name="image28.png"/>
                  <pic:cNvPicPr/>
                </pic:nvPicPr>
                <pic:blipFill>
                  <a:blip r:embed="rId1" cstate="print"/>
                  <a:stretch>
                    <a:fillRect/>
                  </a:stretch>
                </pic:blipFill>
                <pic:spPr>
                  <a:xfrm>
                    <a:off x="0" y="0"/>
                    <a:ext cx="5910580" cy="203200"/>
                  </a:xfrm>
                  <a:prstGeom prst="rect">
                    <a:avLst/>
                  </a:prstGeom>
                </pic:spPr>
              </pic:pic>
            </a:graphicData>
          </a:graphic>
        </wp:anchor>
      </w:drawing>
    </w:r>
    <w:r>
      <w:rPr/>
      <w:drawing>
        <wp:anchor distT="0" distB="0" distL="0" distR="0" allowOverlap="1" layoutInCell="1" locked="0" behindDoc="1" simplePos="0" relativeHeight="268372319">
          <wp:simplePos x="0" y="0"/>
          <wp:positionH relativeFrom="page">
            <wp:posOffset>485140</wp:posOffset>
          </wp:positionH>
          <wp:positionV relativeFrom="page">
            <wp:posOffset>9390380</wp:posOffset>
          </wp:positionV>
          <wp:extent cx="419100" cy="190500"/>
          <wp:effectExtent l="0" t="0" r="0" b="0"/>
          <wp:wrapNone/>
          <wp:docPr id="73" name="image29.png" descr=""/>
          <wp:cNvGraphicFramePr>
            <a:graphicFrameLocks noChangeAspect="1"/>
          </wp:cNvGraphicFramePr>
          <a:graphic>
            <a:graphicData uri="http://schemas.openxmlformats.org/drawingml/2006/picture">
              <pic:pic>
                <pic:nvPicPr>
                  <pic:cNvPr id="74" name="image29.png"/>
                  <pic:cNvPicPr/>
                </pic:nvPicPr>
                <pic:blipFill>
                  <a:blip r:embed="rId2" cstate="print"/>
                  <a:stretch>
                    <a:fillRect/>
                  </a:stretch>
                </pic:blipFill>
                <pic:spPr>
                  <a:xfrm>
                    <a:off x="0" y="0"/>
                    <a:ext cx="419100" cy="190500"/>
                  </a:xfrm>
                  <a:prstGeom prst="rect">
                    <a:avLst/>
                  </a:prstGeom>
                </pic:spPr>
              </pic:pic>
            </a:graphicData>
          </a:graphic>
        </wp:anchor>
      </w:drawing>
    </w:r>
    <w:r>
      <w:rPr/>
      <w:pict>
        <v:line style="position:absolute;mso-position-horizontal-relative:page;mso-position-vertical-relative:page;z-index:-63112" from="73.492996pt,735.132568pt" to="539.252996pt,735.132568pt" stroked="true" strokeweight="1.4649pt" strokecolor="#3366cc">
          <v:stroke dashstyle="solid"/>
          <w10:wrap type="none"/>
        </v:line>
      </w:pict>
    </w:r>
    <w:r>
      <w:rPr/>
      <w:pict>
        <v:shape style="position:absolute;margin-left:35.650002pt;margin-top:741.299988pt;width:39pt;height:16pt;mso-position-horizontal-relative:page;mso-position-vertical-relative:page;z-index:-63088" type="#_x0000_t202" filled="false" stroked="false">
          <v:textbox inset="0,0,0,0">
            <w:txbxContent>
              <w:p>
                <w:pPr>
                  <w:tabs>
                    <w:tab w:pos="283"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26</w:t>
                </w:r>
                <w:r>
                  <w:rPr/>
                  <w:fldChar w:fldCharType="end"/>
                </w:r>
                <w:r>
                  <w:rPr>
                    <w:rFonts w:ascii="Calibri"/>
                    <w:color w:val="FFFFFF"/>
                    <w:spacing w:val="-16"/>
                    <w:sz w:val="28"/>
                    <w:shd w:fill="3366CC" w:color="auto" w:val="clear"/>
                  </w:rPr>
                  <w:t> </w:t>
                </w:r>
              </w:p>
            </w:txbxContent>
          </v:textbox>
          <w10:wrap type="none"/>
        </v:shape>
      </w:pict>
    </w:r>
    <w:r>
      <w:rPr/>
      <w:pict>
        <v:shape style="position:absolute;margin-left:236.270004pt;margin-top:742.747253pt;width:136.85pt;height:13.2pt;mso-position-horizontal-relative:page;mso-position-vertical-relative:page;z-index:-63064" type="#_x0000_t202" filled="false" stroked="false">
          <v:textbox inset="0,0,0,0">
            <w:txbxContent>
              <w:p>
                <w:pPr>
                  <w:spacing w:before="13"/>
                  <w:ind w:left="20" w:right="0" w:firstLine="0"/>
                  <w:jc w:val="left"/>
                  <w:rPr>
                    <w:i/>
                    <w:sz w:val="20"/>
                  </w:rPr>
                </w:pPr>
                <w:r>
                  <w:rPr>
                    <w:i/>
                    <w:color w:val="3166CC"/>
                    <w:sz w:val="20"/>
                  </w:rPr>
                  <w:t>REVISTA MEDICA SINERGIA</w:t>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72463">
          <wp:simplePos x="0" y="0"/>
          <wp:positionH relativeFrom="page">
            <wp:posOffset>916939</wp:posOffset>
          </wp:positionH>
          <wp:positionV relativeFrom="page">
            <wp:posOffset>9441180</wp:posOffset>
          </wp:positionV>
          <wp:extent cx="5890260" cy="203200"/>
          <wp:effectExtent l="0" t="0" r="0" b="0"/>
          <wp:wrapNone/>
          <wp:docPr id="75" name="image30.png" descr=""/>
          <wp:cNvGraphicFramePr>
            <a:graphicFrameLocks noChangeAspect="1"/>
          </wp:cNvGraphicFramePr>
          <a:graphic>
            <a:graphicData uri="http://schemas.openxmlformats.org/drawingml/2006/picture">
              <pic:pic>
                <pic:nvPicPr>
                  <pic:cNvPr id="76" name="image30.png"/>
                  <pic:cNvPicPr/>
                </pic:nvPicPr>
                <pic:blipFill>
                  <a:blip r:embed="rId1" cstate="print"/>
                  <a:stretch>
                    <a:fillRect/>
                  </a:stretch>
                </pic:blipFill>
                <pic:spPr>
                  <a:xfrm>
                    <a:off x="0" y="0"/>
                    <a:ext cx="5890260" cy="203200"/>
                  </a:xfrm>
                  <a:prstGeom prst="rect">
                    <a:avLst/>
                  </a:prstGeom>
                </pic:spPr>
              </pic:pic>
            </a:graphicData>
          </a:graphic>
        </wp:anchor>
      </w:drawing>
    </w:r>
    <w:r>
      <w:rPr/>
      <w:drawing>
        <wp:anchor distT="0" distB="0" distL="0" distR="0" allowOverlap="1" layoutInCell="1" locked="0" behindDoc="1" simplePos="0" relativeHeight="268372487">
          <wp:simplePos x="0" y="0"/>
          <wp:positionH relativeFrom="page">
            <wp:posOffset>6870700</wp:posOffset>
          </wp:positionH>
          <wp:positionV relativeFrom="page">
            <wp:posOffset>9385300</wp:posOffset>
          </wp:positionV>
          <wp:extent cx="419100" cy="190500"/>
          <wp:effectExtent l="0" t="0" r="0" b="0"/>
          <wp:wrapNone/>
          <wp:docPr id="77" name="image29.png" descr=""/>
          <wp:cNvGraphicFramePr>
            <a:graphicFrameLocks noChangeAspect="1"/>
          </wp:cNvGraphicFramePr>
          <a:graphic>
            <a:graphicData uri="http://schemas.openxmlformats.org/drawingml/2006/picture">
              <pic:pic>
                <pic:nvPicPr>
                  <pic:cNvPr id="78" name="image29.png"/>
                  <pic:cNvPicPr/>
                </pic:nvPicPr>
                <pic:blipFill>
                  <a:blip r:embed="rId2" cstate="print"/>
                  <a:stretch>
                    <a:fillRect/>
                  </a:stretch>
                </pic:blipFill>
                <pic:spPr>
                  <a:xfrm>
                    <a:off x="0" y="0"/>
                    <a:ext cx="419100" cy="190500"/>
                  </a:xfrm>
                  <a:prstGeom prst="rect">
                    <a:avLst/>
                  </a:prstGeom>
                </pic:spPr>
              </pic:pic>
            </a:graphicData>
          </a:graphic>
        </wp:anchor>
      </w:drawing>
    </w:r>
    <w:r>
      <w:rPr/>
      <w:pict>
        <v:group style="position:absolute;margin-left:72.987999pt;margin-top:733.900085pt;width:465.3pt;height:2.5pt;mso-position-horizontal-relative:page;mso-position-vertical-relative:page;z-index:-62944" coordorigin="1460,14678" coordsize="9306,50">
          <v:rect style="position:absolute;left:1469;top:14688;width:9286;height:30" filled="true" fillcolor="#3366cc" stroked="false">
            <v:fill type="solid"/>
          </v:rect>
          <v:rect style="position:absolute;left:1459;top:14678;width:9306;height:50" filled="true" fillcolor="#006fc0" stroked="false">
            <v:fill type="solid"/>
          </v:rect>
          <w10:wrap type="none"/>
        </v:group>
      </w:pict>
    </w:r>
    <w:r>
      <w:rPr/>
      <w:pict>
        <v:shape style="position:absolute;margin-left:538.5pt;margin-top:740.900024pt;width:39pt;height:16pt;mso-position-horizontal-relative:page;mso-position-vertical-relative:page;z-index:-62920" type="#_x0000_t202" filled="false" stroked="false">
          <v:textbox inset="0,0,0,0">
            <w:txbxContent>
              <w:p>
                <w:pPr>
                  <w:tabs>
                    <w:tab w:pos="285"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27</w:t>
                </w:r>
                <w:r>
                  <w:rPr/>
                  <w:fldChar w:fldCharType="end"/>
                </w:r>
                <w:r>
                  <w:rPr>
                    <w:rFonts w:ascii="Calibri"/>
                    <w:color w:val="FFFFFF"/>
                    <w:spacing w:val="-18"/>
                    <w:sz w:val="28"/>
                    <w:shd w:fill="3366CC" w:color="auto" w:val="clear"/>
                  </w:rPr>
                  <w:t> </w:t>
                </w:r>
              </w:p>
            </w:txbxContent>
          </v:textbox>
          <w10:wrap type="none"/>
        </v:shape>
      </w:pict>
    </w:r>
    <w:r>
      <w:rPr/>
      <w:pict>
        <v:shape style="position:absolute;margin-left:186.649994pt;margin-top:742.747253pt;width:234.95pt;height:13.2pt;mso-position-horizontal-relative:page;mso-position-vertical-relative:page;z-index:-62896" type="#_x0000_t202" filled="false" stroked="false">
          <v:textbox inset="0,0,0,0">
            <w:txbxContent>
              <w:p>
                <w:pPr>
                  <w:spacing w:before="13"/>
                  <w:ind w:left="20" w:right="0" w:firstLine="0"/>
                  <w:jc w:val="left"/>
                  <w:rPr>
                    <w:i/>
                    <w:sz w:val="20"/>
                  </w:rPr>
                </w:pPr>
                <w:r>
                  <w:rPr>
                    <w:i/>
                    <w:color w:val="2E5395"/>
                    <w:sz w:val="20"/>
                  </w:rPr>
                  <w:t>REVISTA MEDICA SINERGIA Vol 2 (1), Enero 2017</w:t>
                </w:r>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72583">
          <wp:simplePos x="0" y="0"/>
          <wp:positionH relativeFrom="page">
            <wp:posOffset>916939</wp:posOffset>
          </wp:positionH>
          <wp:positionV relativeFrom="page">
            <wp:posOffset>9441180</wp:posOffset>
          </wp:positionV>
          <wp:extent cx="5910580" cy="203200"/>
          <wp:effectExtent l="0" t="0" r="0" b="0"/>
          <wp:wrapNone/>
          <wp:docPr id="79" name="image28.png" descr=""/>
          <wp:cNvGraphicFramePr>
            <a:graphicFrameLocks noChangeAspect="1"/>
          </wp:cNvGraphicFramePr>
          <a:graphic>
            <a:graphicData uri="http://schemas.openxmlformats.org/drawingml/2006/picture">
              <pic:pic>
                <pic:nvPicPr>
                  <pic:cNvPr id="80" name="image28.png"/>
                  <pic:cNvPicPr/>
                </pic:nvPicPr>
                <pic:blipFill>
                  <a:blip r:embed="rId1" cstate="print"/>
                  <a:stretch>
                    <a:fillRect/>
                  </a:stretch>
                </pic:blipFill>
                <pic:spPr>
                  <a:xfrm>
                    <a:off x="0" y="0"/>
                    <a:ext cx="5910580" cy="203200"/>
                  </a:xfrm>
                  <a:prstGeom prst="rect">
                    <a:avLst/>
                  </a:prstGeom>
                </pic:spPr>
              </pic:pic>
            </a:graphicData>
          </a:graphic>
        </wp:anchor>
      </w:drawing>
    </w:r>
    <w:r>
      <w:rPr/>
      <w:drawing>
        <wp:anchor distT="0" distB="0" distL="0" distR="0" allowOverlap="1" layoutInCell="1" locked="0" behindDoc="1" simplePos="0" relativeHeight="268372607">
          <wp:simplePos x="0" y="0"/>
          <wp:positionH relativeFrom="page">
            <wp:posOffset>485140</wp:posOffset>
          </wp:positionH>
          <wp:positionV relativeFrom="page">
            <wp:posOffset>9390380</wp:posOffset>
          </wp:positionV>
          <wp:extent cx="419100" cy="190500"/>
          <wp:effectExtent l="0" t="0" r="0" b="0"/>
          <wp:wrapNone/>
          <wp:docPr id="81" name="image29.png" descr=""/>
          <wp:cNvGraphicFramePr>
            <a:graphicFrameLocks noChangeAspect="1"/>
          </wp:cNvGraphicFramePr>
          <a:graphic>
            <a:graphicData uri="http://schemas.openxmlformats.org/drawingml/2006/picture">
              <pic:pic>
                <pic:nvPicPr>
                  <pic:cNvPr id="82" name="image29.png"/>
                  <pic:cNvPicPr/>
                </pic:nvPicPr>
                <pic:blipFill>
                  <a:blip r:embed="rId2" cstate="print"/>
                  <a:stretch>
                    <a:fillRect/>
                  </a:stretch>
                </pic:blipFill>
                <pic:spPr>
                  <a:xfrm>
                    <a:off x="0" y="0"/>
                    <a:ext cx="419100" cy="190500"/>
                  </a:xfrm>
                  <a:prstGeom prst="rect">
                    <a:avLst/>
                  </a:prstGeom>
                </pic:spPr>
              </pic:pic>
            </a:graphicData>
          </a:graphic>
        </wp:anchor>
      </w:drawing>
    </w:r>
    <w:r>
      <w:rPr/>
      <w:pict>
        <v:line style="position:absolute;mso-position-horizontal-relative:page;mso-position-vertical-relative:page;z-index:-62824" from="73.492996pt,735.132568pt" to="539.252996pt,735.132568pt" stroked="true" strokeweight="1.4649pt" strokecolor="#3366cc">
          <v:stroke dashstyle="solid"/>
          <w10:wrap type="none"/>
        </v:line>
      </w:pict>
    </w:r>
    <w:r>
      <w:rPr/>
      <w:pict>
        <v:shape style="position:absolute;margin-left:35.650002pt;margin-top:741.299988pt;width:39pt;height:16pt;mso-position-horizontal-relative:page;mso-position-vertical-relative:page;z-index:-62800" type="#_x0000_t202" filled="false" stroked="false">
          <v:textbox inset="0,0,0,0">
            <w:txbxContent>
              <w:p>
                <w:pPr>
                  <w:tabs>
                    <w:tab w:pos="283"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28</w:t>
                </w:r>
                <w:r>
                  <w:rPr/>
                  <w:fldChar w:fldCharType="end"/>
                </w:r>
                <w:r>
                  <w:rPr>
                    <w:rFonts w:ascii="Calibri"/>
                    <w:color w:val="FFFFFF"/>
                    <w:spacing w:val="-16"/>
                    <w:sz w:val="28"/>
                    <w:shd w:fill="3366CC" w:color="auto" w:val="clear"/>
                  </w:rPr>
                  <w:t> </w:t>
                </w:r>
              </w:p>
            </w:txbxContent>
          </v:textbox>
          <w10:wrap type="none"/>
        </v:shape>
      </w:pict>
    </w:r>
    <w:r>
      <w:rPr/>
      <w:pict>
        <v:shape style="position:absolute;margin-left:236.270004pt;margin-top:742.747253pt;width:136.85pt;height:13.2pt;mso-position-horizontal-relative:page;mso-position-vertical-relative:page;z-index:-62776" type="#_x0000_t202" filled="false" stroked="false">
          <v:textbox inset="0,0,0,0">
            <w:txbxContent>
              <w:p>
                <w:pPr>
                  <w:spacing w:before="13"/>
                  <w:ind w:left="20" w:right="0" w:firstLine="0"/>
                  <w:jc w:val="left"/>
                  <w:rPr>
                    <w:i/>
                    <w:sz w:val="20"/>
                  </w:rPr>
                </w:pPr>
                <w:r>
                  <w:rPr>
                    <w:i/>
                    <w:color w:val="3166CC"/>
                    <w:sz w:val="20"/>
                  </w:rPr>
                  <w:t>REVISTA MEDICA SINERGIA</w:t>
                </w:r>
              </w:p>
            </w:txbxContent>
          </v:textbox>
          <w10:wrap type="non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72703">
          <wp:simplePos x="0" y="0"/>
          <wp:positionH relativeFrom="page">
            <wp:posOffset>916939</wp:posOffset>
          </wp:positionH>
          <wp:positionV relativeFrom="page">
            <wp:posOffset>9441180</wp:posOffset>
          </wp:positionV>
          <wp:extent cx="5910580" cy="203200"/>
          <wp:effectExtent l="0" t="0" r="0" b="0"/>
          <wp:wrapNone/>
          <wp:docPr id="83" name="image28.png" descr=""/>
          <wp:cNvGraphicFramePr>
            <a:graphicFrameLocks noChangeAspect="1"/>
          </wp:cNvGraphicFramePr>
          <a:graphic>
            <a:graphicData uri="http://schemas.openxmlformats.org/drawingml/2006/picture">
              <pic:pic>
                <pic:nvPicPr>
                  <pic:cNvPr id="84" name="image28.png"/>
                  <pic:cNvPicPr/>
                </pic:nvPicPr>
                <pic:blipFill>
                  <a:blip r:embed="rId1" cstate="print"/>
                  <a:stretch>
                    <a:fillRect/>
                  </a:stretch>
                </pic:blipFill>
                <pic:spPr>
                  <a:xfrm>
                    <a:off x="0" y="0"/>
                    <a:ext cx="5910580" cy="203200"/>
                  </a:xfrm>
                  <a:prstGeom prst="rect">
                    <a:avLst/>
                  </a:prstGeom>
                </pic:spPr>
              </pic:pic>
            </a:graphicData>
          </a:graphic>
        </wp:anchor>
      </w:drawing>
    </w:r>
    <w:r>
      <w:rPr/>
      <w:drawing>
        <wp:anchor distT="0" distB="0" distL="0" distR="0" allowOverlap="1" layoutInCell="1" locked="0" behindDoc="1" simplePos="0" relativeHeight="268372727">
          <wp:simplePos x="0" y="0"/>
          <wp:positionH relativeFrom="page">
            <wp:posOffset>485140</wp:posOffset>
          </wp:positionH>
          <wp:positionV relativeFrom="page">
            <wp:posOffset>9390380</wp:posOffset>
          </wp:positionV>
          <wp:extent cx="419100" cy="190500"/>
          <wp:effectExtent l="0" t="0" r="0" b="0"/>
          <wp:wrapNone/>
          <wp:docPr id="85" name="image29.png" descr=""/>
          <wp:cNvGraphicFramePr>
            <a:graphicFrameLocks noChangeAspect="1"/>
          </wp:cNvGraphicFramePr>
          <a:graphic>
            <a:graphicData uri="http://schemas.openxmlformats.org/drawingml/2006/picture">
              <pic:pic>
                <pic:nvPicPr>
                  <pic:cNvPr id="86" name="image29.png"/>
                  <pic:cNvPicPr/>
                </pic:nvPicPr>
                <pic:blipFill>
                  <a:blip r:embed="rId2" cstate="print"/>
                  <a:stretch>
                    <a:fillRect/>
                  </a:stretch>
                </pic:blipFill>
                <pic:spPr>
                  <a:xfrm>
                    <a:off x="0" y="0"/>
                    <a:ext cx="419100" cy="190500"/>
                  </a:xfrm>
                  <a:prstGeom prst="rect">
                    <a:avLst/>
                  </a:prstGeom>
                </pic:spPr>
              </pic:pic>
            </a:graphicData>
          </a:graphic>
        </wp:anchor>
      </w:drawing>
    </w:r>
    <w:r>
      <w:rPr/>
      <w:pict>
        <v:line style="position:absolute;mso-position-horizontal-relative:page;mso-position-vertical-relative:page;z-index:-62704" from="73.492996pt,735.132568pt" to="539.252996pt,735.132568pt" stroked="true" strokeweight="1.4649pt" strokecolor="#3366cc">
          <v:stroke dashstyle="solid"/>
          <w10:wrap type="none"/>
        </v:line>
      </w:pict>
    </w:r>
    <w:r>
      <w:rPr/>
      <w:pict>
        <v:shape style="position:absolute;margin-left:35.650002pt;margin-top:741.299988pt;width:39pt;height:16pt;mso-position-horizontal-relative:page;mso-position-vertical-relative:page;z-index:-62680" type="#_x0000_t202" filled="false" stroked="false">
          <v:textbox inset="0,0,0,0">
            <w:txbxContent>
              <w:p>
                <w:pPr>
                  <w:tabs>
                    <w:tab w:pos="283"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30</w:t>
                </w:r>
                <w:r>
                  <w:rPr/>
                  <w:fldChar w:fldCharType="end"/>
                </w:r>
                <w:r>
                  <w:rPr>
                    <w:rFonts w:ascii="Calibri"/>
                    <w:color w:val="FFFFFF"/>
                    <w:spacing w:val="-16"/>
                    <w:sz w:val="28"/>
                    <w:shd w:fill="3366CC" w:color="auto" w:val="clear"/>
                  </w:rPr>
                  <w:t> </w:t>
                </w:r>
              </w:p>
            </w:txbxContent>
          </v:textbox>
          <w10:wrap type="none"/>
        </v:shape>
      </w:pict>
    </w:r>
    <w:r>
      <w:rPr/>
      <w:pict>
        <v:shape style="position:absolute;margin-left:236.270004pt;margin-top:742.747253pt;width:136.85pt;height:13.2pt;mso-position-horizontal-relative:page;mso-position-vertical-relative:page;z-index:-62656" type="#_x0000_t202" filled="false" stroked="false">
          <v:textbox inset="0,0,0,0">
            <w:txbxContent>
              <w:p>
                <w:pPr>
                  <w:spacing w:before="13"/>
                  <w:ind w:left="20" w:right="0" w:firstLine="0"/>
                  <w:jc w:val="left"/>
                  <w:rPr>
                    <w:i/>
                    <w:sz w:val="20"/>
                  </w:rPr>
                </w:pPr>
                <w:r>
                  <w:rPr>
                    <w:i/>
                    <w:color w:val="3166CC"/>
                    <w:sz w:val="20"/>
                  </w:rPr>
                  <w:t>REVISTA MEDICA SINERGIA</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70423">
          <wp:simplePos x="0" y="0"/>
          <wp:positionH relativeFrom="page">
            <wp:posOffset>916939</wp:posOffset>
          </wp:positionH>
          <wp:positionV relativeFrom="page">
            <wp:posOffset>9441180</wp:posOffset>
          </wp:positionV>
          <wp:extent cx="5890260" cy="203200"/>
          <wp:effectExtent l="0" t="0" r="0" b="0"/>
          <wp:wrapNone/>
          <wp:docPr id="13" name="image30.png" descr=""/>
          <wp:cNvGraphicFramePr>
            <a:graphicFrameLocks noChangeAspect="1"/>
          </wp:cNvGraphicFramePr>
          <a:graphic>
            <a:graphicData uri="http://schemas.openxmlformats.org/drawingml/2006/picture">
              <pic:pic>
                <pic:nvPicPr>
                  <pic:cNvPr id="14" name="image30.png"/>
                  <pic:cNvPicPr/>
                </pic:nvPicPr>
                <pic:blipFill>
                  <a:blip r:embed="rId1" cstate="print"/>
                  <a:stretch>
                    <a:fillRect/>
                  </a:stretch>
                </pic:blipFill>
                <pic:spPr>
                  <a:xfrm>
                    <a:off x="0" y="0"/>
                    <a:ext cx="5890260" cy="203200"/>
                  </a:xfrm>
                  <a:prstGeom prst="rect">
                    <a:avLst/>
                  </a:prstGeom>
                </pic:spPr>
              </pic:pic>
            </a:graphicData>
          </a:graphic>
        </wp:anchor>
      </w:drawing>
    </w:r>
    <w:r>
      <w:rPr/>
      <w:drawing>
        <wp:anchor distT="0" distB="0" distL="0" distR="0" allowOverlap="1" layoutInCell="1" locked="0" behindDoc="1" simplePos="0" relativeHeight="268370447">
          <wp:simplePos x="0" y="0"/>
          <wp:positionH relativeFrom="page">
            <wp:posOffset>6870700</wp:posOffset>
          </wp:positionH>
          <wp:positionV relativeFrom="page">
            <wp:posOffset>9385300</wp:posOffset>
          </wp:positionV>
          <wp:extent cx="419100" cy="190500"/>
          <wp:effectExtent l="0" t="0" r="0" b="0"/>
          <wp:wrapNone/>
          <wp:docPr id="15" name="image29.png" descr=""/>
          <wp:cNvGraphicFramePr>
            <a:graphicFrameLocks noChangeAspect="1"/>
          </wp:cNvGraphicFramePr>
          <a:graphic>
            <a:graphicData uri="http://schemas.openxmlformats.org/drawingml/2006/picture">
              <pic:pic>
                <pic:nvPicPr>
                  <pic:cNvPr id="16" name="image29.png"/>
                  <pic:cNvPicPr/>
                </pic:nvPicPr>
                <pic:blipFill>
                  <a:blip r:embed="rId2" cstate="print"/>
                  <a:stretch>
                    <a:fillRect/>
                  </a:stretch>
                </pic:blipFill>
                <pic:spPr>
                  <a:xfrm>
                    <a:off x="0" y="0"/>
                    <a:ext cx="419100" cy="190500"/>
                  </a:xfrm>
                  <a:prstGeom prst="rect">
                    <a:avLst/>
                  </a:prstGeom>
                </pic:spPr>
              </pic:pic>
            </a:graphicData>
          </a:graphic>
        </wp:anchor>
      </w:drawing>
    </w:r>
    <w:r>
      <w:rPr/>
      <w:pict>
        <v:group style="position:absolute;margin-left:72.987999pt;margin-top:733.900085pt;width:465.3pt;height:2.5pt;mso-position-horizontal-relative:page;mso-position-vertical-relative:page;z-index:-64984" coordorigin="1460,14678" coordsize="9306,50">
          <v:rect style="position:absolute;left:1469;top:14688;width:9286;height:30" filled="true" fillcolor="#3366cc" stroked="false">
            <v:fill type="solid"/>
          </v:rect>
          <v:rect style="position:absolute;left:1459;top:14678;width:9306;height:50" filled="true" fillcolor="#006fc0" stroked="false">
            <v:fill type="solid"/>
          </v:rect>
          <w10:wrap type="none"/>
        </v:group>
      </w:pict>
    </w:r>
    <w:r>
      <w:rPr/>
      <w:pict>
        <v:shape style="position:absolute;margin-left:538.5pt;margin-top:740.900024pt;width:39pt;height:16pt;mso-position-horizontal-relative:page;mso-position-vertical-relative:page;z-index:-64960" type="#_x0000_t202" filled="false" stroked="false">
          <v:textbox inset="0,0,0,0">
            <w:txbxContent>
              <w:p>
                <w:pPr>
                  <w:tabs>
                    <w:tab w:pos="429"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3</w:t>
                </w:r>
                <w:r>
                  <w:rPr/>
                  <w:fldChar w:fldCharType="end"/>
                </w:r>
                <w:r>
                  <w:rPr>
                    <w:rFonts w:ascii="Calibri"/>
                    <w:color w:val="FFFFFF"/>
                    <w:spacing w:val="-22"/>
                    <w:sz w:val="28"/>
                    <w:shd w:fill="3366CC" w:color="auto" w:val="clear"/>
                  </w:rPr>
                  <w:t> </w:t>
                </w:r>
              </w:p>
            </w:txbxContent>
          </v:textbox>
          <w10:wrap type="none"/>
        </v:shape>
      </w:pict>
    </w:r>
    <w:r>
      <w:rPr/>
      <w:pict>
        <v:shape style="position:absolute;margin-left:186.649994pt;margin-top:742.747253pt;width:234.95pt;height:13.2pt;mso-position-horizontal-relative:page;mso-position-vertical-relative:page;z-index:-64936" type="#_x0000_t202" filled="false" stroked="false">
          <v:textbox inset="0,0,0,0">
            <w:txbxContent>
              <w:p>
                <w:pPr>
                  <w:spacing w:before="13"/>
                  <w:ind w:left="20" w:right="0" w:firstLine="0"/>
                  <w:jc w:val="left"/>
                  <w:rPr>
                    <w:i/>
                    <w:sz w:val="20"/>
                  </w:rPr>
                </w:pPr>
                <w:r>
                  <w:rPr>
                    <w:i/>
                    <w:color w:val="2E5395"/>
                    <w:sz w:val="20"/>
                  </w:rPr>
                  <w:t>REVISTA MEDICA SINERGIA Vol 2 (1), Enero 2017</w:t>
                </w:r>
              </w:p>
            </w:txbxContent>
          </v:textbox>
          <w10:wrap type="non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72823">
          <wp:simplePos x="0" y="0"/>
          <wp:positionH relativeFrom="page">
            <wp:posOffset>916939</wp:posOffset>
          </wp:positionH>
          <wp:positionV relativeFrom="page">
            <wp:posOffset>9441180</wp:posOffset>
          </wp:positionV>
          <wp:extent cx="5890260" cy="203200"/>
          <wp:effectExtent l="0" t="0" r="0" b="0"/>
          <wp:wrapNone/>
          <wp:docPr id="87" name="image30.png" descr=""/>
          <wp:cNvGraphicFramePr>
            <a:graphicFrameLocks noChangeAspect="1"/>
          </wp:cNvGraphicFramePr>
          <a:graphic>
            <a:graphicData uri="http://schemas.openxmlformats.org/drawingml/2006/picture">
              <pic:pic>
                <pic:nvPicPr>
                  <pic:cNvPr id="88" name="image30.png"/>
                  <pic:cNvPicPr/>
                </pic:nvPicPr>
                <pic:blipFill>
                  <a:blip r:embed="rId1" cstate="print"/>
                  <a:stretch>
                    <a:fillRect/>
                  </a:stretch>
                </pic:blipFill>
                <pic:spPr>
                  <a:xfrm>
                    <a:off x="0" y="0"/>
                    <a:ext cx="5890260" cy="203200"/>
                  </a:xfrm>
                  <a:prstGeom prst="rect">
                    <a:avLst/>
                  </a:prstGeom>
                </pic:spPr>
              </pic:pic>
            </a:graphicData>
          </a:graphic>
        </wp:anchor>
      </w:drawing>
    </w:r>
    <w:r>
      <w:rPr/>
      <w:drawing>
        <wp:anchor distT="0" distB="0" distL="0" distR="0" allowOverlap="1" layoutInCell="1" locked="0" behindDoc="1" simplePos="0" relativeHeight="268372847">
          <wp:simplePos x="0" y="0"/>
          <wp:positionH relativeFrom="page">
            <wp:posOffset>6870700</wp:posOffset>
          </wp:positionH>
          <wp:positionV relativeFrom="page">
            <wp:posOffset>9385300</wp:posOffset>
          </wp:positionV>
          <wp:extent cx="419100" cy="190500"/>
          <wp:effectExtent l="0" t="0" r="0" b="0"/>
          <wp:wrapNone/>
          <wp:docPr id="89" name="image29.png" descr=""/>
          <wp:cNvGraphicFramePr>
            <a:graphicFrameLocks noChangeAspect="1"/>
          </wp:cNvGraphicFramePr>
          <a:graphic>
            <a:graphicData uri="http://schemas.openxmlformats.org/drawingml/2006/picture">
              <pic:pic>
                <pic:nvPicPr>
                  <pic:cNvPr id="90" name="image29.png"/>
                  <pic:cNvPicPr/>
                </pic:nvPicPr>
                <pic:blipFill>
                  <a:blip r:embed="rId2" cstate="print"/>
                  <a:stretch>
                    <a:fillRect/>
                  </a:stretch>
                </pic:blipFill>
                <pic:spPr>
                  <a:xfrm>
                    <a:off x="0" y="0"/>
                    <a:ext cx="419100" cy="190500"/>
                  </a:xfrm>
                  <a:prstGeom prst="rect">
                    <a:avLst/>
                  </a:prstGeom>
                </pic:spPr>
              </pic:pic>
            </a:graphicData>
          </a:graphic>
        </wp:anchor>
      </w:drawing>
    </w:r>
    <w:r>
      <w:rPr/>
      <w:pict>
        <v:group style="position:absolute;margin-left:72.987999pt;margin-top:733.900085pt;width:465.3pt;height:2.5pt;mso-position-horizontal-relative:page;mso-position-vertical-relative:page;z-index:-62584" coordorigin="1460,14678" coordsize="9306,50">
          <v:rect style="position:absolute;left:1469;top:14688;width:9286;height:30" filled="true" fillcolor="#3366cc" stroked="false">
            <v:fill type="solid"/>
          </v:rect>
          <v:rect style="position:absolute;left:1459;top:14678;width:9306;height:50" filled="true" fillcolor="#006fc0" stroked="false">
            <v:fill type="solid"/>
          </v:rect>
          <w10:wrap type="none"/>
        </v:group>
      </w:pict>
    </w:r>
    <w:r>
      <w:rPr/>
      <w:pict>
        <v:shape style="position:absolute;margin-left:538.5pt;margin-top:740.900024pt;width:39pt;height:16pt;mso-position-horizontal-relative:page;mso-position-vertical-relative:page;z-index:-62560" type="#_x0000_t202" filled="false" stroked="false">
          <v:textbox inset="0,0,0,0">
            <w:txbxContent>
              <w:p>
                <w:pPr>
                  <w:tabs>
                    <w:tab w:pos="285"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31</w:t>
                </w:r>
                <w:r>
                  <w:rPr/>
                  <w:fldChar w:fldCharType="end"/>
                </w:r>
                <w:r>
                  <w:rPr>
                    <w:rFonts w:ascii="Calibri"/>
                    <w:color w:val="FFFFFF"/>
                    <w:spacing w:val="-18"/>
                    <w:sz w:val="28"/>
                    <w:shd w:fill="3366CC" w:color="auto" w:val="clear"/>
                  </w:rPr>
                  <w:t> </w:t>
                </w:r>
              </w:p>
            </w:txbxContent>
          </v:textbox>
          <w10:wrap type="none"/>
        </v:shape>
      </w:pict>
    </w:r>
    <w:r>
      <w:rPr/>
      <w:pict>
        <v:shape style="position:absolute;margin-left:186.649994pt;margin-top:742.747253pt;width:234.95pt;height:13.2pt;mso-position-horizontal-relative:page;mso-position-vertical-relative:page;z-index:-62536" type="#_x0000_t202" filled="false" stroked="false">
          <v:textbox inset="0,0,0,0">
            <w:txbxContent>
              <w:p>
                <w:pPr>
                  <w:spacing w:before="13"/>
                  <w:ind w:left="20" w:right="0" w:firstLine="0"/>
                  <w:jc w:val="left"/>
                  <w:rPr>
                    <w:i/>
                    <w:sz w:val="20"/>
                  </w:rPr>
                </w:pPr>
                <w:r>
                  <w:rPr>
                    <w:i/>
                    <w:color w:val="2E5395"/>
                    <w:sz w:val="20"/>
                  </w:rPr>
                  <w:t>REVISTA MEDICA SINERGIA Vol 2 (1), Enero 2017</w:t>
                </w:r>
              </w:p>
            </w:txbxContent>
          </v:textbox>
          <w10:wrap type="non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72991">
          <wp:simplePos x="0" y="0"/>
          <wp:positionH relativeFrom="page">
            <wp:posOffset>916939</wp:posOffset>
          </wp:positionH>
          <wp:positionV relativeFrom="page">
            <wp:posOffset>9441180</wp:posOffset>
          </wp:positionV>
          <wp:extent cx="5910580" cy="203200"/>
          <wp:effectExtent l="0" t="0" r="0" b="0"/>
          <wp:wrapNone/>
          <wp:docPr id="91" name="image28.png" descr=""/>
          <wp:cNvGraphicFramePr>
            <a:graphicFrameLocks noChangeAspect="1"/>
          </wp:cNvGraphicFramePr>
          <a:graphic>
            <a:graphicData uri="http://schemas.openxmlformats.org/drawingml/2006/picture">
              <pic:pic>
                <pic:nvPicPr>
                  <pic:cNvPr id="92" name="image28.png"/>
                  <pic:cNvPicPr/>
                </pic:nvPicPr>
                <pic:blipFill>
                  <a:blip r:embed="rId1" cstate="print"/>
                  <a:stretch>
                    <a:fillRect/>
                  </a:stretch>
                </pic:blipFill>
                <pic:spPr>
                  <a:xfrm>
                    <a:off x="0" y="0"/>
                    <a:ext cx="5910580" cy="203200"/>
                  </a:xfrm>
                  <a:prstGeom prst="rect">
                    <a:avLst/>
                  </a:prstGeom>
                </pic:spPr>
              </pic:pic>
            </a:graphicData>
          </a:graphic>
        </wp:anchor>
      </w:drawing>
    </w:r>
    <w:r>
      <w:rPr/>
      <w:drawing>
        <wp:anchor distT="0" distB="0" distL="0" distR="0" allowOverlap="1" layoutInCell="1" locked="0" behindDoc="1" simplePos="0" relativeHeight="268373015">
          <wp:simplePos x="0" y="0"/>
          <wp:positionH relativeFrom="page">
            <wp:posOffset>485140</wp:posOffset>
          </wp:positionH>
          <wp:positionV relativeFrom="page">
            <wp:posOffset>9390380</wp:posOffset>
          </wp:positionV>
          <wp:extent cx="419100" cy="190500"/>
          <wp:effectExtent l="0" t="0" r="0" b="0"/>
          <wp:wrapNone/>
          <wp:docPr id="93" name="image29.png" descr=""/>
          <wp:cNvGraphicFramePr>
            <a:graphicFrameLocks noChangeAspect="1"/>
          </wp:cNvGraphicFramePr>
          <a:graphic>
            <a:graphicData uri="http://schemas.openxmlformats.org/drawingml/2006/picture">
              <pic:pic>
                <pic:nvPicPr>
                  <pic:cNvPr id="94" name="image29.png"/>
                  <pic:cNvPicPr/>
                </pic:nvPicPr>
                <pic:blipFill>
                  <a:blip r:embed="rId2" cstate="print"/>
                  <a:stretch>
                    <a:fillRect/>
                  </a:stretch>
                </pic:blipFill>
                <pic:spPr>
                  <a:xfrm>
                    <a:off x="0" y="0"/>
                    <a:ext cx="419100" cy="190500"/>
                  </a:xfrm>
                  <a:prstGeom prst="rect">
                    <a:avLst/>
                  </a:prstGeom>
                </pic:spPr>
              </pic:pic>
            </a:graphicData>
          </a:graphic>
        </wp:anchor>
      </w:drawing>
    </w:r>
    <w:r>
      <w:rPr/>
      <w:pict>
        <v:line style="position:absolute;mso-position-horizontal-relative:page;mso-position-vertical-relative:page;z-index:-62416" from="73.492996pt,735.132568pt" to="539.252996pt,735.132568pt" stroked="true" strokeweight="1.4649pt" strokecolor="#3366cc">
          <v:stroke dashstyle="solid"/>
          <w10:wrap type="none"/>
        </v:line>
      </w:pict>
    </w:r>
    <w:r>
      <w:rPr/>
      <w:pict>
        <v:shape style="position:absolute;margin-left:35.650002pt;margin-top:741.299988pt;width:39pt;height:16pt;mso-position-horizontal-relative:page;mso-position-vertical-relative:page;z-index:-62392" type="#_x0000_t202" filled="false" stroked="false">
          <v:textbox inset="0,0,0,0">
            <w:txbxContent>
              <w:p>
                <w:pPr>
                  <w:tabs>
                    <w:tab w:pos="283"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34</w:t>
                </w:r>
                <w:r>
                  <w:rPr/>
                  <w:fldChar w:fldCharType="end"/>
                </w:r>
                <w:r>
                  <w:rPr>
                    <w:rFonts w:ascii="Calibri"/>
                    <w:color w:val="FFFFFF"/>
                    <w:spacing w:val="-16"/>
                    <w:sz w:val="28"/>
                    <w:shd w:fill="3366CC" w:color="auto" w:val="clear"/>
                  </w:rPr>
                  <w:t> </w:t>
                </w:r>
              </w:p>
            </w:txbxContent>
          </v:textbox>
          <w10:wrap type="none"/>
        </v:shape>
      </w:pict>
    </w:r>
    <w:r>
      <w:rPr/>
      <w:pict>
        <v:shape style="position:absolute;margin-left:236.270004pt;margin-top:742.747253pt;width:136.85pt;height:13.2pt;mso-position-horizontal-relative:page;mso-position-vertical-relative:page;z-index:-62368" type="#_x0000_t202" filled="false" stroked="false">
          <v:textbox inset="0,0,0,0">
            <w:txbxContent>
              <w:p>
                <w:pPr>
                  <w:spacing w:before="13"/>
                  <w:ind w:left="20" w:right="0" w:firstLine="0"/>
                  <w:jc w:val="left"/>
                  <w:rPr>
                    <w:i/>
                    <w:sz w:val="20"/>
                  </w:rPr>
                </w:pPr>
                <w:r>
                  <w:rPr>
                    <w:i/>
                    <w:color w:val="3166CC"/>
                    <w:sz w:val="20"/>
                  </w:rPr>
                  <w:t>REVISTA MEDICA SINERGIA</w:t>
                </w:r>
              </w:p>
            </w:txbxContent>
          </v:textbox>
          <w10:wrap type="non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70591">
          <wp:simplePos x="0" y="0"/>
          <wp:positionH relativeFrom="page">
            <wp:posOffset>751840</wp:posOffset>
          </wp:positionH>
          <wp:positionV relativeFrom="page">
            <wp:posOffset>9453880</wp:posOffset>
          </wp:positionV>
          <wp:extent cx="5890260" cy="200660"/>
          <wp:effectExtent l="0" t="0" r="0" b="0"/>
          <wp:wrapNone/>
          <wp:docPr id="17" name="image34.png" descr=""/>
          <wp:cNvGraphicFramePr>
            <a:graphicFrameLocks noChangeAspect="1"/>
          </wp:cNvGraphicFramePr>
          <a:graphic>
            <a:graphicData uri="http://schemas.openxmlformats.org/drawingml/2006/picture">
              <pic:pic>
                <pic:nvPicPr>
                  <pic:cNvPr id="18" name="image34.png"/>
                  <pic:cNvPicPr/>
                </pic:nvPicPr>
                <pic:blipFill>
                  <a:blip r:embed="rId1" cstate="print"/>
                  <a:stretch>
                    <a:fillRect/>
                  </a:stretch>
                </pic:blipFill>
                <pic:spPr>
                  <a:xfrm>
                    <a:off x="0" y="0"/>
                    <a:ext cx="5890260" cy="200660"/>
                  </a:xfrm>
                  <a:prstGeom prst="rect">
                    <a:avLst/>
                  </a:prstGeom>
                </pic:spPr>
              </pic:pic>
            </a:graphicData>
          </a:graphic>
        </wp:anchor>
      </w:drawing>
    </w:r>
    <w:r>
      <w:rPr/>
      <w:drawing>
        <wp:anchor distT="0" distB="0" distL="0" distR="0" allowOverlap="1" layoutInCell="1" locked="0" behindDoc="1" simplePos="0" relativeHeight="268370615">
          <wp:simplePos x="0" y="0"/>
          <wp:positionH relativeFrom="page">
            <wp:posOffset>6705600</wp:posOffset>
          </wp:positionH>
          <wp:positionV relativeFrom="page">
            <wp:posOffset>9400540</wp:posOffset>
          </wp:positionV>
          <wp:extent cx="419100" cy="190500"/>
          <wp:effectExtent l="0" t="0" r="0" b="0"/>
          <wp:wrapNone/>
          <wp:docPr id="19" name="image29.png" descr=""/>
          <wp:cNvGraphicFramePr>
            <a:graphicFrameLocks noChangeAspect="1"/>
          </wp:cNvGraphicFramePr>
          <a:graphic>
            <a:graphicData uri="http://schemas.openxmlformats.org/drawingml/2006/picture">
              <pic:pic>
                <pic:nvPicPr>
                  <pic:cNvPr id="20" name="image29.png"/>
                  <pic:cNvPicPr/>
                </pic:nvPicPr>
                <pic:blipFill>
                  <a:blip r:embed="rId2" cstate="print"/>
                  <a:stretch>
                    <a:fillRect/>
                  </a:stretch>
                </pic:blipFill>
                <pic:spPr>
                  <a:xfrm>
                    <a:off x="0" y="0"/>
                    <a:ext cx="419100" cy="190500"/>
                  </a:xfrm>
                  <a:prstGeom prst="rect">
                    <a:avLst/>
                  </a:prstGeom>
                </pic:spPr>
              </pic:pic>
            </a:graphicData>
          </a:graphic>
        </wp:anchor>
      </w:drawing>
    </w:r>
    <w:r>
      <w:rPr/>
      <w:pict>
        <v:group style="position:absolute;margin-left:59.938pt;margin-top:734.820129pt;width:465.3pt;height:2.5pt;mso-position-horizontal-relative:page;mso-position-vertical-relative:page;z-index:-64816" coordorigin="1199,14696" coordsize="9306,50">
          <v:rect style="position:absolute;left:1208;top:14706;width:9286;height:30" filled="true" fillcolor="#3366cc" stroked="false">
            <v:fill type="solid"/>
          </v:rect>
          <v:rect style="position:absolute;left:1198;top:14696;width:9306;height:50" filled="true" fillcolor="#006fc0" stroked="false">
            <v:fill type="solid"/>
          </v:rect>
          <w10:wrap type="none"/>
        </v:group>
      </w:pict>
    </w:r>
    <w:r>
      <w:rPr/>
      <w:pict>
        <v:shape style="position:absolute;margin-left:538.5pt;margin-top:740.900024pt;width:39pt;height:17.2pt;mso-position-horizontal-relative:page;mso-position-vertical-relative:page;z-index:-64792" type="#_x0000_t202" filled="false" stroked="false">
          <v:textbox inset="0,0,0,0">
            <w:txbxContent>
              <w:p>
                <w:pPr>
                  <w:tabs>
                    <w:tab w:pos="429"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9</w:t>
                </w:r>
                <w:r>
                  <w:rPr/>
                  <w:fldChar w:fldCharType="end"/>
                </w:r>
                <w:r>
                  <w:rPr>
                    <w:rFonts w:ascii="Calibri"/>
                    <w:color w:val="FFFFFF"/>
                    <w:spacing w:val="-22"/>
                    <w:sz w:val="28"/>
                    <w:shd w:fill="3366CC" w:color="auto" w:val="clear"/>
                  </w:rPr>
                  <w:t> </w:t>
                </w:r>
              </w:p>
            </w:txbxContent>
          </v:textbox>
          <w10:wrap type="none"/>
        </v:shape>
      </w:pict>
    </w:r>
    <w:r>
      <w:rPr/>
      <w:pict>
        <v:shape style="position:absolute;margin-left:186.649994pt;margin-top:742.747253pt;width:234.95pt;height:13.2pt;mso-position-horizontal-relative:page;mso-position-vertical-relative:page;z-index:-64768" type="#_x0000_t202" filled="false" stroked="false">
          <v:textbox inset="0,0,0,0">
            <w:txbxContent>
              <w:p>
                <w:pPr>
                  <w:spacing w:before="13"/>
                  <w:ind w:left="20" w:right="0" w:firstLine="0"/>
                  <w:jc w:val="left"/>
                  <w:rPr>
                    <w:i/>
                    <w:sz w:val="20"/>
                  </w:rPr>
                </w:pPr>
                <w:r>
                  <w:rPr>
                    <w:i/>
                    <w:color w:val="2E5395"/>
                    <w:sz w:val="20"/>
                  </w:rPr>
                  <w:t>REVISTA MEDICA SINERGIA Vol 2 (1), Enero 2017</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70711">
          <wp:simplePos x="0" y="0"/>
          <wp:positionH relativeFrom="page">
            <wp:posOffset>916939</wp:posOffset>
          </wp:positionH>
          <wp:positionV relativeFrom="page">
            <wp:posOffset>9441180</wp:posOffset>
          </wp:positionV>
          <wp:extent cx="5910580" cy="203200"/>
          <wp:effectExtent l="0" t="0" r="0" b="0"/>
          <wp:wrapNone/>
          <wp:docPr id="21" name="image28.png" descr=""/>
          <wp:cNvGraphicFramePr>
            <a:graphicFrameLocks noChangeAspect="1"/>
          </wp:cNvGraphicFramePr>
          <a:graphic>
            <a:graphicData uri="http://schemas.openxmlformats.org/drawingml/2006/picture">
              <pic:pic>
                <pic:nvPicPr>
                  <pic:cNvPr id="22" name="image28.png"/>
                  <pic:cNvPicPr/>
                </pic:nvPicPr>
                <pic:blipFill>
                  <a:blip r:embed="rId1" cstate="print"/>
                  <a:stretch>
                    <a:fillRect/>
                  </a:stretch>
                </pic:blipFill>
                <pic:spPr>
                  <a:xfrm>
                    <a:off x="0" y="0"/>
                    <a:ext cx="5910580" cy="203200"/>
                  </a:xfrm>
                  <a:prstGeom prst="rect">
                    <a:avLst/>
                  </a:prstGeom>
                </pic:spPr>
              </pic:pic>
            </a:graphicData>
          </a:graphic>
        </wp:anchor>
      </w:drawing>
    </w:r>
    <w:r>
      <w:rPr/>
      <w:drawing>
        <wp:anchor distT="0" distB="0" distL="0" distR="0" allowOverlap="1" layoutInCell="1" locked="0" behindDoc="1" simplePos="0" relativeHeight="268370735">
          <wp:simplePos x="0" y="0"/>
          <wp:positionH relativeFrom="page">
            <wp:posOffset>485140</wp:posOffset>
          </wp:positionH>
          <wp:positionV relativeFrom="page">
            <wp:posOffset>9390380</wp:posOffset>
          </wp:positionV>
          <wp:extent cx="419100" cy="190500"/>
          <wp:effectExtent l="0" t="0" r="0" b="0"/>
          <wp:wrapNone/>
          <wp:docPr id="23" name="image29.png" descr=""/>
          <wp:cNvGraphicFramePr>
            <a:graphicFrameLocks noChangeAspect="1"/>
          </wp:cNvGraphicFramePr>
          <a:graphic>
            <a:graphicData uri="http://schemas.openxmlformats.org/drawingml/2006/picture">
              <pic:pic>
                <pic:nvPicPr>
                  <pic:cNvPr id="24" name="image29.png"/>
                  <pic:cNvPicPr/>
                </pic:nvPicPr>
                <pic:blipFill>
                  <a:blip r:embed="rId2" cstate="print"/>
                  <a:stretch>
                    <a:fillRect/>
                  </a:stretch>
                </pic:blipFill>
                <pic:spPr>
                  <a:xfrm>
                    <a:off x="0" y="0"/>
                    <a:ext cx="419100" cy="190500"/>
                  </a:xfrm>
                  <a:prstGeom prst="rect">
                    <a:avLst/>
                  </a:prstGeom>
                </pic:spPr>
              </pic:pic>
            </a:graphicData>
          </a:graphic>
        </wp:anchor>
      </w:drawing>
    </w:r>
    <w:r>
      <w:rPr/>
      <w:pict>
        <v:line style="position:absolute;mso-position-horizontal-relative:page;mso-position-vertical-relative:page;z-index:-64696" from="73.492996pt,735.132568pt" to="539.252996pt,735.132568pt" stroked="true" strokeweight="1.4649pt" strokecolor="#3366cc">
          <v:stroke dashstyle="solid"/>
          <w10:wrap type="none"/>
        </v:line>
      </w:pict>
    </w:r>
    <w:r>
      <w:rPr/>
      <w:pict>
        <v:shape style="position:absolute;margin-left:35.650002pt;margin-top:741.299988pt;width:39pt;height:16pt;mso-position-horizontal-relative:page;mso-position-vertical-relative:page;z-index:-64672" type="#_x0000_t202" filled="false" stroked="false">
          <v:textbox inset="0,0,0,0">
            <w:txbxContent>
              <w:p>
                <w:pPr>
                  <w:tabs>
                    <w:tab w:pos="427"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8</w:t>
                </w:r>
                <w:r>
                  <w:rPr/>
                  <w:fldChar w:fldCharType="end"/>
                </w:r>
                <w:r>
                  <w:rPr>
                    <w:rFonts w:ascii="Calibri"/>
                    <w:color w:val="FFFFFF"/>
                    <w:spacing w:val="-20"/>
                    <w:sz w:val="28"/>
                    <w:shd w:fill="3366CC" w:color="auto" w:val="clear"/>
                  </w:rPr>
                  <w:t> </w:t>
                </w:r>
              </w:p>
            </w:txbxContent>
          </v:textbox>
          <w10:wrap type="none"/>
        </v:shape>
      </w:pict>
    </w:r>
    <w:r>
      <w:rPr/>
      <w:pict>
        <v:shape style="position:absolute;margin-left:236.270004pt;margin-top:742.747253pt;width:136.85pt;height:13.2pt;mso-position-horizontal-relative:page;mso-position-vertical-relative:page;z-index:-64648" type="#_x0000_t202" filled="false" stroked="false">
          <v:textbox inset="0,0,0,0">
            <w:txbxContent>
              <w:p>
                <w:pPr>
                  <w:spacing w:before="13"/>
                  <w:ind w:left="20" w:right="0" w:firstLine="0"/>
                  <w:jc w:val="left"/>
                  <w:rPr>
                    <w:i/>
                    <w:sz w:val="20"/>
                  </w:rPr>
                </w:pPr>
                <w:r>
                  <w:rPr>
                    <w:i/>
                    <w:color w:val="3166CC"/>
                    <w:sz w:val="20"/>
                  </w:rPr>
                  <w:t>REVISTA MEDICA SINERGIA</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70879">
          <wp:simplePos x="0" y="0"/>
          <wp:positionH relativeFrom="page">
            <wp:posOffset>916939</wp:posOffset>
          </wp:positionH>
          <wp:positionV relativeFrom="page">
            <wp:posOffset>9441180</wp:posOffset>
          </wp:positionV>
          <wp:extent cx="5890260" cy="203200"/>
          <wp:effectExtent l="0" t="0" r="0" b="0"/>
          <wp:wrapNone/>
          <wp:docPr id="25" name="image30.png" descr=""/>
          <wp:cNvGraphicFramePr>
            <a:graphicFrameLocks noChangeAspect="1"/>
          </wp:cNvGraphicFramePr>
          <a:graphic>
            <a:graphicData uri="http://schemas.openxmlformats.org/drawingml/2006/picture">
              <pic:pic>
                <pic:nvPicPr>
                  <pic:cNvPr id="26" name="image30.png"/>
                  <pic:cNvPicPr/>
                </pic:nvPicPr>
                <pic:blipFill>
                  <a:blip r:embed="rId1" cstate="print"/>
                  <a:stretch>
                    <a:fillRect/>
                  </a:stretch>
                </pic:blipFill>
                <pic:spPr>
                  <a:xfrm>
                    <a:off x="0" y="0"/>
                    <a:ext cx="5890260" cy="203200"/>
                  </a:xfrm>
                  <a:prstGeom prst="rect">
                    <a:avLst/>
                  </a:prstGeom>
                </pic:spPr>
              </pic:pic>
            </a:graphicData>
          </a:graphic>
        </wp:anchor>
      </w:drawing>
    </w:r>
    <w:r>
      <w:rPr/>
      <w:drawing>
        <wp:anchor distT="0" distB="0" distL="0" distR="0" allowOverlap="1" layoutInCell="1" locked="0" behindDoc="1" simplePos="0" relativeHeight="268370903">
          <wp:simplePos x="0" y="0"/>
          <wp:positionH relativeFrom="page">
            <wp:posOffset>6870700</wp:posOffset>
          </wp:positionH>
          <wp:positionV relativeFrom="page">
            <wp:posOffset>9385300</wp:posOffset>
          </wp:positionV>
          <wp:extent cx="419100" cy="190500"/>
          <wp:effectExtent l="0" t="0" r="0" b="0"/>
          <wp:wrapNone/>
          <wp:docPr id="27" name="image29.png" descr=""/>
          <wp:cNvGraphicFramePr>
            <a:graphicFrameLocks noChangeAspect="1"/>
          </wp:cNvGraphicFramePr>
          <a:graphic>
            <a:graphicData uri="http://schemas.openxmlformats.org/drawingml/2006/picture">
              <pic:pic>
                <pic:nvPicPr>
                  <pic:cNvPr id="28" name="image29.png"/>
                  <pic:cNvPicPr/>
                </pic:nvPicPr>
                <pic:blipFill>
                  <a:blip r:embed="rId2" cstate="print"/>
                  <a:stretch>
                    <a:fillRect/>
                  </a:stretch>
                </pic:blipFill>
                <pic:spPr>
                  <a:xfrm>
                    <a:off x="0" y="0"/>
                    <a:ext cx="419100" cy="190500"/>
                  </a:xfrm>
                  <a:prstGeom prst="rect">
                    <a:avLst/>
                  </a:prstGeom>
                </pic:spPr>
              </pic:pic>
            </a:graphicData>
          </a:graphic>
        </wp:anchor>
      </w:drawing>
    </w:r>
    <w:r>
      <w:rPr/>
      <w:pict>
        <v:group style="position:absolute;margin-left:72.987999pt;margin-top:733.900085pt;width:465.3pt;height:2.5pt;mso-position-horizontal-relative:page;mso-position-vertical-relative:page;z-index:-64528" coordorigin="1460,14678" coordsize="9306,50">
          <v:rect style="position:absolute;left:1469;top:14688;width:9286;height:30" filled="true" fillcolor="#3366cc" stroked="false">
            <v:fill type="solid"/>
          </v:rect>
          <v:rect style="position:absolute;left:1459;top:14678;width:9306;height:50" filled="true" fillcolor="#006fc0" stroked="false">
            <v:fill type="solid"/>
          </v:rect>
          <w10:wrap type="none"/>
        </v:group>
      </w:pict>
    </w:r>
    <w:r>
      <w:rPr/>
      <w:pict>
        <v:shape style="position:absolute;margin-left:538.5pt;margin-top:740.900024pt;width:39pt;height:16pt;mso-position-horizontal-relative:page;mso-position-vertical-relative:page;z-index:-64504" type="#_x0000_t202" filled="false" stroked="false">
          <v:textbox inset="0,0,0,0">
            <w:txbxContent>
              <w:p>
                <w:pPr>
                  <w:tabs>
                    <w:tab w:pos="429"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9</w:t>
                </w:r>
                <w:r>
                  <w:rPr/>
                  <w:fldChar w:fldCharType="end"/>
                </w:r>
                <w:r>
                  <w:rPr>
                    <w:rFonts w:ascii="Calibri"/>
                    <w:color w:val="FFFFFF"/>
                    <w:spacing w:val="-22"/>
                    <w:sz w:val="28"/>
                    <w:shd w:fill="3366CC" w:color="auto" w:val="clear"/>
                  </w:rPr>
                  <w:t> </w:t>
                </w:r>
              </w:p>
            </w:txbxContent>
          </v:textbox>
          <w10:wrap type="none"/>
        </v:shape>
      </w:pict>
    </w:r>
    <w:r>
      <w:rPr/>
      <w:pict>
        <v:shape style="position:absolute;margin-left:186.649994pt;margin-top:742.747253pt;width:234.95pt;height:13.2pt;mso-position-horizontal-relative:page;mso-position-vertical-relative:page;z-index:-64480" type="#_x0000_t202" filled="false" stroked="false">
          <v:textbox inset="0,0,0,0">
            <w:txbxContent>
              <w:p>
                <w:pPr>
                  <w:spacing w:before="13"/>
                  <w:ind w:left="20" w:right="0" w:firstLine="0"/>
                  <w:jc w:val="left"/>
                  <w:rPr>
                    <w:i/>
                    <w:sz w:val="20"/>
                  </w:rPr>
                </w:pPr>
                <w:r>
                  <w:rPr>
                    <w:i/>
                    <w:color w:val="2E5395"/>
                    <w:sz w:val="20"/>
                  </w:rPr>
                  <w:t>REVISTA MEDICA SINERGIA Vol 2 (1), Enero 2017</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70999">
          <wp:simplePos x="0" y="0"/>
          <wp:positionH relativeFrom="page">
            <wp:posOffset>916939</wp:posOffset>
          </wp:positionH>
          <wp:positionV relativeFrom="page">
            <wp:posOffset>9441180</wp:posOffset>
          </wp:positionV>
          <wp:extent cx="5910580" cy="203200"/>
          <wp:effectExtent l="0" t="0" r="0" b="0"/>
          <wp:wrapNone/>
          <wp:docPr id="29" name="image28.png" descr=""/>
          <wp:cNvGraphicFramePr>
            <a:graphicFrameLocks noChangeAspect="1"/>
          </wp:cNvGraphicFramePr>
          <a:graphic>
            <a:graphicData uri="http://schemas.openxmlformats.org/drawingml/2006/picture">
              <pic:pic>
                <pic:nvPicPr>
                  <pic:cNvPr id="30" name="image28.png"/>
                  <pic:cNvPicPr/>
                </pic:nvPicPr>
                <pic:blipFill>
                  <a:blip r:embed="rId1" cstate="print"/>
                  <a:stretch>
                    <a:fillRect/>
                  </a:stretch>
                </pic:blipFill>
                <pic:spPr>
                  <a:xfrm>
                    <a:off x="0" y="0"/>
                    <a:ext cx="5910580" cy="203200"/>
                  </a:xfrm>
                  <a:prstGeom prst="rect">
                    <a:avLst/>
                  </a:prstGeom>
                </pic:spPr>
              </pic:pic>
            </a:graphicData>
          </a:graphic>
        </wp:anchor>
      </w:drawing>
    </w:r>
    <w:r>
      <w:rPr/>
      <w:drawing>
        <wp:anchor distT="0" distB="0" distL="0" distR="0" allowOverlap="1" layoutInCell="1" locked="0" behindDoc="1" simplePos="0" relativeHeight="268371023">
          <wp:simplePos x="0" y="0"/>
          <wp:positionH relativeFrom="page">
            <wp:posOffset>485140</wp:posOffset>
          </wp:positionH>
          <wp:positionV relativeFrom="page">
            <wp:posOffset>9390380</wp:posOffset>
          </wp:positionV>
          <wp:extent cx="419100" cy="190500"/>
          <wp:effectExtent l="0" t="0" r="0" b="0"/>
          <wp:wrapNone/>
          <wp:docPr id="31" name="image29.png" descr=""/>
          <wp:cNvGraphicFramePr>
            <a:graphicFrameLocks noChangeAspect="1"/>
          </wp:cNvGraphicFramePr>
          <a:graphic>
            <a:graphicData uri="http://schemas.openxmlformats.org/drawingml/2006/picture">
              <pic:pic>
                <pic:nvPicPr>
                  <pic:cNvPr id="32" name="image29.png"/>
                  <pic:cNvPicPr/>
                </pic:nvPicPr>
                <pic:blipFill>
                  <a:blip r:embed="rId2" cstate="print"/>
                  <a:stretch>
                    <a:fillRect/>
                  </a:stretch>
                </pic:blipFill>
                <pic:spPr>
                  <a:xfrm>
                    <a:off x="0" y="0"/>
                    <a:ext cx="419100" cy="190500"/>
                  </a:xfrm>
                  <a:prstGeom prst="rect">
                    <a:avLst/>
                  </a:prstGeom>
                </pic:spPr>
              </pic:pic>
            </a:graphicData>
          </a:graphic>
        </wp:anchor>
      </w:drawing>
    </w:r>
    <w:r>
      <w:rPr/>
      <w:pict>
        <v:line style="position:absolute;mso-position-horizontal-relative:page;mso-position-vertical-relative:page;z-index:-64408" from="73.492996pt,735.132568pt" to="539.252996pt,735.132568pt" stroked="true" strokeweight="1.4649pt" strokecolor="#3366cc">
          <v:stroke dashstyle="solid"/>
          <w10:wrap type="none"/>
        </v:line>
      </w:pict>
    </w:r>
    <w:r>
      <w:rPr/>
      <w:pict>
        <v:shape style="position:absolute;margin-left:35.650002pt;margin-top:741.299988pt;width:39pt;height:16pt;mso-position-horizontal-relative:page;mso-position-vertical-relative:page;z-index:-64384" type="#_x0000_t202" filled="false" stroked="false">
          <v:textbox inset="0,0,0,0">
            <w:txbxContent>
              <w:p>
                <w:pPr>
                  <w:tabs>
                    <w:tab w:pos="283"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10</w:t>
                </w:r>
                <w:r>
                  <w:rPr/>
                  <w:fldChar w:fldCharType="end"/>
                </w:r>
                <w:r>
                  <w:rPr>
                    <w:rFonts w:ascii="Calibri"/>
                    <w:color w:val="FFFFFF"/>
                    <w:spacing w:val="-16"/>
                    <w:sz w:val="28"/>
                    <w:shd w:fill="3366CC" w:color="auto" w:val="clear"/>
                  </w:rPr>
                  <w:t> </w:t>
                </w:r>
              </w:p>
            </w:txbxContent>
          </v:textbox>
          <w10:wrap type="none"/>
        </v:shape>
      </w:pict>
    </w:r>
    <w:r>
      <w:rPr/>
      <w:pict>
        <v:shape style="position:absolute;margin-left:236.270004pt;margin-top:742.747253pt;width:136.85pt;height:13.2pt;mso-position-horizontal-relative:page;mso-position-vertical-relative:page;z-index:-64360" type="#_x0000_t202" filled="false" stroked="false">
          <v:textbox inset="0,0,0,0">
            <w:txbxContent>
              <w:p>
                <w:pPr>
                  <w:spacing w:before="13"/>
                  <w:ind w:left="20" w:right="0" w:firstLine="0"/>
                  <w:jc w:val="left"/>
                  <w:rPr>
                    <w:i/>
                    <w:sz w:val="20"/>
                  </w:rPr>
                </w:pPr>
                <w:r>
                  <w:rPr>
                    <w:i/>
                    <w:color w:val="3166CC"/>
                    <w:sz w:val="20"/>
                  </w:rPr>
                  <w:t>REVISTA MEDICA SINERGIA</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71119">
          <wp:simplePos x="0" y="0"/>
          <wp:positionH relativeFrom="page">
            <wp:posOffset>916939</wp:posOffset>
          </wp:positionH>
          <wp:positionV relativeFrom="page">
            <wp:posOffset>9441180</wp:posOffset>
          </wp:positionV>
          <wp:extent cx="5890260" cy="203200"/>
          <wp:effectExtent l="0" t="0" r="0" b="0"/>
          <wp:wrapNone/>
          <wp:docPr id="33" name="image30.png" descr=""/>
          <wp:cNvGraphicFramePr>
            <a:graphicFrameLocks noChangeAspect="1"/>
          </wp:cNvGraphicFramePr>
          <a:graphic>
            <a:graphicData uri="http://schemas.openxmlformats.org/drawingml/2006/picture">
              <pic:pic>
                <pic:nvPicPr>
                  <pic:cNvPr id="34" name="image30.png"/>
                  <pic:cNvPicPr/>
                </pic:nvPicPr>
                <pic:blipFill>
                  <a:blip r:embed="rId1" cstate="print"/>
                  <a:stretch>
                    <a:fillRect/>
                  </a:stretch>
                </pic:blipFill>
                <pic:spPr>
                  <a:xfrm>
                    <a:off x="0" y="0"/>
                    <a:ext cx="5890260" cy="203200"/>
                  </a:xfrm>
                  <a:prstGeom prst="rect">
                    <a:avLst/>
                  </a:prstGeom>
                </pic:spPr>
              </pic:pic>
            </a:graphicData>
          </a:graphic>
        </wp:anchor>
      </w:drawing>
    </w:r>
    <w:r>
      <w:rPr/>
      <w:drawing>
        <wp:anchor distT="0" distB="0" distL="0" distR="0" allowOverlap="1" layoutInCell="1" locked="0" behindDoc="1" simplePos="0" relativeHeight="268371143">
          <wp:simplePos x="0" y="0"/>
          <wp:positionH relativeFrom="page">
            <wp:posOffset>6870700</wp:posOffset>
          </wp:positionH>
          <wp:positionV relativeFrom="page">
            <wp:posOffset>9385300</wp:posOffset>
          </wp:positionV>
          <wp:extent cx="419100" cy="190500"/>
          <wp:effectExtent l="0" t="0" r="0" b="0"/>
          <wp:wrapNone/>
          <wp:docPr id="35" name="image29.png" descr=""/>
          <wp:cNvGraphicFramePr>
            <a:graphicFrameLocks noChangeAspect="1"/>
          </wp:cNvGraphicFramePr>
          <a:graphic>
            <a:graphicData uri="http://schemas.openxmlformats.org/drawingml/2006/picture">
              <pic:pic>
                <pic:nvPicPr>
                  <pic:cNvPr id="36" name="image29.png"/>
                  <pic:cNvPicPr/>
                </pic:nvPicPr>
                <pic:blipFill>
                  <a:blip r:embed="rId2" cstate="print"/>
                  <a:stretch>
                    <a:fillRect/>
                  </a:stretch>
                </pic:blipFill>
                <pic:spPr>
                  <a:xfrm>
                    <a:off x="0" y="0"/>
                    <a:ext cx="419100" cy="190500"/>
                  </a:xfrm>
                  <a:prstGeom prst="rect">
                    <a:avLst/>
                  </a:prstGeom>
                </pic:spPr>
              </pic:pic>
            </a:graphicData>
          </a:graphic>
        </wp:anchor>
      </w:drawing>
    </w:r>
    <w:r>
      <w:rPr/>
      <w:pict>
        <v:group style="position:absolute;margin-left:72.987999pt;margin-top:733.900085pt;width:465.3pt;height:2.5pt;mso-position-horizontal-relative:page;mso-position-vertical-relative:page;z-index:-64288" coordorigin="1460,14678" coordsize="9306,50">
          <v:rect style="position:absolute;left:1469;top:14688;width:9286;height:30" filled="true" fillcolor="#3366cc" stroked="false">
            <v:fill type="solid"/>
          </v:rect>
          <v:rect style="position:absolute;left:1459;top:14678;width:9306;height:50" filled="true" fillcolor="#006fc0" stroked="false">
            <v:fill type="solid"/>
          </v:rect>
          <w10:wrap type="none"/>
        </v:group>
      </w:pict>
    </w:r>
    <w:r>
      <w:rPr/>
      <w:pict>
        <v:shape style="position:absolute;margin-left:538.5pt;margin-top:740.900024pt;width:39pt;height:16pt;mso-position-horizontal-relative:page;mso-position-vertical-relative:page;z-index:-64264" type="#_x0000_t202" filled="false" stroked="false">
          <v:textbox inset="0,0,0,0">
            <w:txbxContent>
              <w:p>
                <w:pPr>
                  <w:tabs>
                    <w:tab w:pos="285"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11</w:t>
                </w:r>
                <w:r>
                  <w:rPr/>
                  <w:fldChar w:fldCharType="end"/>
                </w:r>
                <w:r>
                  <w:rPr>
                    <w:rFonts w:ascii="Calibri"/>
                    <w:color w:val="FFFFFF"/>
                    <w:spacing w:val="-18"/>
                    <w:sz w:val="28"/>
                    <w:shd w:fill="3366CC" w:color="auto" w:val="clear"/>
                  </w:rPr>
                  <w:t> </w:t>
                </w:r>
              </w:p>
            </w:txbxContent>
          </v:textbox>
          <w10:wrap type="none"/>
        </v:shape>
      </w:pict>
    </w:r>
    <w:r>
      <w:rPr/>
      <w:pict>
        <v:shape style="position:absolute;margin-left:186.649994pt;margin-top:742.747253pt;width:234.95pt;height:13.2pt;mso-position-horizontal-relative:page;mso-position-vertical-relative:page;z-index:-64240" type="#_x0000_t202" filled="false" stroked="false">
          <v:textbox inset="0,0,0,0">
            <w:txbxContent>
              <w:p>
                <w:pPr>
                  <w:spacing w:before="13"/>
                  <w:ind w:left="20" w:right="0" w:firstLine="0"/>
                  <w:jc w:val="left"/>
                  <w:rPr>
                    <w:i/>
                    <w:sz w:val="20"/>
                  </w:rPr>
                </w:pPr>
                <w:r>
                  <w:rPr>
                    <w:i/>
                    <w:color w:val="2E5395"/>
                    <w:sz w:val="20"/>
                  </w:rPr>
                  <w:t>REVISTA MEDICA SINERGIA Vol 2 (1), Enero 2017</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71239">
          <wp:simplePos x="0" y="0"/>
          <wp:positionH relativeFrom="page">
            <wp:posOffset>916939</wp:posOffset>
          </wp:positionH>
          <wp:positionV relativeFrom="page">
            <wp:posOffset>9441180</wp:posOffset>
          </wp:positionV>
          <wp:extent cx="5910580" cy="203200"/>
          <wp:effectExtent l="0" t="0" r="0" b="0"/>
          <wp:wrapNone/>
          <wp:docPr id="37" name="image28.png" descr=""/>
          <wp:cNvGraphicFramePr>
            <a:graphicFrameLocks noChangeAspect="1"/>
          </wp:cNvGraphicFramePr>
          <a:graphic>
            <a:graphicData uri="http://schemas.openxmlformats.org/drawingml/2006/picture">
              <pic:pic>
                <pic:nvPicPr>
                  <pic:cNvPr id="38" name="image28.png"/>
                  <pic:cNvPicPr/>
                </pic:nvPicPr>
                <pic:blipFill>
                  <a:blip r:embed="rId1" cstate="print"/>
                  <a:stretch>
                    <a:fillRect/>
                  </a:stretch>
                </pic:blipFill>
                <pic:spPr>
                  <a:xfrm>
                    <a:off x="0" y="0"/>
                    <a:ext cx="5910580" cy="203200"/>
                  </a:xfrm>
                  <a:prstGeom prst="rect">
                    <a:avLst/>
                  </a:prstGeom>
                </pic:spPr>
              </pic:pic>
            </a:graphicData>
          </a:graphic>
        </wp:anchor>
      </w:drawing>
    </w:r>
    <w:r>
      <w:rPr/>
      <w:drawing>
        <wp:anchor distT="0" distB="0" distL="0" distR="0" allowOverlap="1" layoutInCell="1" locked="0" behindDoc="1" simplePos="0" relativeHeight="268371263">
          <wp:simplePos x="0" y="0"/>
          <wp:positionH relativeFrom="page">
            <wp:posOffset>485140</wp:posOffset>
          </wp:positionH>
          <wp:positionV relativeFrom="page">
            <wp:posOffset>9390380</wp:posOffset>
          </wp:positionV>
          <wp:extent cx="419100" cy="190500"/>
          <wp:effectExtent l="0" t="0" r="0" b="0"/>
          <wp:wrapNone/>
          <wp:docPr id="39" name="image29.png" descr=""/>
          <wp:cNvGraphicFramePr>
            <a:graphicFrameLocks noChangeAspect="1"/>
          </wp:cNvGraphicFramePr>
          <a:graphic>
            <a:graphicData uri="http://schemas.openxmlformats.org/drawingml/2006/picture">
              <pic:pic>
                <pic:nvPicPr>
                  <pic:cNvPr id="40" name="image29.png"/>
                  <pic:cNvPicPr/>
                </pic:nvPicPr>
                <pic:blipFill>
                  <a:blip r:embed="rId2" cstate="print"/>
                  <a:stretch>
                    <a:fillRect/>
                  </a:stretch>
                </pic:blipFill>
                <pic:spPr>
                  <a:xfrm>
                    <a:off x="0" y="0"/>
                    <a:ext cx="419100" cy="190500"/>
                  </a:xfrm>
                  <a:prstGeom prst="rect">
                    <a:avLst/>
                  </a:prstGeom>
                </pic:spPr>
              </pic:pic>
            </a:graphicData>
          </a:graphic>
        </wp:anchor>
      </w:drawing>
    </w:r>
    <w:r>
      <w:rPr/>
      <w:pict>
        <v:line style="position:absolute;mso-position-horizontal-relative:page;mso-position-vertical-relative:page;z-index:-64168" from="73.492996pt,735.132568pt" to="539.252996pt,735.132568pt" stroked="true" strokeweight="1.4649pt" strokecolor="#3366cc">
          <v:stroke dashstyle="solid"/>
          <w10:wrap type="none"/>
        </v:line>
      </w:pict>
    </w:r>
    <w:r>
      <w:rPr/>
      <w:pict>
        <v:shape style="position:absolute;margin-left:35.650002pt;margin-top:741.299988pt;width:39pt;height:16pt;mso-position-horizontal-relative:page;mso-position-vertical-relative:page;z-index:-64144" type="#_x0000_t202" filled="false" stroked="false">
          <v:textbox inset="0,0,0,0">
            <w:txbxContent>
              <w:p>
                <w:pPr>
                  <w:tabs>
                    <w:tab w:pos="283"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12</w:t>
                </w:r>
                <w:r>
                  <w:rPr/>
                  <w:fldChar w:fldCharType="end"/>
                </w:r>
                <w:r>
                  <w:rPr>
                    <w:rFonts w:ascii="Calibri"/>
                    <w:color w:val="FFFFFF"/>
                    <w:spacing w:val="-16"/>
                    <w:sz w:val="28"/>
                    <w:shd w:fill="3366CC" w:color="auto" w:val="clear"/>
                  </w:rPr>
                  <w:t> </w:t>
                </w:r>
              </w:p>
            </w:txbxContent>
          </v:textbox>
          <w10:wrap type="none"/>
        </v:shape>
      </w:pict>
    </w:r>
    <w:r>
      <w:rPr/>
      <w:pict>
        <v:shape style="position:absolute;margin-left:236.270004pt;margin-top:742.747253pt;width:136.85pt;height:13.2pt;mso-position-horizontal-relative:page;mso-position-vertical-relative:page;z-index:-64120" type="#_x0000_t202" filled="false" stroked="false">
          <v:textbox inset="0,0,0,0">
            <w:txbxContent>
              <w:p>
                <w:pPr>
                  <w:spacing w:before="13"/>
                  <w:ind w:left="20" w:right="0" w:firstLine="0"/>
                  <w:jc w:val="left"/>
                  <w:rPr>
                    <w:i/>
                    <w:sz w:val="20"/>
                  </w:rPr>
                </w:pPr>
                <w:r>
                  <w:rPr>
                    <w:i/>
                    <w:color w:val="3166CC"/>
                    <w:sz w:val="20"/>
                  </w:rPr>
                  <w:t>REVISTA MEDICA SINERGIA</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71359">
          <wp:simplePos x="0" y="0"/>
          <wp:positionH relativeFrom="page">
            <wp:posOffset>916939</wp:posOffset>
          </wp:positionH>
          <wp:positionV relativeFrom="page">
            <wp:posOffset>9441180</wp:posOffset>
          </wp:positionV>
          <wp:extent cx="5890260" cy="203200"/>
          <wp:effectExtent l="0" t="0" r="0" b="0"/>
          <wp:wrapNone/>
          <wp:docPr id="41" name="image30.png" descr=""/>
          <wp:cNvGraphicFramePr>
            <a:graphicFrameLocks noChangeAspect="1"/>
          </wp:cNvGraphicFramePr>
          <a:graphic>
            <a:graphicData uri="http://schemas.openxmlformats.org/drawingml/2006/picture">
              <pic:pic>
                <pic:nvPicPr>
                  <pic:cNvPr id="42" name="image30.png"/>
                  <pic:cNvPicPr/>
                </pic:nvPicPr>
                <pic:blipFill>
                  <a:blip r:embed="rId1" cstate="print"/>
                  <a:stretch>
                    <a:fillRect/>
                  </a:stretch>
                </pic:blipFill>
                <pic:spPr>
                  <a:xfrm>
                    <a:off x="0" y="0"/>
                    <a:ext cx="5890260" cy="203200"/>
                  </a:xfrm>
                  <a:prstGeom prst="rect">
                    <a:avLst/>
                  </a:prstGeom>
                </pic:spPr>
              </pic:pic>
            </a:graphicData>
          </a:graphic>
        </wp:anchor>
      </w:drawing>
    </w:r>
    <w:r>
      <w:rPr/>
      <w:drawing>
        <wp:anchor distT="0" distB="0" distL="0" distR="0" allowOverlap="1" layoutInCell="1" locked="0" behindDoc="1" simplePos="0" relativeHeight="268371383">
          <wp:simplePos x="0" y="0"/>
          <wp:positionH relativeFrom="page">
            <wp:posOffset>6870700</wp:posOffset>
          </wp:positionH>
          <wp:positionV relativeFrom="page">
            <wp:posOffset>9385300</wp:posOffset>
          </wp:positionV>
          <wp:extent cx="419100" cy="190500"/>
          <wp:effectExtent l="0" t="0" r="0" b="0"/>
          <wp:wrapNone/>
          <wp:docPr id="43" name="image29.png" descr=""/>
          <wp:cNvGraphicFramePr>
            <a:graphicFrameLocks noChangeAspect="1"/>
          </wp:cNvGraphicFramePr>
          <a:graphic>
            <a:graphicData uri="http://schemas.openxmlformats.org/drawingml/2006/picture">
              <pic:pic>
                <pic:nvPicPr>
                  <pic:cNvPr id="44" name="image29.png"/>
                  <pic:cNvPicPr/>
                </pic:nvPicPr>
                <pic:blipFill>
                  <a:blip r:embed="rId2" cstate="print"/>
                  <a:stretch>
                    <a:fillRect/>
                  </a:stretch>
                </pic:blipFill>
                <pic:spPr>
                  <a:xfrm>
                    <a:off x="0" y="0"/>
                    <a:ext cx="419100" cy="190500"/>
                  </a:xfrm>
                  <a:prstGeom prst="rect">
                    <a:avLst/>
                  </a:prstGeom>
                </pic:spPr>
              </pic:pic>
            </a:graphicData>
          </a:graphic>
        </wp:anchor>
      </w:drawing>
    </w:r>
    <w:r>
      <w:rPr/>
      <w:pict>
        <v:group style="position:absolute;margin-left:72.987999pt;margin-top:733.900085pt;width:465.3pt;height:2.5pt;mso-position-horizontal-relative:page;mso-position-vertical-relative:page;z-index:-64048" coordorigin="1460,14678" coordsize="9306,50">
          <v:rect style="position:absolute;left:1469;top:14688;width:9286;height:30" filled="true" fillcolor="#3366cc" stroked="false">
            <v:fill type="solid"/>
          </v:rect>
          <v:rect style="position:absolute;left:1459;top:14678;width:9306;height:50" filled="true" fillcolor="#006fc0" stroked="false">
            <v:fill type="solid"/>
          </v:rect>
          <w10:wrap type="none"/>
        </v:group>
      </w:pict>
    </w:r>
    <w:r>
      <w:rPr/>
      <w:pict>
        <v:shape style="position:absolute;margin-left:538.5pt;margin-top:740.900024pt;width:39pt;height:16pt;mso-position-horizontal-relative:page;mso-position-vertical-relative:page;z-index:-64024" type="#_x0000_t202" filled="false" stroked="false">
          <v:textbox inset="0,0,0,0">
            <w:txbxContent>
              <w:p>
                <w:pPr>
                  <w:tabs>
                    <w:tab w:pos="285"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13</w:t>
                </w:r>
                <w:r>
                  <w:rPr/>
                  <w:fldChar w:fldCharType="end"/>
                </w:r>
                <w:r>
                  <w:rPr>
                    <w:rFonts w:ascii="Calibri"/>
                    <w:color w:val="FFFFFF"/>
                    <w:spacing w:val="-18"/>
                    <w:sz w:val="28"/>
                    <w:shd w:fill="3366CC" w:color="auto" w:val="clear"/>
                  </w:rPr>
                  <w:t> </w:t>
                </w:r>
              </w:p>
            </w:txbxContent>
          </v:textbox>
          <w10:wrap type="none"/>
        </v:shape>
      </w:pict>
    </w:r>
    <w:r>
      <w:rPr/>
      <w:pict>
        <v:shape style="position:absolute;margin-left:186.649994pt;margin-top:742.747253pt;width:234.95pt;height:13.2pt;mso-position-horizontal-relative:page;mso-position-vertical-relative:page;z-index:-64000" type="#_x0000_t202" filled="false" stroked="false">
          <v:textbox inset="0,0,0,0">
            <w:txbxContent>
              <w:p>
                <w:pPr>
                  <w:spacing w:before="13"/>
                  <w:ind w:left="20" w:right="0" w:firstLine="0"/>
                  <w:jc w:val="left"/>
                  <w:rPr>
                    <w:i/>
                    <w:sz w:val="20"/>
                  </w:rPr>
                </w:pPr>
                <w:r>
                  <w:rPr>
                    <w:i/>
                    <w:color w:val="2E5395"/>
                    <w:sz w:val="20"/>
                  </w:rPr>
                  <w:t>REVISTA MEDICA SINERGIA Vol 2 (1), Enero 2017</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26.849998pt;margin-top:35.147266pt;width:414.25pt;height:13.2pt;mso-position-horizontal-relative:page;mso-position-vertical-relative:page;z-index:-64912" type="#_x0000_t202" filled="false" stroked="false">
          <v:textbox inset="0,0,0,0">
            <w:txbxContent>
              <w:p>
                <w:pPr>
                  <w:spacing w:before="13"/>
                  <w:ind w:left="20" w:right="0" w:firstLine="0"/>
                  <w:jc w:val="left"/>
                  <w:rPr>
                    <w:i/>
                    <w:sz w:val="20"/>
                  </w:rPr>
                </w:pPr>
                <w:r>
                  <w:rPr>
                    <w:i/>
                    <w:color w:val="2D74B5"/>
                    <w:sz w:val="20"/>
                  </w:rPr>
                  <w:t>ACTUALIZACION DE FACTORES DE RIESGO CARDIOVASCULAR - Randall Quirós Fallas</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3.899994pt;margin-top:35.124634pt;width:237.3pt;height:13.2pt;mso-position-horizontal-relative:page;mso-position-vertical-relative:page;z-index:-63328" type="#_x0000_t202" filled="false" stroked="false">
          <v:textbox inset="0,0,0,0">
            <w:txbxContent>
              <w:p>
                <w:pPr>
                  <w:spacing w:before="14"/>
                  <w:ind w:left="20" w:right="0" w:firstLine="0"/>
                  <w:jc w:val="left"/>
                  <w:rPr>
                    <w:i/>
                    <w:sz w:val="20"/>
                  </w:rPr>
                </w:pPr>
                <w:r>
                  <w:rPr>
                    <w:i/>
                    <w:color w:val="2D75B5"/>
                    <w:sz w:val="20"/>
                  </w:rPr>
                  <w:t>ARTRITIS SEPTICA - María Fernanda Bolaños Solís</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3.899994pt;margin-top:35.124634pt;width:237.3pt;height:13.2pt;mso-position-horizontal-relative:page;mso-position-vertical-relative:page;z-index:-63304" type="#_x0000_t202" filled="false" stroked="false">
          <v:textbox inset="0,0,0,0">
            <w:txbxContent>
              <w:p>
                <w:pPr>
                  <w:spacing w:before="14"/>
                  <w:ind w:left="20" w:right="0" w:firstLine="0"/>
                  <w:jc w:val="left"/>
                  <w:rPr>
                    <w:i/>
                    <w:sz w:val="20"/>
                  </w:rPr>
                </w:pPr>
                <w:r>
                  <w:rPr>
                    <w:i/>
                    <w:color w:val="2D75B5"/>
                    <w:sz w:val="20"/>
                  </w:rPr>
                  <w:t>ARTRITIS SEPTICA - María Fernanda Bolaños Solís</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84.730011pt;margin-top:35.124634pt;width:156.6pt;height:13.2pt;mso-position-horizontal-relative:page;mso-position-vertical-relative:page;z-index:-63040" type="#_x0000_t202" filled="false" stroked="false">
          <v:textbox inset="0,0,0,0">
            <w:txbxContent>
              <w:p>
                <w:pPr>
                  <w:spacing w:before="14"/>
                  <w:ind w:left="20" w:right="0" w:firstLine="0"/>
                  <w:jc w:val="left"/>
                  <w:rPr>
                    <w:i/>
                    <w:sz w:val="20"/>
                  </w:rPr>
                </w:pPr>
                <w:r>
                  <w:rPr>
                    <w:i/>
                    <w:color w:val="2D75B5"/>
                    <w:sz w:val="20"/>
                  </w:rPr>
                  <w:t>PROSTATITIS - Karla León Torres</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84.730011pt;margin-top:35.124634pt;width:156.6pt;height:13.2pt;mso-position-horizontal-relative:page;mso-position-vertical-relative:page;z-index:-63016" type="#_x0000_t202" filled="false" stroked="false">
          <v:textbox inset="0,0,0,0">
            <w:txbxContent>
              <w:p>
                <w:pPr>
                  <w:spacing w:before="14"/>
                  <w:ind w:left="20" w:right="0" w:firstLine="0"/>
                  <w:jc w:val="left"/>
                  <w:rPr>
                    <w:i/>
                    <w:sz w:val="20"/>
                  </w:rPr>
                </w:pPr>
                <w:r>
                  <w:rPr>
                    <w:i/>
                    <w:color w:val="2D75B5"/>
                    <w:sz w:val="20"/>
                  </w:rPr>
                  <w:t>PROSTATITIS - Karla León Torres</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69.130005pt;margin-top:35.147266pt;width:171.9pt;height:13.2pt;mso-position-horizontal-relative:page;mso-position-vertical-relative:page;z-index:-62512" type="#_x0000_t202" filled="false" stroked="false">
          <v:textbox inset="0,0,0,0">
            <w:txbxContent>
              <w:p>
                <w:pPr>
                  <w:spacing w:before="13"/>
                  <w:ind w:left="20" w:right="0" w:firstLine="0"/>
                  <w:jc w:val="left"/>
                  <w:rPr>
                    <w:i/>
                    <w:sz w:val="20"/>
                  </w:rPr>
                </w:pPr>
                <w:r>
                  <w:rPr>
                    <w:i/>
                    <w:color w:val="2D74B5"/>
                    <w:sz w:val="20"/>
                  </w:rPr>
                  <w:t>INSTRUCCIONES DE PUBLICACION</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69.130005pt;margin-top:35.147266pt;width:171.9pt;height:13.2pt;mso-position-horizontal-relative:page;mso-position-vertical-relative:page;z-index:-62488" type="#_x0000_t202" filled="false" stroked="false">
          <v:textbox inset="0,0,0,0">
            <w:txbxContent>
              <w:p>
                <w:pPr>
                  <w:spacing w:before="13"/>
                  <w:ind w:left="20" w:right="0" w:firstLine="0"/>
                  <w:jc w:val="left"/>
                  <w:rPr>
                    <w:i/>
                    <w:sz w:val="20"/>
                  </w:rPr>
                </w:pPr>
                <w:r>
                  <w:rPr>
                    <w:i/>
                    <w:color w:val="2D74B5"/>
                    <w:sz w:val="20"/>
                  </w:rPr>
                  <w:t>INSTRUCCIONES DE PUBLICACION</w:t>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13.650002pt;margin-top:34.547264pt;width:414.25pt;height:13.2pt;mso-position-horizontal-relative:page;mso-position-vertical-relative:page;z-index:-64888" type="#_x0000_t202" filled="false" stroked="false">
          <v:textbox inset="0,0,0,0">
            <w:txbxContent>
              <w:p>
                <w:pPr>
                  <w:spacing w:before="13"/>
                  <w:ind w:left="20" w:right="0" w:firstLine="0"/>
                  <w:jc w:val="left"/>
                  <w:rPr>
                    <w:i/>
                    <w:sz w:val="20"/>
                  </w:rPr>
                </w:pPr>
                <w:r>
                  <w:rPr>
                    <w:i/>
                    <w:color w:val="2D74B5"/>
                    <w:sz w:val="20"/>
                  </w:rPr>
                  <w:t>ACTUALIZACION DE FACTORES DE RIESGO CARDIOVASCULAR - Randall Quirós Fallas</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4.5pt;margin-top:47.167267pt;width:236.65pt;height:13.2pt;mso-position-horizontal-relative:page;mso-position-vertical-relative:page;z-index:-64624" type="#_x0000_t202" filled="false" stroked="false">
          <v:textbox inset="0,0,0,0">
            <w:txbxContent>
              <w:p>
                <w:pPr>
                  <w:spacing w:before="13"/>
                  <w:ind w:left="20" w:right="0" w:firstLine="0"/>
                  <w:jc w:val="left"/>
                  <w:rPr>
                    <w:i/>
                    <w:sz w:val="20"/>
                  </w:rPr>
                </w:pPr>
                <w:r>
                  <w:rPr>
                    <w:i/>
                    <w:color w:val="2D74B5"/>
                    <w:sz w:val="20"/>
                  </w:rPr>
                  <w:t>CANCER DE MAMA - Mariangela Espinosa Ramírez</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4.5pt;margin-top:47.167267pt;width:236.65pt;height:13.2pt;mso-position-horizontal-relative:page;mso-position-vertical-relative:page;z-index:-64600" type="#_x0000_t202" filled="false" stroked="false">
          <v:textbox inset="0,0,0,0">
            <w:txbxContent>
              <w:p>
                <w:pPr>
                  <w:spacing w:before="13"/>
                  <w:ind w:left="20" w:right="0" w:firstLine="0"/>
                  <w:jc w:val="left"/>
                  <w:rPr>
                    <w:i/>
                    <w:sz w:val="20"/>
                  </w:rPr>
                </w:pPr>
                <w:r>
                  <w:rPr>
                    <w:i/>
                    <w:color w:val="2D74B5"/>
                    <w:sz w:val="20"/>
                  </w:rPr>
                  <w:t>CANCER DE MAMA - Mariangela Espinosa Ramírez</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68.100006pt;margin-top:35.147266pt;width:273.05pt;height:13.2pt;mso-position-horizontal-relative:page;mso-position-vertical-relative:page;z-index:-63856" type="#_x0000_t202" filled="false" stroked="false">
          <v:textbox inset="0,0,0,0">
            <w:txbxContent>
              <w:p>
                <w:pPr>
                  <w:spacing w:before="13"/>
                  <w:ind w:left="20" w:right="0" w:firstLine="0"/>
                  <w:jc w:val="left"/>
                  <w:rPr>
                    <w:i/>
                    <w:sz w:val="20"/>
                  </w:rPr>
                </w:pPr>
                <w:r>
                  <w:rPr>
                    <w:i/>
                    <w:color w:val="2D74B5"/>
                    <w:sz w:val="20"/>
                  </w:rPr>
                  <w:t>ADENOCARCINOMA GASTRICO - Esteban Sánchez Gaitán</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68.100006pt;margin-top:35.147266pt;width:273.05pt;height:13.2pt;mso-position-horizontal-relative:page;mso-position-vertical-relative:page;z-index:-63832" type="#_x0000_t202" filled="false" stroked="false">
          <v:textbox inset="0,0,0,0">
            <w:txbxContent>
              <w:p>
                <w:pPr>
                  <w:spacing w:before="13"/>
                  <w:ind w:left="20" w:right="0" w:firstLine="0"/>
                  <w:jc w:val="left"/>
                  <w:rPr>
                    <w:i/>
                    <w:sz w:val="20"/>
                  </w:rPr>
                </w:pPr>
                <w:r>
                  <w:rPr>
                    <w:i/>
                    <w:color w:val="2D74B5"/>
                    <w:sz w:val="20"/>
                  </w:rPr>
                  <w:t>ADENOCARCINOMA GASTRICO - Esteban Sánchez Gaitán</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
    <w:multiLevelType w:val="hybridMultilevel"/>
    <w:lvl w:ilvl="0">
      <w:start w:val="0"/>
      <w:numFmt w:val="bullet"/>
      <w:lvlText w:val=""/>
      <w:lvlJc w:val="left"/>
      <w:pPr>
        <w:ind w:left="1800" w:hanging="360"/>
      </w:pPr>
      <w:rPr>
        <w:rFonts w:hint="default" w:ascii="Symbol" w:hAnsi="Symbol" w:eastAsia="Symbol" w:cs="Symbol"/>
        <w:w w:val="100"/>
        <w:sz w:val="20"/>
        <w:szCs w:val="20"/>
      </w:rPr>
    </w:lvl>
    <w:lvl w:ilvl="1">
      <w:start w:val="0"/>
      <w:numFmt w:val="bullet"/>
      <w:lvlText w:val="•"/>
      <w:lvlJc w:val="left"/>
      <w:pPr>
        <w:ind w:left="2844" w:hanging="360"/>
      </w:pPr>
      <w:rPr>
        <w:rFonts w:hint="default"/>
      </w:rPr>
    </w:lvl>
    <w:lvl w:ilvl="2">
      <w:start w:val="0"/>
      <w:numFmt w:val="bullet"/>
      <w:lvlText w:val="•"/>
      <w:lvlJc w:val="left"/>
      <w:pPr>
        <w:ind w:left="3888" w:hanging="360"/>
      </w:pPr>
      <w:rPr>
        <w:rFonts w:hint="default"/>
      </w:rPr>
    </w:lvl>
    <w:lvl w:ilvl="3">
      <w:start w:val="0"/>
      <w:numFmt w:val="bullet"/>
      <w:lvlText w:val="•"/>
      <w:lvlJc w:val="left"/>
      <w:pPr>
        <w:ind w:left="4932" w:hanging="360"/>
      </w:pPr>
      <w:rPr>
        <w:rFonts w:hint="default"/>
      </w:rPr>
    </w:lvl>
    <w:lvl w:ilvl="4">
      <w:start w:val="0"/>
      <w:numFmt w:val="bullet"/>
      <w:lvlText w:val="•"/>
      <w:lvlJc w:val="left"/>
      <w:pPr>
        <w:ind w:left="5976" w:hanging="360"/>
      </w:pPr>
      <w:rPr>
        <w:rFonts w:hint="default"/>
      </w:rPr>
    </w:lvl>
    <w:lvl w:ilvl="5">
      <w:start w:val="0"/>
      <w:numFmt w:val="bullet"/>
      <w:lvlText w:val="•"/>
      <w:lvlJc w:val="left"/>
      <w:pPr>
        <w:ind w:left="7020" w:hanging="360"/>
      </w:pPr>
      <w:rPr>
        <w:rFonts w:hint="default"/>
      </w:rPr>
    </w:lvl>
    <w:lvl w:ilvl="6">
      <w:start w:val="0"/>
      <w:numFmt w:val="bullet"/>
      <w:lvlText w:val="•"/>
      <w:lvlJc w:val="left"/>
      <w:pPr>
        <w:ind w:left="8064" w:hanging="360"/>
      </w:pPr>
      <w:rPr>
        <w:rFonts w:hint="default"/>
      </w:rPr>
    </w:lvl>
    <w:lvl w:ilvl="7">
      <w:start w:val="0"/>
      <w:numFmt w:val="bullet"/>
      <w:lvlText w:val="•"/>
      <w:lvlJc w:val="left"/>
      <w:pPr>
        <w:ind w:left="9108" w:hanging="360"/>
      </w:pPr>
      <w:rPr>
        <w:rFonts w:hint="default"/>
      </w:rPr>
    </w:lvl>
    <w:lvl w:ilvl="8">
      <w:start w:val="0"/>
      <w:numFmt w:val="bullet"/>
      <w:lvlText w:val="•"/>
      <w:lvlJc w:val="left"/>
      <w:pPr>
        <w:ind w:left="10152" w:hanging="360"/>
      </w:pPr>
      <w:rPr>
        <w:rFonts w:hint="default"/>
      </w:rPr>
    </w:lvl>
  </w:abstractNum>
  <w:abstractNum w:abstractNumId="30">
    <w:multiLevelType w:val="hybridMultilevel"/>
    <w:lvl w:ilvl="0">
      <w:start w:val="1"/>
      <w:numFmt w:val="decimal"/>
      <w:lvlText w:val="%1."/>
      <w:lvlJc w:val="left"/>
      <w:pPr>
        <w:ind w:left="1800" w:hanging="360"/>
        <w:jc w:val="left"/>
      </w:pPr>
      <w:rPr>
        <w:rFonts w:hint="default" w:ascii="Arial" w:hAnsi="Arial" w:eastAsia="Arial" w:cs="Arial"/>
        <w:spacing w:val="-11"/>
        <w:w w:val="99"/>
        <w:sz w:val="20"/>
        <w:szCs w:val="20"/>
      </w:rPr>
    </w:lvl>
    <w:lvl w:ilvl="1">
      <w:start w:val="0"/>
      <w:numFmt w:val="bullet"/>
      <w:lvlText w:val="•"/>
      <w:lvlJc w:val="left"/>
      <w:pPr>
        <w:ind w:left="2844" w:hanging="360"/>
      </w:pPr>
      <w:rPr>
        <w:rFonts w:hint="default"/>
      </w:rPr>
    </w:lvl>
    <w:lvl w:ilvl="2">
      <w:start w:val="0"/>
      <w:numFmt w:val="bullet"/>
      <w:lvlText w:val="•"/>
      <w:lvlJc w:val="left"/>
      <w:pPr>
        <w:ind w:left="3888" w:hanging="360"/>
      </w:pPr>
      <w:rPr>
        <w:rFonts w:hint="default"/>
      </w:rPr>
    </w:lvl>
    <w:lvl w:ilvl="3">
      <w:start w:val="0"/>
      <w:numFmt w:val="bullet"/>
      <w:lvlText w:val="•"/>
      <w:lvlJc w:val="left"/>
      <w:pPr>
        <w:ind w:left="4932" w:hanging="360"/>
      </w:pPr>
      <w:rPr>
        <w:rFonts w:hint="default"/>
      </w:rPr>
    </w:lvl>
    <w:lvl w:ilvl="4">
      <w:start w:val="0"/>
      <w:numFmt w:val="bullet"/>
      <w:lvlText w:val="•"/>
      <w:lvlJc w:val="left"/>
      <w:pPr>
        <w:ind w:left="5976" w:hanging="360"/>
      </w:pPr>
      <w:rPr>
        <w:rFonts w:hint="default"/>
      </w:rPr>
    </w:lvl>
    <w:lvl w:ilvl="5">
      <w:start w:val="0"/>
      <w:numFmt w:val="bullet"/>
      <w:lvlText w:val="•"/>
      <w:lvlJc w:val="left"/>
      <w:pPr>
        <w:ind w:left="7020" w:hanging="360"/>
      </w:pPr>
      <w:rPr>
        <w:rFonts w:hint="default"/>
      </w:rPr>
    </w:lvl>
    <w:lvl w:ilvl="6">
      <w:start w:val="0"/>
      <w:numFmt w:val="bullet"/>
      <w:lvlText w:val="•"/>
      <w:lvlJc w:val="left"/>
      <w:pPr>
        <w:ind w:left="8064" w:hanging="360"/>
      </w:pPr>
      <w:rPr>
        <w:rFonts w:hint="default"/>
      </w:rPr>
    </w:lvl>
    <w:lvl w:ilvl="7">
      <w:start w:val="0"/>
      <w:numFmt w:val="bullet"/>
      <w:lvlText w:val="•"/>
      <w:lvlJc w:val="left"/>
      <w:pPr>
        <w:ind w:left="9108" w:hanging="360"/>
      </w:pPr>
      <w:rPr>
        <w:rFonts w:hint="default"/>
      </w:rPr>
    </w:lvl>
    <w:lvl w:ilvl="8">
      <w:start w:val="0"/>
      <w:numFmt w:val="bullet"/>
      <w:lvlText w:val="•"/>
      <w:lvlJc w:val="left"/>
      <w:pPr>
        <w:ind w:left="10152" w:hanging="360"/>
      </w:pPr>
      <w:rPr>
        <w:rFonts w:hint="default"/>
      </w:rPr>
    </w:lvl>
  </w:abstractNum>
  <w:abstractNum w:abstractNumId="29">
    <w:multiLevelType w:val="hybridMultilevel"/>
    <w:lvl w:ilvl="0">
      <w:start w:val="1"/>
      <w:numFmt w:val="decimal"/>
      <w:lvlText w:val="%1."/>
      <w:lvlJc w:val="left"/>
      <w:pPr>
        <w:ind w:left="1800" w:hanging="360"/>
        <w:jc w:val="left"/>
      </w:pPr>
      <w:rPr>
        <w:rFonts w:hint="default" w:ascii="Arial" w:hAnsi="Arial" w:eastAsia="Arial" w:cs="Arial"/>
        <w:b/>
        <w:bCs/>
        <w:w w:val="99"/>
        <w:sz w:val="20"/>
        <w:szCs w:val="20"/>
      </w:rPr>
    </w:lvl>
    <w:lvl w:ilvl="1">
      <w:start w:val="0"/>
      <w:numFmt w:val="bullet"/>
      <w:lvlText w:val="•"/>
      <w:lvlJc w:val="left"/>
      <w:pPr>
        <w:ind w:left="2844" w:hanging="360"/>
      </w:pPr>
      <w:rPr>
        <w:rFonts w:hint="default"/>
      </w:rPr>
    </w:lvl>
    <w:lvl w:ilvl="2">
      <w:start w:val="0"/>
      <w:numFmt w:val="bullet"/>
      <w:lvlText w:val="•"/>
      <w:lvlJc w:val="left"/>
      <w:pPr>
        <w:ind w:left="3888" w:hanging="360"/>
      </w:pPr>
      <w:rPr>
        <w:rFonts w:hint="default"/>
      </w:rPr>
    </w:lvl>
    <w:lvl w:ilvl="3">
      <w:start w:val="0"/>
      <w:numFmt w:val="bullet"/>
      <w:lvlText w:val="•"/>
      <w:lvlJc w:val="left"/>
      <w:pPr>
        <w:ind w:left="4932" w:hanging="360"/>
      </w:pPr>
      <w:rPr>
        <w:rFonts w:hint="default"/>
      </w:rPr>
    </w:lvl>
    <w:lvl w:ilvl="4">
      <w:start w:val="0"/>
      <w:numFmt w:val="bullet"/>
      <w:lvlText w:val="•"/>
      <w:lvlJc w:val="left"/>
      <w:pPr>
        <w:ind w:left="5976" w:hanging="360"/>
      </w:pPr>
      <w:rPr>
        <w:rFonts w:hint="default"/>
      </w:rPr>
    </w:lvl>
    <w:lvl w:ilvl="5">
      <w:start w:val="0"/>
      <w:numFmt w:val="bullet"/>
      <w:lvlText w:val="•"/>
      <w:lvlJc w:val="left"/>
      <w:pPr>
        <w:ind w:left="7020" w:hanging="360"/>
      </w:pPr>
      <w:rPr>
        <w:rFonts w:hint="default"/>
      </w:rPr>
    </w:lvl>
    <w:lvl w:ilvl="6">
      <w:start w:val="0"/>
      <w:numFmt w:val="bullet"/>
      <w:lvlText w:val="•"/>
      <w:lvlJc w:val="left"/>
      <w:pPr>
        <w:ind w:left="8064" w:hanging="360"/>
      </w:pPr>
      <w:rPr>
        <w:rFonts w:hint="default"/>
      </w:rPr>
    </w:lvl>
    <w:lvl w:ilvl="7">
      <w:start w:val="0"/>
      <w:numFmt w:val="bullet"/>
      <w:lvlText w:val="•"/>
      <w:lvlJc w:val="left"/>
      <w:pPr>
        <w:ind w:left="9108" w:hanging="360"/>
      </w:pPr>
      <w:rPr>
        <w:rFonts w:hint="default"/>
      </w:rPr>
    </w:lvl>
    <w:lvl w:ilvl="8">
      <w:start w:val="0"/>
      <w:numFmt w:val="bullet"/>
      <w:lvlText w:val="•"/>
      <w:lvlJc w:val="left"/>
      <w:pPr>
        <w:ind w:left="10152" w:hanging="360"/>
      </w:pPr>
      <w:rPr>
        <w:rFonts w:hint="default"/>
      </w:rPr>
    </w:lvl>
  </w:abstractNum>
  <w:abstractNum w:abstractNumId="28">
    <w:multiLevelType w:val="hybridMultilevel"/>
    <w:lvl w:ilvl="0">
      <w:start w:val="1"/>
      <w:numFmt w:val="upperRoman"/>
      <w:lvlText w:val="%1."/>
      <w:lvlJc w:val="left"/>
      <w:pPr>
        <w:ind w:left="1800" w:hanging="472"/>
        <w:jc w:val="right"/>
      </w:pPr>
      <w:rPr>
        <w:rFonts w:hint="default" w:ascii="Arial" w:hAnsi="Arial" w:eastAsia="Arial" w:cs="Arial"/>
        <w:b/>
        <w:bCs/>
        <w:spacing w:val="-7"/>
        <w:w w:val="99"/>
        <w:sz w:val="20"/>
        <w:szCs w:val="20"/>
      </w:rPr>
    </w:lvl>
    <w:lvl w:ilvl="1">
      <w:start w:val="1"/>
      <w:numFmt w:val="decimal"/>
      <w:lvlText w:val="%2."/>
      <w:lvlJc w:val="left"/>
      <w:pPr>
        <w:ind w:left="2160" w:hanging="360"/>
        <w:jc w:val="left"/>
      </w:pPr>
      <w:rPr>
        <w:rFonts w:hint="default" w:ascii="Arial" w:hAnsi="Arial" w:eastAsia="Arial" w:cs="Arial"/>
        <w:spacing w:val="-7"/>
        <w:w w:val="99"/>
        <w:sz w:val="20"/>
        <w:szCs w:val="20"/>
      </w:rPr>
    </w:lvl>
    <w:lvl w:ilvl="2">
      <w:start w:val="0"/>
      <w:numFmt w:val="bullet"/>
      <w:lvlText w:val="•"/>
      <w:lvlJc w:val="left"/>
      <w:pPr>
        <w:ind w:left="3280" w:hanging="360"/>
      </w:pPr>
      <w:rPr>
        <w:rFonts w:hint="default"/>
      </w:rPr>
    </w:lvl>
    <w:lvl w:ilvl="3">
      <w:start w:val="0"/>
      <w:numFmt w:val="bullet"/>
      <w:lvlText w:val="•"/>
      <w:lvlJc w:val="left"/>
      <w:pPr>
        <w:ind w:left="4400" w:hanging="360"/>
      </w:pPr>
      <w:rPr>
        <w:rFonts w:hint="default"/>
      </w:rPr>
    </w:lvl>
    <w:lvl w:ilvl="4">
      <w:start w:val="0"/>
      <w:numFmt w:val="bullet"/>
      <w:lvlText w:val="•"/>
      <w:lvlJc w:val="left"/>
      <w:pPr>
        <w:ind w:left="5520" w:hanging="360"/>
      </w:pPr>
      <w:rPr>
        <w:rFonts w:hint="default"/>
      </w:rPr>
    </w:lvl>
    <w:lvl w:ilvl="5">
      <w:start w:val="0"/>
      <w:numFmt w:val="bullet"/>
      <w:lvlText w:val="•"/>
      <w:lvlJc w:val="left"/>
      <w:pPr>
        <w:ind w:left="6640" w:hanging="360"/>
      </w:pPr>
      <w:rPr>
        <w:rFonts w:hint="default"/>
      </w:rPr>
    </w:lvl>
    <w:lvl w:ilvl="6">
      <w:start w:val="0"/>
      <w:numFmt w:val="bullet"/>
      <w:lvlText w:val="•"/>
      <w:lvlJc w:val="left"/>
      <w:pPr>
        <w:ind w:left="7760" w:hanging="360"/>
      </w:pPr>
      <w:rPr>
        <w:rFonts w:hint="default"/>
      </w:rPr>
    </w:lvl>
    <w:lvl w:ilvl="7">
      <w:start w:val="0"/>
      <w:numFmt w:val="bullet"/>
      <w:lvlText w:val="•"/>
      <w:lvlJc w:val="left"/>
      <w:pPr>
        <w:ind w:left="8880" w:hanging="360"/>
      </w:pPr>
      <w:rPr>
        <w:rFonts w:hint="default"/>
      </w:rPr>
    </w:lvl>
    <w:lvl w:ilvl="8">
      <w:start w:val="0"/>
      <w:numFmt w:val="bullet"/>
      <w:lvlText w:val="•"/>
      <w:lvlJc w:val="left"/>
      <w:pPr>
        <w:ind w:left="10000" w:hanging="360"/>
      </w:pPr>
      <w:rPr>
        <w:rFonts w:hint="default"/>
      </w:rPr>
    </w:lvl>
  </w:abstractNum>
  <w:abstractNum w:abstractNumId="27">
    <w:multiLevelType w:val="hybridMultilevel"/>
    <w:lvl w:ilvl="0">
      <w:start w:val="0"/>
      <w:numFmt w:val="bullet"/>
      <w:lvlText w:val="*"/>
      <w:lvlJc w:val="left"/>
      <w:pPr>
        <w:ind w:left="887" w:hanging="132"/>
      </w:pPr>
      <w:rPr>
        <w:rFonts w:hint="default" w:ascii="Arial" w:hAnsi="Arial" w:eastAsia="Arial" w:cs="Arial"/>
        <w:w w:val="99"/>
        <w:sz w:val="22"/>
        <w:szCs w:val="22"/>
      </w:rPr>
    </w:lvl>
    <w:lvl w:ilvl="1">
      <w:start w:val="0"/>
      <w:numFmt w:val="bullet"/>
      <w:lvlText w:val=""/>
      <w:lvlJc w:val="left"/>
      <w:pPr>
        <w:ind w:left="1800" w:hanging="360"/>
      </w:pPr>
      <w:rPr>
        <w:rFonts w:hint="default" w:ascii="Symbol" w:hAnsi="Symbol" w:eastAsia="Symbol" w:cs="Symbol"/>
        <w:w w:val="100"/>
        <w:sz w:val="20"/>
        <w:szCs w:val="20"/>
      </w:rPr>
    </w:lvl>
    <w:lvl w:ilvl="2">
      <w:start w:val="0"/>
      <w:numFmt w:val="bullet"/>
      <w:lvlText w:val="•"/>
      <w:lvlJc w:val="left"/>
      <w:pPr>
        <w:ind w:left="2053" w:hanging="360"/>
      </w:pPr>
      <w:rPr>
        <w:rFonts w:hint="default"/>
      </w:rPr>
    </w:lvl>
    <w:lvl w:ilvl="3">
      <w:start w:val="0"/>
      <w:numFmt w:val="bullet"/>
      <w:lvlText w:val="•"/>
      <w:lvlJc w:val="left"/>
      <w:pPr>
        <w:ind w:left="2307" w:hanging="360"/>
      </w:pPr>
      <w:rPr>
        <w:rFonts w:hint="default"/>
      </w:rPr>
    </w:lvl>
    <w:lvl w:ilvl="4">
      <w:start w:val="0"/>
      <w:numFmt w:val="bullet"/>
      <w:lvlText w:val="•"/>
      <w:lvlJc w:val="left"/>
      <w:pPr>
        <w:ind w:left="2561" w:hanging="360"/>
      </w:pPr>
      <w:rPr>
        <w:rFonts w:hint="default"/>
      </w:rPr>
    </w:lvl>
    <w:lvl w:ilvl="5">
      <w:start w:val="0"/>
      <w:numFmt w:val="bullet"/>
      <w:lvlText w:val="•"/>
      <w:lvlJc w:val="left"/>
      <w:pPr>
        <w:ind w:left="2815" w:hanging="360"/>
      </w:pPr>
      <w:rPr>
        <w:rFonts w:hint="default"/>
      </w:rPr>
    </w:lvl>
    <w:lvl w:ilvl="6">
      <w:start w:val="0"/>
      <w:numFmt w:val="bullet"/>
      <w:lvlText w:val="•"/>
      <w:lvlJc w:val="left"/>
      <w:pPr>
        <w:ind w:left="3069" w:hanging="360"/>
      </w:pPr>
      <w:rPr>
        <w:rFonts w:hint="default"/>
      </w:rPr>
    </w:lvl>
    <w:lvl w:ilvl="7">
      <w:start w:val="0"/>
      <w:numFmt w:val="bullet"/>
      <w:lvlText w:val="•"/>
      <w:lvlJc w:val="left"/>
      <w:pPr>
        <w:ind w:left="3323" w:hanging="360"/>
      </w:pPr>
      <w:rPr>
        <w:rFonts w:hint="default"/>
      </w:rPr>
    </w:lvl>
    <w:lvl w:ilvl="8">
      <w:start w:val="0"/>
      <w:numFmt w:val="bullet"/>
      <w:lvlText w:val="•"/>
      <w:lvlJc w:val="left"/>
      <w:pPr>
        <w:ind w:left="3577" w:hanging="360"/>
      </w:pPr>
      <w:rPr>
        <w:rFonts w:hint="default"/>
      </w:rPr>
    </w:lvl>
  </w:abstractNum>
  <w:abstractNum w:abstractNumId="25">
    <w:multiLevelType w:val="hybridMultilevel"/>
    <w:lvl w:ilvl="0">
      <w:start w:val="1"/>
      <w:numFmt w:val="decimal"/>
      <w:lvlText w:val="%1."/>
      <w:lvlJc w:val="left"/>
      <w:pPr>
        <w:ind w:left="1440" w:hanging="276"/>
        <w:jc w:val="left"/>
      </w:pPr>
      <w:rPr>
        <w:rFonts w:hint="default" w:ascii="Arial" w:hAnsi="Arial" w:eastAsia="Arial" w:cs="Arial"/>
        <w:b/>
        <w:bCs/>
        <w:i/>
        <w:spacing w:val="0"/>
        <w:w w:val="99"/>
        <w:sz w:val="22"/>
        <w:szCs w:val="22"/>
      </w:rPr>
    </w:lvl>
    <w:lvl w:ilvl="1">
      <w:start w:val="0"/>
      <w:numFmt w:val="bullet"/>
      <w:lvlText w:val="•"/>
      <w:lvlJc w:val="left"/>
      <w:pPr>
        <w:ind w:left="1872" w:hanging="276"/>
      </w:pPr>
      <w:rPr>
        <w:rFonts w:hint="default"/>
      </w:rPr>
    </w:lvl>
    <w:lvl w:ilvl="2">
      <w:start w:val="0"/>
      <w:numFmt w:val="bullet"/>
      <w:lvlText w:val="•"/>
      <w:lvlJc w:val="left"/>
      <w:pPr>
        <w:ind w:left="2304" w:hanging="276"/>
      </w:pPr>
      <w:rPr>
        <w:rFonts w:hint="default"/>
      </w:rPr>
    </w:lvl>
    <w:lvl w:ilvl="3">
      <w:start w:val="0"/>
      <w:numFmt w:val="bullet"/>
      <w:lvlText w:val="•"/>
      <w:lvlJc w:val="left"/>
      <w:pPr>
        <w:ind w:left="2736" w:hanging="276"/>
      </w:pPr>
      <w:rPr>
        <w:rFonts w:hint="default"/>
      </w:rPr>
    </w:lvl>
    <w:lvl w:ilvl="4">
      <w:start w:val="0"/>
      <w:numFmt w:val="bullet"/>
      <w:lvlText w:val="•"/>
      <w:lvlJc w:val="left"/>
      <w:pPr>
        <w:ind w:left="3168" w:hanging="276"/>
      </w:pPr>
      <w:rPr>
        <w:rFonts w:hint="default"/>
      </w:rPr>
    </w:lvl>
    <w:lvl w:ilvl="5">
      <w:start w:val="0"/>
      <w:numFmt w:val="bullet"/>
      <w:lvlText w:val="•"/>
      <w:lvlJc w:val="left"/>
      <w:pPr>
        <w:ind w:left="3600" w:hanging="276"/>
      </w:pPr>
      <w:rPr>
        <w:rFonts w:hint="default"/>
      </w:rPr>
    </w:lvl>
    <w:lvl w:ilvl="6">
      <w:start w:val="0"/>
      <w:numFmt w:val="bullet"/>
      <w:lvlText w:val="•"/>
      <w:lvlJc w:val="left"/>
      <w:pPr>
        <w:ind w:left="4033" w:hanging="276"/>
      </w:pPr>
      <w:rPr>
        <w:rFonts w:hint="default"/>
      </w:rPr>
    </w:lvl>
    <w:lvl w:ilvl="7">
      <w:start w:val="0"/>
      <w:numFmt w:val="bullet"/>
      <w:lvlText w:val="•"/>
      <w:lvlJc w:val="left"/>
      <w:pPr>
        <w:ind w:left="4465" w:hanging="276"/>
      </w:pPr>
      <w:rPr>
        <w:rFonts w:hint="default"/>
      </w:rPr>
    </w:lvl>
    <w:lvl w:ilvl="8">
      <w:start w:val="0"/>
      <w:numFmt w:val="bullet"/>
      <w:lvlText w:val="•"/>
      <w:lvlJc w:val="left"/>
      <w:pPr>
        <w:ind w:left="4897" w:hanging="276"/>
      </w:pPr>
      <w:rPr>
        <w:rFonts w:hint="default"/>
      </w:rPr>
    </w:lvl>
  </w:abstractNum>
  <w:abstractNum w:abstractNumId="24">
    <w:multiLevelType w:val="hybridMultilevel"/>
    <w:lvl w:ilvl="0">
      <w:start w:val="1"/>
      <w:numFmt w:val="lowerLetter"/>
      <w:lvlText w:val="%1)"/>
      <w:lvlJc w:val="left"/>
      <w:pPr>
        <w:ind w:left="1402" w:hanging="361"/>
        <w:jc w:val="left"/>
      </w:pPr>
      <w:rPr>
        <w:rFonts w:hint="default" w:ascii="Arial" w:hAnsi="Arial" w:eastAsia="Arial" w:cs="Arial"/>
        <w:spacing w:val="0"/>
        <w:w w:val="99"/>
        <w:sz w:val="22"/>
        <w:szCs w:val="22"/>
      </w:rPr>
    </w:lvl>
    <w:lvl w:ilvl="1">
      <w:start w:val="0"/>
      <w:numFmt w:val="bullet"/>
      <w:lvlText w:val=""/>
      <w:lvlJc w:val="left"/>
      <w:pPr>
        <w:ind w:left="1800" w:hanging="360"/>
      </w:pPr>
      <w:rPr>
        <w:rFonts w:hint="default" w:ascii="Symbol" w:hAnsi="Symbol" w:eastAsia="Symbol" w:cs="Symbol"/>
        <w:w w:val="100"/>
        <w:sz w:val="20"/>
        <w:szCs w:val="20"/>
      </w:rPr>
    </w:lvl>
    <w:lvl w:ilvl="2">
      <w:start w:val="0"/>
      <w:numFmt w:val="bullet"/>
      <w:lvlText w:val="•"/>
      <w:lvlJc w:val="left"/>
      <w:pPr>
        <w:ind w:left="2315" w:hanging="360"/>
      </w:pPr>
      <w:rPr>
        <w:rFonts w:hint="default"/>
      </w:rPr>
    </w:lvl>
    <w:lvl w:ilvl="3">
      <w:start w:val="0"/>
      <w:numFmt w:val="bullet"/>
      <w:lvlText w:val="•"/>
      <w:lvlJc w:val="left"/>
      <w:pPr>
        <w:ind w:left="2830" w:hanging="360"/>
      </w:pPr>
      <w:rPr>
        <w:rFonts w:hint="default"/>
      </w:rPr>
    </w:lvl>
    <w:lvl w:ilvl="4">
      <w:start w:val="0"/>
      <w:numFmt w:val="bullet"/>
      <w:lvlText w:val="•"/>
      <w:lvlJc w:val="left"/>
      <w:pPr>
        <w:ind w:left="3346" w:hanging="360"/>
      </w:pPr>
      <w:rPr>
        <w:rFonts w:hint="default"/>
      </w:rPr>
    </w:lvl>
    <w:lvl w:ilvl="5">
      <w:start w:val="0"/>
      <w:numFmt w:val="bullet"/>
      <w:lvlText w:val="•"/>
      <w:lvlJc w:val="left"/>
      <w:pPr>
        <w:ind w:left="3861" w:hanging="360"/>
      </w:pPr>
      <w:rPr>
        <w:rFonts w:hint="default"/>
      </w:rPr>
    </w:lvl>
    <w:lvl w:ilvl="6">
      <w:start w:val="0"/>
      <w:numFmt w:val="bullet"/>
      <w:lvlText w:val="•"/>
      <w:lvlJc w:val="left"/>
      <w:pPr>
        <w:ind w:left="4377" w:hanging="360"/>
      </w:pPr>
      <w:rPr>
        <w:rFonts w:hint="default"/>
      </w:rPr>
    </w:lvl>
    <w:lvl w:ilvl="7">
      <w:start w:val="0"/>
      <w:numFmt w:val="bullet"/>
      <w:lvlText w:val="•"/>
      <w:lvlJc w:val="left"/>
      <w:pPr>
        <w:ind w:left="4892" w:hanging="360"/>
      </w:pPr>
      <w:rPr>
        <w:rFonts w:hint="default"/>
      </w:rPr>
    </w:lvl>
    <w:lvl w:ilvl="8">
      <w:start w:val="0"/>
      <w:numFmt w:val="bullet"/>
      <w:lvlText w:val="•"/>
      <w:lvlJc w:val="left"/>
      <w:pPr>
        <w:ind w:left="5408" w:hanging="360"/>
      </w:pPr>
      <w:rPr>
        <w:rFonts w:hint="default"/>
      </w:rPr>
    </w:lvl>
  </w:abstractNum>
  <w:abstractNum w:abstractNumId="23">
    <w:multiLevelType w:val="hybridMultilevel"/>
    <w:lvl w:ilvl="0">
      <w:start w:val="1"/>
      <w:numFmt w:val="decimal"/>
      <w:lvlText w:val="%1."/>
      <w:lvlJc w:val="left"/>
      <w:pPr>
        <w:ind w:left="1477" w:hanging="437"/>
        <w:jc w:val="right"/>
      </w:pPr>
      <w:rPr>
        <w:rFonts w:hint="default" w:ascii="Arial" w:hAnsi="Arial" w:eastAsia="Arial" w:cs="Arial"/>
        <w:spacing w:val="-23"/>
        <w:w w:val="99"/>
        <w:sz w:val="22"/>
        <w:szCs w:val="22"/>
      </w:rPr>
    </w:lvl>
    <w:lvl w:ilvl="1">
      <w:start w:val="0"/>
      <w:numFmt w:val="bullet"/>
      <w:lvlText w:val=""/>
      <w:lvlJc w:val="left"/>
      <w:pPr>
        <w:ind w:left="2521" w:hanging="361"/>
      </w:pPr>
      <w:rPr>
        <w:rFonts w:hint="default" w:ascii="Symbol" w:hAnsi="Symbol" w:eastAsia="Symbol" w:cs="Symbol"/>
        <w:w w:val="100"/>
        <w:sz w:val="22"/>
        <w:szCs w:val="22"/>
      </w:rPr>
    </w:lvl>
    <w:lvl w:ilvl="2">
      <w:start w:val="0"/>
      <w:numFmt w:val="bullet"/>
      <w:lvlText w:val="•"/>
      <w:lvlJc w:val="left"/>
      <w:pPr>
        <w:ind w:left="2236" w:hanging="361"/>
      </w:pPr>
      <w:rPr>
        <w:rFonts w:hint="default"/>
      </w:rPr>
    </w:lvl>
    <w:lvl w:ilvl="3">
      <w:start w:val="0"/>
      <w:numFmt w:val="bullet"/>
      <w:lvlText w:val="•"/>
      <w:lvlJc w:val="left"/>
      <w:pPr>
        <w:ind w:left="1952" w:hanging="361"/>
      </w:pPr>
      <w:rPr>
        <w:rFonts w:hint="default"/>
      </w:rPr>
    </w:lvl>
    <w:lvl w:ilvl="4">
      <w:start w:val="0"/>
      <w:numFmt w:val="bullet"/>
      <w:lvlText w:val="•"/>
      <w:lvlJc w:val="left"/>
      <w:pPr>
        <w:ind w:left="1668" w:hanging="361"/>
      </w:pPr>
      <w:rPr>
        <w:rFonts w:hint="default"/>
      </w:rPr>
    </w:lvl>
    <w:lvl w:ilvl="5">
      <w:start w:val="0"/>
      <w:numFmt w:val="bullet"/>
      <w:lvlText w:val="•"/>
      <w:lvlJc w:val="left"/>
      <w:pPr>
        <w:ind w:left="1384" w:hanging="361"/>
      </w:pPr>
      <w:rPr>
        <w:rFonts w:hint="default"/>
      </w:rPr>
    </w:lvl>
    <w:lvl w:ilvl="6">
      <w:start w:val="0"/>
      <w:numFmt w:val="bullet"/>
      <w:lvlText w:val="•"/>
      <w:lvlJc w:val="left"/>
      <w:pPr>
        <w:ind w:left="1100" w:hanging="361"/>
      </w:pPr>
      <w:rPr>
        <w:rFonts w:hint="default"/>
      </w:rPr>
    </w:lvl>
    <w:lvl w:ilvl="7">
      <w:start w:val="0"/>
      <w:numFmt w:val="bullet"/>
      <w:lvlText w:val="•"/>
      <w:lvlJc w:val="left"/>
      <w:pPr>
        <w:ind w:left="816" w:hanging="361"/>
      </w:pPr>
      <w:rPr>
        <w:rFonts w:hint="default"/>
      </w:rPr>
    </w:lvl>
    <w:lvl w:ilvl="8">
      <w:start w:val="0"/>
      <w:numFmt w:val="bullet"/>
      <w:lvlText w:val="•"/>
      <w:lvlJc w:val="left"/>
      <w:pPr>
        <w:ind w:left="532" w:hanging="361"/>
      </w:pPr>
      <w:rPr>
        <w:rFonts w:hint="default"/>
      </w:rPr>
    </w:lvl>
  </w:abstractNum>
  <w:abstractNum w:abstractNumId="22">
    <w:multiLevelType w:val="hybridMultilevel"/>
    <w:lvl w:ilvl="0">
      <w:start w:val="1"/>
      <w:numFmt w:val="decimal"/>
      <w:lvlText w:val="%1."/>
      <w:lvlJc w:val="left"/>
      <w:pPr>
        <w:ind w:left="1402" w:hanging="361"/>
        <w:jc w:val="left"/>
      </w:pPr>
      <w:rPr>
        <w:rFonts w:hint="default" w:ascii="Arial" w:hAnsi="Arial" w:eastAsia="Arial" w:cs="Arial"/>
        <w:spacing w:val="-8"/>
        <w:w w:val="99"/>
        <w:sz w:val="22"/>
        <w:szCs w:val="22"/>
      </w:rPr>
    </w:lvl>
    <w:lvl w:ilvl="1">
      <w:start w:val="0"/>
      <w:numFmt w:val="bullet"/>
      <w:lvlText w:val="•"/>
      <w:lvlJc w:val="left"/>
      <w:pPr>
        <w:ind w:left="1903" w:hanging="361"/>
      </w:pPr>
      <w:rPr>
        <w:rFonts w:hint="default"/>
      </w:rPr>
    </w:lvl>
    <w:lvl w:ilvl="2">
      <w:start w:val="0"/>
      <w:numFmt w:val="bullet"/>
      <w:lvlText w:val="•"/>
      <w:lvlJc w:val="left"/>
      <w:pPr>
        <w:ind w:left="2407" w:hanging="361"/>
      </w:pPr>
      <w:rPr>
        <w:rFonts w:hint="default"/>
      </w:rPr>
    </w:lvl>
    <w:lvl w:ilvl="3">
      <w:start w:val="0"/>
      <w:numFmt w:val="bullet"/>
      <w:lvlText w:val="•"/>
      <w:lvlJc w:val="left"/>
      <w:pPr>
        <w:ind w:left="2911" w:hanging="361"/>
      </w:pPr>
      <w:rPr>
        <w:rFonts w:hint="default"/>
      </w:rPr>
    </w:lvl>
    <w:lvl w:ilvl="4">
      <w:start w:val="0"/>
      <w:numFmt w:val="bullet"/>
      <w:lvlText w:val="•"/>
      <w:lvlJc w:val="left"/>
      <w:pPr>
        <w:ind w:left="3415" w:hanging="361"/>
      </w:pPr>
      <w:rPr>
        <w:rFonts w:hint="default"/>
      </w:rPr>
    </w:lvl>
    <w:lvl w:ilvl="5">
      <w:start w:val="0"/>
      <w:numFmt w:val="bullet"/>
      <w:lvlText w:val="•"/>
      <w:lvlJc w:val="left"/>
      <w:pPr>
        <w:ind w:left="3919" w:hanging="361"/>
      </w:pPr>
      <w:rPr>
        <w:rFonts w:hint="default"/>
      </w:rPr>
    </w:lvl>
    <w:lvl w:ilvl="6">
      <w:start w:val="0"/>
      <w:numFmt w:val="bullet"/>
      <w:lvlText w:val="•"/>
      <w:lvlJc w:val="left"/>
      <w:pPr>
        <w:ind w:left="4423" w:hanging="361"/>
      </w:pPr>
      <w:rPr>
        <w:rFonts w:hint="default"/>
      </w:rPr>
    </w:lvl>
    <w:lvl w:ilvl="7">
      <w:start w:val="0"/>
      <w:numFmt w:val="bullet"/>
      <w:lvlText w:val="•"/>
      <w:lvlJc w:val="left"/>
      <w:pPr>
        <w:ind w:left="4927" w:hanging="361"/>
      </w:pPr>
      <w:rPr>
        <w:rFonts w:hint="default"/>
      </w:rPr>
    </w:lvl>
    <w:lvl w:ilvl="8">
      <w:start w:val="0"/>
      <w:numFmt w:val="bullet"/>
      <w:lvlText w:val="•"/>
      <w:lvlJc w:val="left"/>
      <w:pPr>
        <w:ind w:left="5431" w:hanging="361"/>
      </w:pPr>
      <w:rPr>
        <w:rFonts w:hint="default"/>
      </w:rPr>
    </w:lvl>
  </w:abstractNum>
  <w:abstractNum w:abstractNumId="21">
    <w:multiLevelType w:val="hybridMultilevel"/>
    <w:lvl w:ilvl="0">
      <w:start w:val="100"/>
      <w:numFmt w:val="decimal"/>
      <w:lvlText w:val="%1"/>
      <w:lvlJc w:val="left"/>
      <w:pPr>
        <w:ind w:left="675" w:hanging="860"/>
        <w:jc w:val="left"/>
      </w:pPr>
      <w:rPr>
        <w:rFonts w:hint="default"/>
      </w:rPr>
    </w:lvl>
    <w:lvl w:ilvl="1">
      <w:start w:val="0"/>
      <w:numFmt w:val="decimalZero"/>
      <w:lvlText w:val="%1.%2"/>
      <w:lvlJc w:val="left"/>
      <w:pPr>
        <w:ind w:left="675" w:hanging="860"/>
        <w:jc w:val="left"/>
      </w:pPr>
      <w:rPr>
        <w:rFonts w:hint="default" w:ascii="Arial" w:hAnsi="Arial" w:eastAsia="Arial" w:cs="Arial"/>
        <w:spacing w:val="-3"/>
        <w:w w:val="99"/>
        <w:sz w:val="22"/>
        <w:szCs w:val="22"/>
      </w:rPr>
    </w:lvl>
    <w:lvl w:ilvl="2">
      <w:start w:val="0"/>
      <w:numFmt w:val="bullet"/>
      <w:lvlText w:val=""/>
      <w:lvlJc w:val="left"/>
      <w:pPr>
        <w:ind w:left="1402" w:hanging="361"/>
      </w:pPr>
      <w:rPr>
        <w:rFonts w:hint="default" w:ascii="Symbol" w:hAnsi="Symbol" w:eastAsia="Symbol" w:cs="Symbol"/>
        <w:w w:val="100"/>
        <w:sz w:val="22"/>
        <w:szCs w:val="22"/>
      </w:rPr>
    </w:lvl>
    <w:lvl w:ilvl="3">
      <w:start w:val="0"/>
      <w:numFmt w:val="bullet"/>
      <w:lvlText w:val="•"/>
      <w:lvlJc w:val="left"/>
      <w:pPr>
        <w:ind w:left="2518" w:hanging="361"/>
      </w:pPr>
      <w:rPr>
        <w:rFonts w:hint="default"/>
      </w:rPr>
    </w:lvl>
    <w:lvl w:ilvl="4">
      <w:start w:val="0"/>
      <w:numFmt w:val="bullet"/>
      <w:lvlText w:val="•"/>
      <w:lvlJc w:val="left"/>
      <w:pPr>
        <w:ind w:left="3077" w:hanging="361"/>
      </w:pPr>
      <w:rPr>
        <w:rFonts w:hint="default"/>
      </w:rPr>
    </w:lvl>
    <w:lvl w:ilvl="5">
      <w:start w:val="0"/>
      <w:numFmt w:val="bullet"/>
      <w:lvlText w:val="•"/>
      <w:lvlJc w:val="left"/>
      <w:pPr>
        <w:ind w:left="3637" w:hanging="361"/>
      </w:pPr>
      <w:rPr>
        <w:rFonts w:hint="default"/>
      </w:rPr>
    </w:lvl>
    <w:lvl w:ilvl="6">
      <w:start w:val="0"/>
      <w:numFmt w:val="bullet"/>
      <w:lvlText w:val="•"/>
      <w:lvlJc w:val="left"/>
      <w:pPr>
        <w:ind w:left="4196" w:hanging="361"/>
      </w:pPr>
      <w:rPr>
        <w:rFonts w:hint="default"/>
      </w:rPr>
    </w:lvl>
    <w:lvl w:ilvl="7">
      <w:start w:val="0"/>
      <w:numFmt w:val="bullet"/>
      <w:lvlText w:val="•"/>
      <w:lvlJc w:val="left"/>
      <w:pPr>
        <w:ind w:left="4755" w:hanging="361"/>
      </w:pPr>
      <w:rPr>
        <w:rFonts w:hint="default"/>
      </w:rPr>
    </w:lvl>
    <w:lvl w:ilvl="8">
      <w:start w:val="0"/>
      <w:numFmt w:val="bullet"/>
      <w:lvlText w:val="•"/>
      <w:lvlJc w:val="left"/>
      <w:pPr>
        <w:ind w:left="5315" w:hanging="361"/>
      </w:pPr>
      <w:rPr>
        <w:rFonts w:hint="default"/>
      </w:rPr>
    </w:lvl>
  </w:abstractNum>
  <w:abstractNum w:abstractNumId="20">
    <w:multiLevelType w:val="hybridMultilevel"/>
    <w:lvl w:ilvl="0">
      <w:start w:val="0"/>
      <w:numFmt w:val="bullet"/>
      <w:lvlText w:val=""/>
      <w:lvlJc w:val="left"/>
      <w:pPr>
        <w:ind w:left="1396" w:hanging="361"/>
      </w:pPr>
      <w:rPr>
        <w:rFonts w:hint="default" w:ascii="Symbol" w:hAnsi="Symbol" w:eastAsia="Symbol" w:cs="Symbol"/>
        <w:w w:val="100"/>
        <w:sz w:val="22"/>
        <w:szCs w:val="22"/>
      </w:rPr>
    </w:lvl>
    <w:lvl w:ilvl="1">
      <w:start w:val="0"/>
      <w:numFmt w:val="bullet"/>
      <w:lvlText w:val="•"/>
      <w:lvlJc w:val="left"/>
      <w:pPr>
        <w:ind w:left="1903" w:hanging="361"/>
      </w:pPr>
      <w:rPr>
        <w:rFonts w:hint="default"/>
      </w:rPr>
    </w:lvl>
    <w:lvl w:ilvl="2">
      <w:start w:val="0"/>
      <w:numFmt w:val="bullet"/>
      <w:lvlText w:val="•"/>
      <w:lvlJc w:val="left"/>
      <w:pPr>
        <w:ind w:left="2406" w:hanging="361"/>
      </w:pPr>
      <w:rPr>
        <w:rFonts w:hint="default"/>
      </w:rPr>
    </w:lvl>
    <w:lvl w:ilvl="3">
      <w:start w:val="0"/>
      <w:numFmt w:val="bullet"/>
      <w:lvlText w:val="•"/>
      <w:lvlJc w:val="left"/>
      <w:pPr>
        <w:ind w:left="2910" w:hanging="361"/>
      </w:pPr>
      <w:rPr>
        <w:rFonts w:hint="default"/>
      </w:rPr>
    </w:lvl>
    <w:lvl w:ilvl="4">
      <w:start w:val="0"/>
      <w:numFmt w:val="bullet"/>
      <w:lvlText w:val="•"/>
      <w:lvlJc w:val="left"/>
      <w:pPr>
        <w:ind w:left="3413" w:hanging="361"/>
      </w:pPr>
      <w:rPr>
        <w:rFonts w:hint="default"/>
      </w:rPr>
    </w:lvl>
    <w:lvl w:ilvl="5">
      <w:start w:val="0"/>
      <w:numFmt w:val="bullet"/>
      <w:lvlText w:val="•"/>
      <w:lvlJc w:val="left"/>
      <w:pPr>
        <w:ind w:left="3916" w:hanging="361"/>
      </w:pPr>
      <w:rPr>
        <w:rFonts w:hint="default"/>
      </w:rPr>
    </w:lvl>
    <w:lvl w:ilvl="6">
      <w:start w:val="0"/>
      <w:numFmt w:val="bullet"/>
      <w:lvlText w:val="•"/>
      <w:lvlJc w:val="left"/>
      <w:pPr>
        <w:ind w:left="4420" w:hanging="361"/>
      </w:pPr>
      <w:rPr>
        <w:rFonts w:hint="default"/>
      </w:rPr>
    </w:lvl>
    <w:lvl w:ilvl="7">
      <w:start w:val="0"/>
      <w:numFmt w:val="bullet"/>
      <w:lvlText w:val="•"/>
      <w:lvlJc w:val="left"/>
      <w:pPr>
        <w:ind w:left="4923" w:hanging="361"/>
      </w:pPr>
      <w:rPr>
        <w:rFonts w:hint="default"/>
      </w:rPr>
    </w:lvl>
    <w:lvl w:ilvl="8">
      <w:start w:val="0"/>
      <w:numFmt w:val="bullet"/>
      <w:lvlText w:val="•"/>
      <w:lvlJc w:val="left"/>
      <w:pPr>
        <w:ind w:left="5427" w:hanging="361"/>
      </w:pPr>
      <w:rPr>
        <w:rFonts w:hint="default"/>
      </w:rPr>
    </w:lvl>
  </w:abstractNum>
  <w:abstractNum w:abstractNumId="19">
    <w:multiLevelType w:val="hybridMultilevel"/>
    <w:lvl w:ilvl="0">
      <w:start w:val="1"/>
      <w:numFmt w:val="lowerLetter"/>
      <w:lvlText w:val="(%1)"/>
      <w:lvlJc w:val="left"/>
      <w:pPr>
        <w:ind w:left="677" w:hanging="352"/>
        <w:jc w:val="right"/>
      </w:pPr>
      <w:rPr>
        <w:rFonts w:hint="default" w:ascii="Arial" w:hAnsi="Arial" w:eastAsia="Arial" w:cs="Arial"/>
        <w:spacing w:val="-2"/>
        <w:w w:val="99"/>
        <w:sz w:val="22"/>
        <w:szCs w:val="22"/>
      </w:rPr>
    </w:lvl>
    <w:lvl w:ilvl="1">
      <w:start w:val="1"/>
      <w:numFmt w:val="decimal"/>
      <w:lvlText w:val="%2."/>
      <w:lvlJc w:val="left"/>
      <w:pPr>
        <w:ind w:left="2160" w:hanging="360"/>
        <w:jc w:val="left"/>
      </w:pPr>
      <w:rPr>
        <w:rFonts w:hint="default" w:ascii="Arial" w:hAnsi="Arial" w:eastAsia="Arial" w:cs="Arial"/>
        <w:spacing w:val="-19"/>
        <w:w w:val="99"/>
        <w:sz w:val="22"/>
        <w:szCs w:val="22"/>
      </w:rPr>
    </w:lvl>
    <w:lvl w:ilvl="2">
      <w:start w:val="0"/>
      <w:numFmt w:val="bullet"/>
      <w:lvlText w:val="•"/>
      <w:lvlJc w:val="left"/>
      <w:pPr>
        <w:ind w:left="1915" w:hanging="360"/>
      </w:pPr>
      <w:rPr>
        <w:rFonts w:hint="default"/>
      </w:rPr>
    </w:lvl>
    <w:lvl w:ilvl="3">
      <w:start w:val="0"/>
      <w:numFmt w:val="bullet"/>
      <w:lvlText w:val="•"/>
      <w:lvlJc w:val="left"/>
      <w:pPr>
        <w:ind w:left="1671" w:hanging="360"/>
      </w:pPr>
      <w:rPr>
        <w:rFonts w:hint="default"/>
      </w:rPr>
    </w:lvl>
    <w:lvl w:ilvl="4">
      <w:start w:val="0"/>
      <w:numFmt w:val="bullet"/>
      <w:lvlText w:val="•"/>
      <w:lvlJc w:val="left"/>
      <w:pPr>
        <w:ind w:left="1427" w:hanging="360"/>
      </w:pPr>
      <w:rPr>
        <w:rFonts w:hint="default"/>
      </w:rPr>
    </w:lvl>
    <w:lvl w:ilvl="5">
      <w:start w:val="0"/>
      <w:numFmt w:val="bullet"/>
      <w:lvlText w:val="•"/>
      <w:lvlJc w:val="left"/>
      <w:pPr>
        <w:ind w:left="1182" w:hanging="360"/>
      </w:pPr>
      <w:rPr>
        <w:rFonts w:hint="default"/>
      </w:rPr>
    </w:lvl>
    <w:lvl w:ilvl="6">
      <w:start w:val="0"/>
      <w:numFmt w:val="bullet"/>
      <w:lvlText w:val="•"/>
      <w:lvlJc w:val="left"/>
      <w:pPr>
        <w:ind w:left="938" w:hanging="360"/>
      </w:pPr>
      <w:rPr>
        <w:rFonts w:hint="default"/>
      </w:rPr>
    </w:lvl>
    <w:lvl w:ilvl="7">
      <w:start w:val="0"/>
      <w:numFmt w:val="bullet"/>
      <w:lvlText w:val="•"/>
      <w:lvlJc w:val="left"/>
      <w:pPr>
        <w:ind w:left="694" w:hanging="360"/>
      </w:pPr>
      <w:rPr>
        <w:rFonts w:hint="default"/>
      </w:rPr>
    </w:lvl>
    <w:lvl w:ilvl="8">
      <w:start w:val="0"/>
      <w:numFmt w:val="bullet"/>
      <w:lvlText w:val="•"/>
      <w:lvlJc w:val="left"/>
      <w:pPr>
        <w:ind w:left="450" w:hanging="360"/>
      </w:pPr>
      <w:rPr>
        <w:rFonts w:hint="default"/>
      </w:rPr>
    </w:lvl>
  </w:abstractNum>
  <w:abstractNum w:abstractNumId="18">
    <w:multiLevelType w:val="hybridMultilevel"/>
    <w:lvl w:ilvl="0">
      <w:start w:val="1"/>
      <w:numFmt w:val="lowerLetter"/>
      <w:lvlText w:val="%1)"/>
      <w:lvlJc w:val="left"/>
      <w:pPr>
        <w:ind w:left="1760" w:hanging="360"/>
        <w:jc w:val="left"/>
      </w:pPr>
      <w:rPr>
        <w:rFonts w:hint="default" w:ascii="Arial" w:hAnsi="Arial" w:eastAsia="Arial" w:cs="Arial"/>
        <w:spacing w:val="0"/>
        <w:w w:val="99"/>
        <w:sz w:val="22"/>
        <w:szCs w:val="22"/>
      </w:rPr>
    </w:lvl>
    <w:lvl w:ilvl="1">
      <w:start w:val="1"/>
      <w:numFmt w:val="lowerLetter"/>
      <w:lvlText w:val="%2)"/>
      <w:lvlJc w:val="left"/>
      <w:pPr>
        <w:ind w:left="2160" w:hanging="360"/>
        <w:jc w:val="left"/>
      </w:pPr>
      <w:rPr>
        <w:rFonts w:hint="default" w:ascii="Arial" w:hAnsi="Arial" w:eastAsia="Arial" w:cs="Arial"/>
        <w:spacing w:val="0"/>
        <w:w w:val="99"/>
        <w:sz w:val="22"/>
        <w:szCs w:val="22"/>
      </w:rPr>
    </w:lvl>
    <w:lvl w:ilvl="2">
      <w:start w:val="0"/>
      <w:numFmt w:val="bullet"/>
      <w:lvlText w:val="•"/>
      <w:lvlJc w:val="left"/>
      <w:pPr>
        <w:ind w:left="1915" w:hanging="360"/>
      </w:pPr>
      <w:rPr>
        <w:rFonts w:hint="default"/>
      </w:rPr>
    </w:lvl>
    <w:lvl w:ilvl="3">
      <w:start w:val="0"/>
      <w:numFmt w:val="bullet"/>
      <w:lvlText w:val="•"/>
      <w:lvlJc w:val="left"/>
      <w:pPr>
        <w:ind w:left="1671" w:hanging="360"/>
      </w:pPr>
      <w:rPr>
        <w:rFonts w:hint="default"/>
      </w:rPr>
    </w:lvl>
    <w:lvl w:ilvl="4">
      <w:start w:val="0"/>
      <w:numFmt w:val="bullet"/>
      <w:lvlText w:val="•"/>
      <w:lvlJc w:val="left"/>
      <w:pPr>
        <w:ind w:left="1427" w:hanging="360"/>
      </w:pPr>
      <w:rPr>
        <w:rFonts w:hint="default"/>
      </w:rPr>
    </w:lvl>
    <w:lvl w:ilvl="5">
      <w:start w:val="0"/>
      <w:numFmt w:val="bullet"/>
      <w:lvlText w:val="•"/>
      <w:lvlJc w:val="left"/>
      <w:pPr>
        <w:ind w:left="1183" w:hanging="360"/>
      </w:pPr>
      <w:rPr>
        <w:rFonts w:hint="default"/>
      </w:rPr>
    </w:lvl>
    <w:lvl w:ilvl="6">
      <w:start w:val="0"/>
      <w:numFmt w:val="bullet"/>
      <w:lvlText w:val="•"/>
      <w:lvlJc w:val="left"/>
      <w:pPr>
        <w:ind w:left="938" w:hanging="360"/>
      </w:pPr>
      <w:rPr>
        <w:rFonts w:hint="default"/>
      </w:rPr>
    </w:lvl>
    <w:lvl w:ilvl="7">
      <w:start w:val="0"/>
      <w:numFmt w:val="bullet"/>
      <w:lvlText w:val="•"/>
      <w:lvlJc w:val="left"/>
      <w:pPr>
        <w:ind w:left="694" w:hanging="360"/>
      </w:pPr>
      <w:rPr>
        <w:rFonts w:hint="default"/>
      </w:rPr>
    </w:lvl>
    <w:lvl w:ilvl="8">
      <w:start w:val="0"/>
      <w:numFmt w:val="bullet"/>
      <w:lvlText w:val="•"/>
      <w:lvlJc w:val="left"/>
      <w:pPr>
        <w:ind w:left="450" w:hanging="360"/>
      </w:pPr>
      <w:rPr>
        <w:rFonts w:hint="default"/>
      </w:rPr>
    </w:lvl>
  </w:abstractNum>
  <w:abstractNum w:abstractNumId="17">
    <w:multiLevelType w:val="hybridMultilevel"/>
    <w:lvl w:ilvl="0">
      <w:start w:val="0"/>
      <w:numFmt w:val="bullet"/>
      <w:lvlText w:val=""/>
      <w:lvlJc w:val="left"/>
      <w:pPr>
        <w:ind w:left="826" w:hanging="360"/>
      </w:pPr>
      <w:rPr>
        <w:rFonts w:hint="default" w:ascii="Symbol" w:hAnsi="Symbol" w:eastAsia="Symbol" w:cs="Symbol"/>
        <w:w w:val="100"/>
        <w:sz w:val="22"/>
        <w:szCs w:val="22"/>
      </w:rPr>
    </w:lvl>
    <w:lvl w:ilvl="1">
      <w:start w:val="0"/>
      <w:numFmt w:val="bullet"/>
      <w:lvlText w:val="•"/>
      <w:lvlJc w:val="left"/>
      <w:pPr>
        <w:ind w:left="1183" w:hanging="360"/>
      </w:pPr>
      <w:rPr>
        <w:rFonts w:hint="default"/>
      </w:rPr>
    </w:lvl>
    <w:lvl w:ilvl="2">
      <w:start w:val="0"/>
      <w:numFmt w:val="bullet"/>
      <w:lvlText w:val="•"/>
      <w:lvlJc w:val="left"/>
      <w:pPr>
        <w:ind w:left="1546" w:hanging="360"/>
      </w:pPr>
      <w:rPr>
        <w:rFonts w:hint="default"/>
      </w:rPr>
    </w:lvl>
    <w:lvl w:ilvl="3">
      <w:start w:val="0"/>
      <w:numFmt w:val="bullet"/>
      <w:lvlText w:val="•"/>
      <w:lvlJc w:val="left"/>
      <w:pPr>
        <w:ind w:left="1909" w:hanging="360"/>
      </w:pPr>
      <w:rPr>
        <w:rFonts w:hint="default"/>
      </w:rPr>
    </w:lvl>
    <w:lvl w:ilvl="4">
      <w:start w:val="0"/>
      <w:numFmt w:val="bullet"/>
      <w:lvlText w:val="•"/>
      <w:lvlJc w:val="left"/>
      <w:pPr>
        <w:ind w:left="2272" w:hanging="360"/>
      </w:pPr>
      <w:rPr>
        <w:rFonts w:hint="default"/>
      </w:rPr>
    </w:lvl>
    <w:lvl w:ilvl="5">
      <w:start w:val="0"/>
      <w:numFmt w:val="bullet"/>
      <w:lvlText w:val="•"/>
      <w:lvlJc w:val="left"/>
      <w:pPr>
        <w:ind w:left="2635" w:hanging="360"/>
      </w:pPr>
      <w:rPr>
        <w:rFonts w:hint="default"/>
      </w:rPr>
    </w:lvl>
    <w:lvl w:ilvl="6">
      <w:start w:val="0"/>
      <w:numFmt w:val="bullet"/>
      <w:lvlText w:val="•"/>
      <w:lvlJc w:val="left"/>
      <w:pPr>
        <w:ind w:left="2998" w:hanging="360"/>
      </w:pPr>
      <w:rPr>
        <w:rFonts w:hint="default"/>
      </w:rPr>
    </w:lvl>
    <w:lvl w:ilvl="7">
      <w:start w:val="0"/>
      <w:numFmt w:val="bullet"/>
      <w:lvlText w:val="•"/>
      <w:lvlJc w:val="left"/>
      <w:pPr>
        <w:ind w:left="3361" w:hanging="360"/>
      </w:pPr>
      <w:rPr>
        <w:rFonts w:hint="default"/>
      </w:rPr>
    </w:lvl>
    <w:lvl w:ilvl="8">
      <w:start w:val="0"/>
      <w:numFmt w:val="bullet"/>
      <w:lvlText w:val="•"/>
      <w:lvlJc w:val="left"/>
      <w:pPr>
        <w:ind w:left="3724" w:hanging="360"/>
      </w:pPr>
      <w:rPr>
        <w:rFonts w:hint="default"/>
      </w:rPr>
    </w:lvl>
  </w:abstractNum>
  <w:abstractNum w:abstractNumId="16">
    <w:multiLevelType w:val="hybridMultilevel"/>
    <w:lvl w:ilvl="0">
      <w:start w:val="1"/>
      <w:numFmt w:val="lowerLetter"/>
      <w:lvlText w:val="%1)"/>
      <w:lvlJc w:val="left"/>
      <w:pPr>
        <w:ind w:left="2160" w:hanging="360"/>
        <w:jc w:val="left"/>
      </w:pPr>
      <w:rPr>
        <w:rFonts w:hint="default" w:ascii="Arial" w:hAnsi="Arial" w:eastAsia="Arial" w:cs="Arial"/>
        <w:spacing w:val="0"/>
        <w:w w:val="99"/>
        <w:sz w:val="22"/>
        <w:szCs w:val="22"/>
      </w:rPr>
    </w:lvl>
    <w:lvl w:ilvl="1">
      <w:start w:val="1"/>
      <w:numFmt w:val="lowerLetter"/>
      <w:lvlText w:val="%2)"/>
      <w:lvlJc w:val="left"/>
      <w:pPr>
        <w:ind w:left="2881" w:hanging="360"/>
        <w:jc w:val="left"/>
      </w:pPr>
      <w:rPr>
        <w:rFonts w:hint="default" w:ascii="Arial" w:hAnsi="Arial" w:eastAsia="Arial" w:cs="Arial"/>
        <w:spacing w:val="0"/>
        <w:w w:val="99"/>
        <w:sz w:val="22"/>
        <w:szCs w:val="22"/>
      </w:rPr>
    </w:lvl>
    <w:lvl w:ilvl="2">
      <w:start w:val="0"/>
      <w:numFmt w:val="bullet"/>
      <w:lvlText w:val="•"/>
      <w:lvlJc w:val="left"/>
      <w:pPr>
        <w:ind w:left="3200" w:hanging="360"/>
      </w:pPr>
      <w:rPr>
        <w:rFonts w:hint="default"/>
      </w:rPr>
    </w:lvl>
    <w:lvl w:ilvl="3">
      <w:start w:val="0"/>
      <w:numFmt w:val="bullet"/>
      <w:lvlText w:val="•"/>
      <w:lvlJc w:val="left"/>
      <w:pPr>
        <w:ind w:left="3520" w:hanging="360"/>
      </w:pPr>
      <w:rPr>
        <w:rFonts w:hint="default"/>
      </w:rPr>
    </w:lvl>
    <w:lvl w:ilvl="4">
      <w:start w:val="0"/>
      <w:numFmt w:val="bullet"/>
      <w:lvlText w:val="•"/>
      <w:lvlJc w:val="left"/>
      <w:pPr>
        <w:ind w:left="3840" w:hanging="360"/>
      </w:pPr>
      <w:rPr>
        <w:rFonts w:hint="default"/>
      </w:rPr>
    </w:lvl>
    <w:lvl w:ilvl="5">
      <w:start w:val="0"/>
      <w:numFmt w:val="bullet"/>
      <w:lvlText w:val="•"/>
      <w:lvlJc w:val="left"/>
      <w:pPr>
        <w:ind w:left="4160" w:hanging="360"/>
      </w:pPr>
      <w:rPr>
        <w:rFonts w:hint="default"/>
      </w:rPr>
    </w:lvl>
    <w:lvl w:ilvl="6">
      <w:start w:val="0"/>
      <w:numFmt w:val="bullet"/>
      <w:lvlText w:val="•"/>
      <w:lvlJc w:val="left"/>
      <w:pPr>
        <w:ind w:left="4481" w:hanging="360"/>
      </w:pPr>
      <w:rPr>
        <w:rFonts w:hint="default"/>
      </w:rPr>
    </w:lvl>
    <w:lvl w:ilvl="7">
      <w:start w:val="0"/>
      <w:numFmt w:val="bullet"/>
      <w:lvlText w:val="•"/>
      <w:lvlJc w:val="left"/>
      <w:pPr>
        <w:ind w:left="4801" w:hanging="360"/>
      </w:pPr>
      <w:rPr>
        <w:rFonts w:hint="default"/>
      </w:rPr>
    </w:lvl>
    <w:lvl w:ilvl="8">
      <w:start w:val="0"/>
      <w:numFmt w:val="bullet"/>
      <w:lvlText w:val="•"/>
      <w:lvlJc w:val="left"/>
      <w:pPr>
        <w:ind w:left="5121" w:hanging="360"/>
      </w:pPr>
      <w:rPr>
        <w:rFonts w:hint="default"/>
      </w:rPr>
    </w:lvl>
  </w:abstractNum>
  <w:abstractNum w:abstractNumId="15">
    <w:multiLevelType w:val="hybridMultilevel"/>
    <w:lvl w:ilvl="0">
      <w:start w:val="1"/>
      <w:numFmt w:val="lowerLetter"/>
      <w:lvlText w:val="%1)"/>
      <w:lvlJc w:val="left"/>
      <w:pPr>
        <w:ind w:left="2521" w:hanging="361"/>
        <w:jc w:val="left"/>
      </w:pPr>
      <w:rPr>
        <w:rFonts w:hint="default" w:ascii="Arial" w:hAnsi="Arial" w:eastAsia="Arial" w:cs="Arial"/>
        <w:spacing w:val="0"/>
        <w:w w:val="99"/>
        <w:sz w:val="22"/>
        <w:szCs w:val="22"/>
      </w:rPr>
    </w:lvl>
    <w:lvl w:ilvl="1">
      <w:start w:val="0"/>
      <w:numFmt w:val="bullet"/>
      <w:lvlText w:val="•"/>
      <w:lvlJc w:val="left"/>
      <w:pPr>
        <w:ind w:left="2844" w:hanging="361"/>
      </w:pPr>
      <w:rPr>
        <w:rFonts w:hint="default"/>
      </w:rPr>
    </w:lvl>
    <w:lvl w:ilvl="2">
      <w:start w:val="0"/>
      <w:numFmt w:val="bullet"/>
      <w:lvlText w:val="•"/>
      <w:lvlJc w:val="left"/>
      <w:pPr>
        <w:ind w:left="3168" w:hanging="361"/>
      </w:pPr>
      <w:rPr>
        <w:rFonts w:hint="default"/>
      </w:rPr>
    </w:lvl>
    <w:lvl w:ilvl="3">
      <w:start w:val="0"/>
      <w:numFmt w:val="bullet"/>
      <w:lvlText w:val="•"/>
      <w:lvlJc w:val="left"/>
      <w:pPr>
        <w:ind w:left="3492" w:hanging="361"/>
      </w:pPr>
      <w:rPr>
        <w:rFonts w:hint="default"/>
      </w:rPr>
    </w:lvl>
    <w:lvl w:ilvl="4">
      <w:start w:val="0"/>
      <w:numFmt w:val="bullet"/>
      <w:lvlText w:val="•"/>
      <w:lvlJc w:val="left"/>
      <w:pPr>
        <w:ind w:left="3817" w:hanging="361"/>
      </w:pPr>
      <w:rPr>
        <w:rFonts w:hint="default"/>
      </w:rPr>
    </w:lvl>
    <w:lvl w:ilvl="5">
      <w:start w:val="0"/>
      <w:numFmt w:val="bullet"/>
      <w:lvlText w:val="•"/>
      <w:lvlJc w:val="left"/>
      <w:pPr>
        <w:ind w:left="4141" w:hanging="361"/>
      </w:pPr>
      <w:rPr>
        <w:rFonts w:hint="default"/>
      </w:rPr>
    </w:lvl>
    <w:lvl w:ilvl="6">
      <w:start w:val="0"/>
      <w:numFmt w:val="bullet"/>
      <w:lvlText w:val="•"/>
      <w:lvlJc w:val="left"/>
      <w:pPr>
        <w:ind w:left="4465" w:hanging="361"/>
      </w:pPr>
      <w:rPr>
        <w:rFonts w:hint="default"/>
      </w:rPr>
    </w:lvl>
    <w:lvl w:ilvl="7">
      <w:start w:val="0"/>
      <w:numFmt w:val="bullet"/>
      <w:lvlText w:val="•"/>
      <w:lvlJc w:val="left"/>
      <w:pPr>
        <w:ind w:left="4789" w:hanging="361"/>
      </w:pPr>
      <w:rPr>
        <w:rFonts w:hint="default"/>
      </w:rPr>
    </w:lvl>
    <w:lvl w:ilvl="8">
      <w:start w:val="0"/>
      <w:numFmt w:val="bullet"/>
      <w:lvlText w:val="•"/>
      <w:lvlJc w:val="left"/>
      <w:pPr>
        <w:ind w:left="5114" w:hanging="361"/>
      </w:pPr>
      <w:rPr>
        <w:rFonts w:hint="default"/>
      </w:rPr>
    </w:lvl>
  </w:abstractNum>
  <w:abstractNum w:abstractNumId="14">
    <w:multiLevelType w:val="hybridMultilevel"/>
    <w:lvl w:ilvl="0">
      <w:start w:val="0"/>
      <w:numFmt w:val="bullet"/>
      <w:lvlText w:val=""/>
      <w:lvlJc w:val="left"/>
      <w:pPr>
        <w:ind w:left="466" w:hanging="360"/>
      </w:pPr>
      <w:rPr>
        <w:rFonts w:hint="default" w:ascii="Symbol" w:hAnsi="Symbol" w:eastAsia="Symbol" w:cs="Symbol"/>
        <w:w w:val="100"/>
        <w:sz w:val="20"/>
        <w:szCs w:val="20"/>
      </w:rPr>
    </w:lvl>
    <w:lvl w:ilvl="1">
      <w:start w:val="0"/>
      <w:numFmt w:val="bullet"/>
      <w:lvlText w:val="•"/>
      <w:lvlJc w:val="left"/>
      <w:pPr>
        <w:ind w:left="765" w:hanging="360"/>
      </w:pPr>
      <w:rPr>
        <w:rFonts w:hint="default"/>
      </w:rPr>
    </w:lvl>
    <w:lvl w:ilvl="2">
      <w:start w:val="0"/>
      <w:numFmt w:val="bullet"/>
      <w:lvlText w:val="•"/>
      <w:lvlJc w:val="left"/>
      <w:pPr>
        <w:ind w:left="1071" w:hanging="360"/>
      </w:pPr>
      <w:rPr>
        <w:rFonts w:hint="default"/>
      </w:rPr>
    </w:lvl>
    <w:lvl w:ilvl="3">
      <w:start w:val="0"/>
      <w:numFmt w:val="bullet"/>
      <w:lvlText w:val="•"/>
      <w:lvlJc w:val="left"/>
      <w:pPr>
        <w:ind w:left="1376" w:hanging="360"/>
      </w:pPr>
      <w:rPr>
        <w:rFonts w:hint="default"/>
      </w:rPr>
    </w:lvl>
    <w:lvl w:ilvl="4">
      <w:start w:val="0"/>
      <w:numFmt w:val="bullet"/>
      <w:lvlText w:val="•"/>
      <w:lvlJc w:val="left"/>
      <w:pPr>
        <w:ind w:left="1682" w:hanging="360"/>
      </w:pPr>
      <w:rPr>
        <w:rFonts w:hint="default"/>
      </w:rPr>
    </w:lvl>
    <w:lvl w:ilvl="5">
      <w:start w:val="0"/>
      <w:numFmt w:val="bullet"/>
      <w:lvlText w:val="•"/>
      <w:lvlJc w:val="left"/>
      <w:pPr>
        <w:ind w:left="1988" w:hanging="360"/>
      </w:pPr>
      <w:rPr>
        <w:rFonts w:hint="default"/>
      </w:rPr>
    </w:lvl>
    <w:lvl w:ilvl="6">
      <w:start w:val="0"/>
      <w:numFmt w:val="bullet"/>
      <w:lvlText w:val="•"/>
      <w:lvlJc w:val="left"/>
      <w:pPr>
        <w:ind w:left="2293" w:hanging="360"/>
      </w:pPr>
      <w:rPr>
        <w:rFonts w:hint="default"/>
      </w:rPr>
    </w:lvl>
    <w:lvl w:ilvl="7">
      <w:start w:val="0"/>
      <w:numFmt w:val="bullet"/>
      <w:lvlText w:val="•"/>
      <w:lvlJc w:val="left"/>
      <w:pPr>
        <w:ind w:left="2599" w:hanging="360"/>
      </w:pPr>
      <w:rPr>
        <w:rFonts w:hint="default"/>
      </w:rPr>
    </w:lvl>
    <w:lvl w:ilvl="8">
      <w:start w:val="0"/>
      <w:numFmt w:val="bullet"/>
      <w:lvlText w:val="•"/>
      <w:lvlJc w:val="left"/>
      <w:pPr>
        <w:ind w:left="2904" w:hanging="360"/>
      </w:pPr>
      <w:rPr>
        <w:rFonts w:hint="default"/>
      </w:rPr>
    </w:lvl>
  </w:abstractNum>
  <w:abstractNum w:abstractNumId="13">
    <w:multiLevelType w:val="hybridMultilevel"/>
    <w:lvl w:ilvl="0">
      <w:start w:val="0"/>
      <w:numFmt w:val="bullet"/>
      <w:lvlText w:val=""/>
      <w:lvlJc w:val="left"/>
      <w:pPr>
        <w:ind w:left="466" w:hanging="360"/>
      </w:pPr>
      <w:rPr>
        <w:rFonts w:hint="default" w:ascii="Symbol" w:hAnsi="Symbol" w:eastAsia="Symbol" w:cs="Symbol"/>
        <w:w w:val="100"/>
        <w:sz w:val="20"/>
        <w:szCs w:val="20"/>
      </w:rPr>
    </w:lvl>
    <w:lvl w:ilvl="1">
      <w:start w:val="0"/>
      <w:numFmt w:val="bullet"/>
      <w:lvlText w:val="•"/>
      <w:lvlJc w:val="left"/>
      <w:pPr>
        <w:ind w:left="667" w:hanging="360"/>
      </w:pPr>
      <w:rPr>
        <w:rFonts w:hint="default"/>
      </w:rPr>
    </w:lvl>
    <w:lvl w:ilvl="2">
      <w:start w:val="0"/>
      <w:numFmt w:val="bullet"/>
      <w:lvlText w:val="•"/>
      <w:lvlJc w:val="left"/>
      <w:pPr>
        <w:ind w:left="875" w:hanging="360"/>
      </w:pPr>
      <w:rPr>
        <w:rFonts w:hint="default"/>
      </w:rPr>
    </w:lvl>
    <w:lvl w:ilvl="3">
      <w:start w:val="0"/>
      <w:numFmt w:val="bullet"/>
      <w:lvlText w:val="•"/>
      <w:lvlJc w:val="left"/>
      <w:pPr>
        <w:ind w:left="1082" w:hanging="360"/>
      </w:pPr>
      <w:rPr>
        <w:rFonts w:hint="default"/>
      </w:rPr>
    </w:lvl>
    <w:lvl w:ilvl="4">
      <w:start w:val="0"/>
      <w:numFmt w:val="bullet"/>
      <w:lvlText w:val="•"/>
      <w:lvlJc w:val="left"/>
      <w:pPr>
        <w:ind w:left="1290" w:hanging="360"/>
      </w:pPr>
      <w:rPr>
        <w:rFonts w:hint="default"/>
      </w:rPr>
    </w:lvl>
    <w:lvl w:ilvl="5">
      <w:start w:val="0"/>
      <w:numFmt w:val="bullet"/>
      <w:lvlText w:val="•"/>
      <w:lvlJc w:val="left"/>
      <w:pPr>
        <w:ind w:left="1497" w:hanging="360"/>
      </w:pPr>
      <w:rPr>
        <w:rFonts w:hint="default"/>
      </w:rPr>
    </w:lvl>
    <w:lvl w:ilvl="6">
      <w:start w:val="0"/>
      <w:numFmt w:val="bullet"/>
      <w:lvlText w:val="•"/>
      <w:lvlJc w:val="left"/>
      <w:pPr>
        <w:ind w:left="1705" w:hanging="360"/>
      </w:pPr>
      <w:rPr>
        <w:rFonts w:hint="default"/>
      </w:rPr>
    </w:lvl>
    <w:lvl w:ilvl="7">
      <w:start w:val="0"/>
      <w:numFmt w:val="bullet"/>
      <w:lvlText w:val="•"/>
      <w:lvlJc w:val="left"/>
      <w:pPr>
        <w:ind w:left="1912" w:hanging="360"/>
      </w:pPr>
      <w:rPr>
        <w:rFonts w:hint="default"/>
      </w:rPr>
    </w:lvl>
    <w:lvl w:ilvl="8">
      <w:start w:val="0"/>
      <w:numFmt w:val="bullet"/>
      <w:lvlText w:val="•"/>
      <w:lvlJc w:val="left"/>
      <w:pPr>
        <w:ind w:left="2120" w:hanging="360"/>
      </w:pPr>
      <w:rPr>
        <w:rFonts w:hint="default"/>
      </w:rPr>
    </w:lvl>
  </w:abstractNum>
  <w:abstractNum w:abstractNumId="12">
    <w:multiLevelType w:val="hybridMultilevel"/>
    <w:lvl w:ilvl="0">
      <w:start w:val="0"/>
      <w:numFmt w:val="bullet"/>
      <w:lvlText w:val=""/>
      <w:lvlJc w:val="left"/>
      <w:pPr>
        <w:ind w:left="466" w:hanging="360"/>
      </w:pPr>
      <w:rPr>
        <w:rFonts w:hint="default" w:ascii="Symbol" w:hAnsi="Symbol" w:eastAsia="Symbol" w:cs="Symbol"/>
        <w:w w:val="100"/>
        <w:sz w:val="20"/>
        <w:szCs w:val="20"/>
      </w:rPr>
    </w:lvl>
    <w:lvl w:ilvl="1">
      <w:start w:val="0"/>
      <w:numFmt w:val="bullet"/>
      <w:lvlText w:val="•"/>
      <w:lvlJc w:val="left"/>
      <w:pPr>
        <w:ind w:left="667" w:hanging="360"/>
      </w:pPr>
      <w:rPr>
        <w:rFonts w:hint="default"/>
      </w:rPr>
    </w:lvl>
    <w:lvl w:ilvl="2">
      <w:start w:val="0"/>
      <w:numFmt w:val="bullet"/>
      <w:lvlText w:val="•"/>
      <w:lvlJc w:val="left"/>
      <w:pPr>
        <w:ind w:left="875" w:hanging="360"/>
      </w:pPr>
      <w:rPr>
        <w:rFonts w:hint="default"/>
      </w:rPr>
    </w:lvl>
    <w:lvl w:ilvl="3">
      <w:start w:val="0"/>
      <w:numFmt w:val="bullet"/>
      <w:lvlText w:val="•"/>
      <w:lvlJc w:val="left"/>
      <w:pPr>
        <w:ind w:left="1082" w:hanging="360"/>
      </w:pPr>
      <w:rPr>
        <w:rFonts w:hint="default"/>
      </w:rPr>
    </w:lvl>
    <w:lvl w:ilvl="4">
      <w:start w:val="0"/>
      <w:numFmt w:val="bullet"/>
      <w:lvlText w:val="•"/>
      <w:lvlJc w:val="left"/>
      <w:pPr>
        <w:ind w:left="1290" w:hanging="360"/>
      </w:pPr>
      <w:rPr>
        <w:rFonts w:hint="default"/>
      </w:rPr>
    </w:lvl>
    <w:lvl w:ilvl="5">
      <w:start w:val="0"/>
      <w:numFmt w:val="bullet"/>
      <w:lvlText w:val="•"/>
      <w:lvlJc w:val="left"/>
      <w:pPr>
        <w:ind w:left="1497" w:hanging="360"/>
      </w:pPr>
      <w:rPr>
        <w:rFonts w:hint="default"/>
      </w:rPr>
    </w:lvl>
    <w:lvl w:ilvl="6">
      <w:start w:val="0"/>
      <w:numFmt w:val="bullet"/>
      <w:lvlText w:val="•"/>
      <w:lvlJc w:val="left"/>
      <w:pPr>
        <w:ind w:left="1705" w:hanging="360"/>
      </w:pPr>
      <w:rPr>
        <w:rFonts w:hint="default"/>
      </w:rPr>
    </w:lvl>
    <w:lvl w:ilvl="7">
      <w:start w:val="0"/>
      <w:numFmt w:val="bullet"/>
      <w:lvlText w:val="•"/>
      <w:lvlJc w:val="left"/>
      <w:pPr>
        <w:ind w:left="1912" w:hanging="360"/>
      </w:pPr>
      <w:rPr>
        <w:rFonts w:hint="default"/>
      </w:rPr>
    </w:lvl>
    <w:lvl w:ilvl="8">
      <w:start w:val="0"/>
      <w:numFmt w:val="bullet"/>
      <w:lvlText w:val="•"/>
      <w:lvlJc w:val="left"/>
      <w:pPr>
        <w:ind w:left="2120" w:hanging="360"/>
      </w:pPr>
      <w:rPr>
        <w:rFonts w:hint="default"/>
      </w:rPr>
    </w:lvl>
  </w:abstractNum>
  <w:abstractNum w:abstractNumId="11">
    <w:multiLevelType w:val="hybridMultilevel"/>
    <w:lvl w:ilvl="0">
      <w:start w:val="0"/>
      <w:numFmt w:val="bullet"/>
      <w:lvlText w:val=""/>
      <w:lvlJc w:val="left"/>
      <w:pPr>
        <w:ind w:left="466" w:hanging="360"/>
      </w:pPr>
      <w:rPr>
        <w:rFonts w:hint="default" w:ascii="Symbol" w:hAnsi="Symbol" w:eastAsia="Symbol" w:cs="Symbol"/>
        <w:w w:val="100"/>
        <w:sz w:val="20"/>
        <w:szCs w:val="20"/>
      </w:rPr>
    </w:lvl>
    <w:lvl w:ilvl="1">
      <w:start w:val="0"/>
      <w:numFmt w:val="bullet"/>
      <w:lvlText w:val="•"/>
      <w:lvlJc w:val="left"/>
      <w:pPr>
        <w:ind w:left="667" w:hanging="360"/>
      </w:pPr>
      <w:rPr>
        <w:rFonts w:hint="default"/>
      </w:rPr>
    </w:lvl>
    <w:lvl w:ilvl="2">
      <w:start w:val="0"/>
      <w:numFmt w:val="bullet"/>
      <w:lvlText w:val="•"/>
      <w:lvlJc w:val="left"/>
      <w:pPr>
        <w:ind w:left="875" w:hanging="360"/>
      </w:pPr>
      <w:rPr>
        <w:rFonts w:hint="default"/>
      </w:rPr>
    </w:lvl>
    <w:lvl w:ilvl="3">
      <w:start w:val="0"/>
      <w:numFmt w:val="bullet"/>
      <w:lvlText w:val="•"/>
      <w:lvlJc w:val="left"/>
      <w:pPr>
        <w:ind w:left="1082" w:hanging="360"/>
      </w:pPr>
      <w:rPr>
        <w:rFonts w:hint="default"/>
      </w:rPr>
    </w:lvl>
    <w:lvl w:ilvl="4">
      <w:start w:val="0"/>
      <w:numFmt w:val="bullet"/>
      <w:lvlText w:val="•"/>
      <w:lvlJc w:val="left"/>
      <w:pPr>
        <w:ind w:left="1290" w:hanging="360"/>
      </w:pPr>
      <w:rPr>
        <w:rFonts w:hint="default"/>
      </w:rPr>
    </w:lvl>
    <w:lvl w:ilvl="5">
      <w:start w:val="0"/>
      <w:numFmt w:val="bullet"/>
      <w:lvlText w:val="•"/>
      <w:lvlJc w:val="left"/>
      <w:pPr>
        <w:ind w:left="1497" w:hanging="360"/>
      </w:pPr>
      <w:rPr>
        <w:rFonts w:hint="default"/>
      </w:rPr>
    </w:lvl>
    <w:lvl w:ilvl="6">
      <w:start w:val="0"/>
      <w:numFmt w:val="bullet"/>
      <w:lvlText w:val="•"/>
      <w:lvlJc w:val="left"/>
      <w:pPr>
        <w:ind w:left="1705" w:hanging="360"/>
      </w:pPr>
      <w:rPr>
        <w:rFonts w:hint="default"/>
      </w:rPr>
    </w:lvl>
    <w:lvl w:ilvl="7">
      <w:start w:val="0"/>
      <w:numFmt w:val="bullet"/>
      <w:lvlText w:val="•"/>
      <w:lvlJc w:val="left"/>
      <w:pPr>
        <w:ind w:left="1912" w:hanging="360"/>
      </w:pPr>
      <w:rPr>
        <w:rFonts w:hint="default"/>
      </w:rPr>
    </w:lvl>
    <w:lvl w:ilvl="8">
      <w:start w:val="0"/>
      <w:numFmt w:val="bullet"/>
      <w:lvlText w:val="•"/>
      <w:lvlJc w:val="left"/>
      <w:pPr>
        <w:ind w:left="2120" w:hanging="360"/>
      </w:pPr>
      <w:rPr>
        <w:rFonts w:hint="default"/>
      </w:rPr>
    </w:lvl>
  </w:abstractNum>
  <w:abstractNum w:abstractNumId="10">
    <w:multiLevelType w:val="hybridMultilevel"/>
    <w:lvl w:ilvl="0">
      <w:start w:val="0"/>
      <w:numFmt w:val="bullet"/>
      <w:lvlText w:val=""/>
      <w:lvlJc w:val="left"/>
      <w:pPr>
        <w:ind w:left="466" w:hanging="360"/>
      </w:pPr>
      <w:rPr>
        <w:rFonts w:hint="default" w:ascii="Symbol" w:hAnsi="Symbol" w:eastAsia="Symbol" w:cs="Symbol"/>
        <w:w w:val="100"/>
        <w:sz w:val="20"/>
        <w:szCs w:val="20"/>
      </w:rPr>
    </w:lvl>
    <w:lvl w:ilvl="1">
      <w:start w:val="0"/>
      <w:numFmt w:val="bullet"/>
      <w:lvlText w:val="•"/>
      <w:lvlJc w:val="left"/>
      <w:pPr>
        <w:ind w:left="667" w:hanging="360"/>
      </w:pPr>
      <w:rPr>
        <w:rFonts w:hint="default"/>
      </w:rPr>
    </w:lvl>
    <w:lvl w:ilvl="2">
      <w:start w:val="0"/>
      <w:numFmt w:val="bullet"/>
      <w:lvlText w:val="•"/>
      <w:lvlJc w:val="left"/>
      <w:pPr>
        <w:ind w:left="875" w:hanging="360"/>
      </w:pPr>
      <w:rPr>
        <w:rFonts w:hint="default"/>
      </w:rPr>
    </w:lvl>
    <w:lvl w:ilvl="3">
      <w:start w:val="0"/>
      <w:numFmt w:val="bullet"/>
      <w:lvlText w:val="•"/>
      <w:lvlJc w:val="left"/>
      <w:pPr>
        <w:ind w:left="1082" w:hanging="360"/>
      </w:pPr>
      <w:rPr>
        <w:rFonts w:hint="default"/>
      </w:rPr>
    </w:lvl>
    <w:lvl w:ilvl="4">
      <w:start w:val="0"/>
      <w:numFmt w:val="bullet"/>
      <w:lvlText w:val="•"/>
      <w:lvlJc w:val="left"/>
      <w:pPr>
        <w:ind w:left="1290" w:hanging="360"/>
      </w:pPr>
      <w:rPr>
        <w:rFonts w:hint="default"/>
      </w:rPr>
    </w:lvl>
    <w:lvl w:ilvl="5">
      <w:start w:val="0"/>
      <w:numFmt w:val="bullet"/>
      <w:lvlText w:val="•"/>
      <w:lvlJc w:val="left"/>
      <w:pPr>
        <w:ind w:left="1497" w:hanging="360"/>
      </w:pPr>
      <w:rPr>
        <w:rFonts w:hint="default"/>
      </w:rPr>
    </w:lvl>
    <w:lvl w:ilvl="6">
      <w:start w:val="0"/>
      <w:numFmt w:val="bullet"/>
      <w:lvlText w:val="•"/>
      <w:lvlJc w:val="left"/>
      <w:pPr>
        <w:ind w:left="1705" w:hanging="360"/>
      </w:pPr>
      <w:rPr>
        <w:rFonts w:hint="default"/>
      </w:rPr>
    </w:lvl>
    <w:lvl w:ilvl="7">
      <w:start w:val="0"/>
      <w:numFmt w:val="bullet"/>
      <w:lvlText w:val="•"/>
      <w:lvlJc w:val="left"/>
      <w:pPr>
        <w:ind w:left="1912" w:hanging="360"/>
      </w:pPr>
      <w:rPr>
        <w:rFonts w:hint="default"/>
      </w:rPr>
    </w:lvl>
    <w:lvl w:ilvl="8">
      <w:start w:val="0"/>
      <w:numFmt w:val="bullet"/>
      <w:lvlText w:val="•"/>
      <w:lvlJc w:val="left"/>
      <w:pPr>
        <w:ind w:left="2120" w:hanging="360"/>
      </w:pPr>
      <w:rPr>
        <w:rFonts w:hint="default"/>
      </w:rPr>
    </w:lvl>
  </w:abstractNum>
  <w:abstractNum w:abstractNumId="9">
    <w:multiLevelType w:val="hybridMultilevel"/>
    <w:lvl w:ilvl="0">
      <w:start w:val="0"/>
      <w:numFmt w:val="bullet"/>
      <w:lvlText w:val=""/>
      <w:lvlJc w:val="left"/>
      <w:pPr>
        <w:ind w:left="466" w:hanging="360"/>
      </w:pPr>
      <w:rPr>
        <w:rFonts w:hint="default" w:ascii="Symbol" w:hAnsi="Symbol" w:eastAsia="Symbol" w:cs="Symbol"/>
        <w:w w:val="100"/>
        <w:sz w:val="20"/>
        <w:szCs w:val="20"/>
      </w:rPr>
    </w:lvl>
    <w:lvl w:ilvl="1">
      <w:start w:val="0"/>
      <w:numFmt w:val="bullet"/>
      <w:lvlText w:val="•"/>
      <w:lvlJc w:val="left"/>
      <w:pPr>
        <w:ind w:left="667" w:hanging="360"/>
      </w:pPr>
      <w:rPr>
        <w:rFonts w:hint="default"/>
      </w:rPr>
    </w:lvl>
    <w:lvl w:ilvl="2">
      <w:start w:val="0"/>
      <w:numFmt w:val="bullet"/>
      <w:lvlText w:val="•"/>
      <w:lvlJc w:val="left"/>
      <w:pPr>
        <w:ind w:left="875" w:hanging="360"/>
      </w:pPr>
      <w:rPr>
        <w:rFonts w:hint="default"/>
      </w:rPr>
    </w:lvl>
    <w:lvl w:ilvl="3">
      <w:start w:val="0"/>
      <w:numFmt w:val="bullet"/>
      <w:lvlText w:val="•"/>
      <w:lvlJc w:val="left"/>
      <w:pPr>
        <w:ind w:left="1082" w:hanging="360"/>
      </w:pPr>
      <w:rPr>
        <w:rFonts w:hint="default"/>
      </w:rPr>
    </w:lvl>
    <w:lvl w:ilvl="4">
      <w:start w:val="0"/>
      <w:numFmt w:val="bullet"/>
      <w:lvlText w:val="•"/>
      <w:lvlJc w:val="left"/>
      <w:pPr>
        <w:ind w:left="1290" w:hanging="360"/>
      </w:pPr>
      <w:rPr>
        <w:rFonts w:hint="default"/>
      </w:rPr>
    </w:lvl>
    <w:lvl w:ilvl="5">
      <w:start w:val="0"/>
      <w:numFmt w:val="bullet"/>
      <w:lvlText w:val="•"/>
      <w:lvlJc w:val="left"/>
      <w:pPr>
        <w:ind w:left="1497" w:hanging="360"/>
      </w:pPr>
      <w:rPr>
        <w:rFonts w:hint="default"/>
      </w:rPr>
    </w:lvl>
    <w:lvl w:ilvl="6">
      <w:start w:val="0"/>
      <w:numFmt w:val="bullet"/>
      <w:lvlText w:val="•"/>
      <w:lvlJc w:val="left"/>
      <w:pPr>
        <w:ind w:left="1705" w:hanging="360"/>
      </w:pPr>
      <w:rPr>
        <w:rFonts w:hint="default"/>
      </w:rPr>
    </w:lvl>
    <w:lvl w:ilvl="7">
      <w:start w:val="0"/>
      <w:numFmt w:val="bullet"/>
      <w:lvlText w:val="•"/>
      <w:lvlJc w:val="left"/>
      <w:pPr>
        <w:ind w:left="1912" w:hanging="360"/>
      </w:pPr>
      <w:rPr>
        <w:rFonts w:hint="default"/>
      </w:rPr>
    </w:lvl>
    <w:lvl w:ilvl="8">
      <w:start w:val="0"/>
      <w:numFmt w:val="bullet"/>
      <w:lvlText w:val="•"/>
      <w:lvlJc w:val="left"/>
      <w:pPr>
        <w:ind w:left="2120" w:hanging="360"/>
      </w:pPr>
      <w:rPr>
        <w:rFonts w:hint="default"/>
      </w:rPr>
    </w:lvl>
  </w:abstractNum>
  <w:abstractNum w:abstractNumId="8">
    <w:multiLevelType w:val="hybridMultilevel"/>
    <w:lvl w:ilvl="0">
      <w:start w:val="1"/>
      <w:numFmt w:val="decimal"/>
      <w:lvlText w:val="%1."/>
      <w:lvlJc w:val="left"/>
      <w:pPr>
        <w:ind w:left="2160" w:hanging="360"/>
        <w:jc w:val="left"/>
      </w:pPr>
      <w:rPr>
        <w:rFonts w:hint="default" w:ascii="Arial" w:hAnsi="Arial" w:eastAsia="Arial" w:cs="Arial"/>
        <w:spacing w:val="-15"/>
        <w:w w:val="99"/>
        <w:sz w:val="22"/>
        <w:szCs w:val="22"/>
      </w:rPr>
    </w:lvl>
    <w:lvl w:ilvl="1">
      <w:start w:val="1"/>
      <w:numFmt w:val="lowerLetter"/>
      <w:lvlText w:val="%2)"/>
      <w:lvlJc w:val="left"/>
      <w:pPr>
        <w:ind w:left="2881" w:hanging="360"/>
        <w:jc w:val="left"/>
      </w:pPr>
      <w:rPr>
        <w:rFonts w:hint="default" w:ascii="Arial" w:hAnsi="Arial" w:eastAsia="Arial" w:cs="Arial"/>
        <w:spacing w:val="0"/>
        <w:w w:val="99"/>
        <w:sz w:val="22"/>
        <w:szCs w:val="22"/>
      </w:rPr>
    </w:lvl>
    <w:lvl w:ilvl="2">
      <w:start w:val="0"/>
      <w:numFmt w:val="bullet"/>
      <w:lvlText w:val="•"/>
      <w:lvlJc w:val="left"/>
      <w:pPr>
        <w:ind w:left="3200" w:hanging="360"/>
      </w:pPr>
      <w:rPr>
        <w:rFonts w:hint="default"/>
      </w:rPr>
    </w:lvl>
    <w:lvl w:ilvl="3">
      <w:start w:val="0"/>
      <w:numFmt w:val="bullet"/>
      <w:lvlText w:val="•"/>
      <w:lvlJc w:val="left"/>
      <w:pPr>
        <w:ind w:left="3520" w:hanging="360"/>
      </w:pPr>
      <w:rPr>
        <w:rFonts w:hint="default"/>
      </w:rPr>
    </w:lvl>
    <w:lvl w:ilvl="4">
      <w:start w:val="0"/>
      <w:numFmt w:val="bullet"/>
      <w:lvlText w:val="•"/>
      <w:lvlJc w:val="left"/>
      <w:pPr>
        <w:ind w:left="3840" w:hanging="360"/>
      </w:pPr>
      <w:rPr>
        <w:rFonts w:hint="default"/>
      </w:rPr>
    </w:lvl>
    <w:lvl w:ilvl="5">
      <w:start w:val="0"/>
      <w:numFmt w:val="bullet"/>
      <w:lvlText w:val="•"/>
      <w:lvlJc w:val="left"/>
      <w:pPr>
        <w:ind w:left="4161" w:hanging="360"/>
      </w:pPr>
      <w:rPr>
        <w:rFonts w:hint="default"/>
      </w:rPr>
    </w:lvl>
    <w:lvl w:ilvl="6">
      <w:start w:val="0"/>
      <w:numFmt w:val="bullet"/>
      <w:lvlText w:val="•"/>
      <w:lvlJc w:val="left"/>
      <w:pPr>
        <w:ind w:left="4481" w:hanging="360"/>
      </w:pPr>
      <w:rPr>
        <w:rFonts w:hint="default"/>
      </w:rPr>
    </w:lvl>
    <w:lvl w:ilvl="7">
      <w:start w:val="0"/>
      <w:numFmt w:val="bullet"/>
      <w:lvlText w:val="•"/>
      <w:lvlJc w:val="left"/>
      <w:pPr>
        <w:ind w:left="4801" w:hanging="360"/>
      </w:pPr>
      <w:rPr>
        <w:rFonts w:hint="default"/>
      </w:rPr>
    </w:lvl>
    <w:lvl w:ilvl="8">
      <w:start w:val="0"/>
      <w:numFmt w:val="bullet"/>
      <w:lvlText w:val="•"/>
      <w:lvlJc w:val="left"/>
      <w:pPr>
        <w:ind w:left="5122" w:hanging="360"/>
      </w:pPr>
      <w:rPr>
        <w:rFonts w:hint="default"/>
      </w:rPr>
    </w:lvl>
  </w:abstractNum>
  <w:abstractNum w:abstractNumId="7">
    <w:multiLevelType w:val="hybridMultilevel"/>
    <w:lvl w:ilvl="0">
      <w:start w:val="0"/>
      <w:numFmt w:val="bullet"/>
      <w:lvlText w:val=""/>
      <w:lvlJc w:val="left"/>
      <w:pPr>
        <w:ind w:left="1398" w:hanging="361"/>
      </w:pPr>
      <w:rPr>
        <w:rFonts w:hint="default" w:ascii="Symbol" w:hAnsi="Symbol" w:eastAsia="Symbol" w:cs="Symbol"/>
        <w:w w:val="100"/>
        <w:sz w:val="22"/>
        <w:szCs w:val="22"/>
      </w:rPr>
    </w:lvl>
    <w:lvl w:ilvl="1">
      <w:start w:val="0"/>
      <w:numFmt w:val="bullet"/>
      <w:lvlText w:val=""/>
      <w:lvlJc w:val="left"/>
      <w:pPr>
        <w:ind w:left="2160" w:hanging="360"/>
      </w:pPr>
      <w:rPr>
        <w:rFonts w:hint="default"/>
        <w:w w:val="100"/>
      </w:rPr>
    </w:lvl>
    <w:lvl w:ilvl="2">
      <w:start w:val="0"/>
      <w:numFmt w:val="bullet"/>
      <w:lvlText w:val=""/>
      <w:lvlJc w:val="left"/>
      <w:pPr>
        <w:ind w:left="2160" w:hanging="360"/>
      </w:pPr>
      <w:rPr>
        <w:rFonts w:hint="default" w:ascii="Symbol" w:hAnsi="Symbol" w:eastAsia="Symbol" w:cs="Symbol"/>
        <w:w w:val="100"/>
        <w:sz w:val="22"/>
        <w:szCs w:val="22"/>
      </w:rPr>
    </w:lvl>
    <w:lvl w:ilvl="3">
      <w:start w:val="0"/>
      <w:numFmt w:val="bullet"/>
      <w:lvlText w:val="•"/>
      <w:lvlJc w:val="left"/>
      <w:pPr>
        <w:ind w:left="2160" w:hanging="360"/>
      </w:pPr>
      <w:rPr>
        <w:rFonts w:hint="default"/>
      </w:rPr>
    </w:lvl>
    <w:lvl w:ilvl="4">
      <w:start w:val="0"/>
      <w:numFmt w:val="bullet"/>
      <w:lvlText w:val="•"/>
      <w:lvlJc w:val="left"/>
      <w:pPr>
        <w:ind w:left="1845" w:hanging="360"/>
      </w:pPr>
      <w:rPr>
        <w:rFonts w:hint="default"/>
      </w:rPr>
    </w:lvl>
    <w:lvl w:ilvl="5">
      <w:start w:val="0"/>
      <w:numFmt w:val="bullet"/>
      <w:lvlText w:val="•"/>
      <w:lvlJc w:val="left"/>
      <w:pPr>
        <w:ind w:left="1530" w:hanging="360"/>
      </w:pPr>
      <w:rPr>
        <w:rFonts w:hint="default"/>
      </w:rPr>
    </w:lvl>
    <w:lvl w:ilvl="6">
      <w:start w:val="0"/>
      <w:numFmt w:val="bullet"/>
      <w:lvlText w:val="•"/>
      <w:lvlJc w:val="left"/>
      <w:pPr>
        <w:ind w:left="1216" w:hanging="360"/>
      </w:pPr>
      <w:rPr>
        <w:rFonts w:hint="default"/>
      </w:rPr>
    </w:lvl>
    <w:lvl w:ilvl="7">
      <w:start w:val="0"/>
      <w:numFmt w:val="bullet"/>
      <w:lvlText w:val="•"/>
      <w:lvlJc w:val="left"/>
      <w:pPr>
        <w:ind w:left="901" w:hanging="360"/>
      </w:pPr>
      <w:rPr>
        <w:rFonts w:hint="default"/>
      </w:rPr>
    </w:lvl>
    <w:lvl w:ilvl="8">
      <w:start w:val="0"/>
      <w:numFmt w:val="bullet"/>
      <w:lvlText w:val="•"/>
      <w:lvlJc w:val="left"/>
      <w:pPr>
        <w:ind w:left="587" w:hanging="360"/>
      </w:pPr>
      <w:rPr>
        <w:rFonts w:hint="default"/>
      </w:rPr>
    </w:lvl>
  </w:abstractNum>
  <w:abstractNum w:abstractNumId="6">
    <w:multiLevelType w:val="hybridMultilevel"/>
    <w:lvl w:ilvl="0">
      <w:start w:val="1"/>
      <w:numFmt w:val="decimal"/>
      <w:lvlText w:val="%1."/>
      <w:lvlJc w:val="left"/>
      <w:pPr>
        <w:ind w:left="1440" w:hanging="352"/>
        <w:jc w:val="left"/>
      </w:pPr>
      <w:rPr>
        <w:rFonts w:hint="default" w:ascii="Arial" w:hAnsi="Arial" w:eastAsia="Arial" w:cs="Arial"/>
        <w:spacing w:val="0"/>
        <w:w w:val="99"/>
        <w:sz w:val="22"/>
        <w:szCs w:val="22"/>
      </w:rPr>
    </w:lvl>
    <w:lvl w:ilvl="1">
      <w:start w:val="0"/>
      <w:numFmt w:val="bullet"/>
      <w:lvlText w:val=""/>
      <w:lvlJc w:val="left"/>
      <w:pPr>
        <w:ind w:left="2060" w:hanging="360"/>
      </w:pPr>
      <w:rPr>
        <w:rFonts w:hint="default" w:ascii="Symbol" w:hAnsi="Symbol" w:eastAsia="Symbol" w:cs="Symbol"/>
        <w:w w:val="100"/>
        <w:sz w:val="20"/>
        <w:szCs w:val="20"/>
      </w:rPr>
    </w:lvl>
    <w:lvl w:ilvl="2">
      <w:start w:val="0"/>
      <w:numFmt w:val="bullet"/>
      <w:lvlText w:val=""/>
      <w:lvlJc w:val="left"/>
      <w:pPr>
        <w:ind w:left="2160" w:hanging="360"/>
      </w:pPr>
      <w:rPr>
        <w:rFonts w:hint="default" w:ascii="Symbol" w:hAnsi="Symbol" w:eastAsia="Symbol" w:cs="Symbol"/>
        <w:w w:val="100"/>
        <w:sz w:val="22"/>
        <w:szCs w:val="22"/>
      </w:rPr>
    </w:lvl>
    <w:lvl w:ilvl="3">
      <w:start w:val="0"/>
      <w:numFmt w:val="bullet"/>
      <w:lvlText w:val="•"/>
      <w:lvlJc w:val="left"/>
      <w:pPr>
        <w:ind w:left="2610" w:hanging="360"/>
      </w:pPr>
      <w:rPr>
        <w:rFonts w:hint="default"/>
      </w:rPr>
    </w:lvl>
    <w:lvl w:ilvl="4">
      <w:start w:val="0"/>
      <w:numFmt w:val="bullet"/>
      <w:lvlText w:val="•"/>
      <w:lvlJc w:val="left"/>
      <w:pPr>
        <w:ind w:left="3060" w:hanging="360"/>
      </w:pPr>
      <w:rPr>
        <w:rFonts w:hint="default"/>
      </w:rPr>
    </w:lvl>
    <w:lvl w:ilvl="5">
      <w:start w:val="0"/>
      <w:numFmt w:val="bullet"/>
      <w:lvlText w:val="•"/>
      <w:lvlJc w:val="left"/>
      <w:pPr>
        <w:ind w:left="3510" w:hanging="360"/>
      </w:pPr>
      <w:rPr>
        <w:rFonts w:hint="default"/>
      </w:rPr>
    </w:lvl>
    <w:lvl w:ilvl="6">
      <w:start w:val="0"/>
      <w:numFmt w:val="bullet"/>
      <w:lvlText w:val="•"/>
      <w:lvlJc w:val="left"/>
      <w:pPr>
        <w:ind w:left="3961" w:hanging="360"/>
      </w:pPr>
      <w:rPr>
        <w:rFonts w:hint="default"/>
      </w:rPr>
    </w:lvl>
    <w:lvl w:ilvl="7">
      <w:start w:val="0"/>
      <w:numFmt w:val="bullet"/>
      <w:lvlText w:val="•"/>
      <w:lvlJc w:val="left"/>
      <w:pPr>
        <w:ind w:left="4411" w:hanging="360"/>
      </w:pPr>
      <w:rPr>
        <w:rFonts w:hint="default"/>
      </w:rPr>
    </w:lvl>
    <w:lvl w:ilvl="8">
      <w:start w:val="0"/>
      <w:numFmt w:val="bullet"/>
      <w:lvlText w:val="•"/>
      <w:lvlJc w:val="left"/>
      <w:pPr>
        <w:ind w:left="4861" w:hanging="360"/>
      </w:pPr>
      <w:rPr>
        <w:rFonts w:hint="default"/>
      </w:rPr>
    </w:lvl>
  </w:abstractNum>
  <w:abstractNum w:abstractNumId="5">
    <w:multiLevelType w:val="hybridMultilevel"/>
    <w:lvl w:ilvl="0">
      <w:start w:val="1"/>
      <w:numFmt w:val="decimal"/>
      <w:lvlText w:val="%1."/>
      <w:lvlJc w:val="left"/>
      <w:pPr>
        <w:ind w:left="1401" w:hanging="361"/>
        <w:jc w:val="left"/>
      </w:pPr>
      <w:rPr>
        <w:rFonts w:hint="default" w:ascii="Arial" w:hAnsi="Arial" w:eastAsia="Arial" w:cs="Arial"/>
        <w:spacing w:val="-30"/>
        <w:w w:val="100"/>
        <w:sz w:val="22"/>
        <w:szCs w:val="22"/>
      </w:rPr>
    </w:lvl>
    <w:lvl w:ilvl="1">
      <w:start w:val="3"/>
      <w:numFmt w:val="decimal"/>
      <w:lvlText w:val="%2"/>
      <w:lvlJc w:val="left"/>
      <w:pPr>
        <w:ind w:left="2160" w:hanging="360"/>
        <w:jc w:val="left"/>
      </w:pPr>
      <w:rPr>
        <w:rFonts w:hint="default" w:ascii="Arial" w:hAnsi="Arial" w:eastAsia="Arial" w:cs="Arial"/>
        <w:w w:val="99"/>
        <w:sz w:val="22"/>
        <w:szCs w:val="22"/>
      </w:rPr>
    </w:lvl>
    <w:lvl w:ilvl="2">
      <w:start w:val="0"/>
      <w:numFmt w:val="bullet"/>
      <w:lvlText w:val="•"/>
      <w:lvlJc w:val="left"/>
      <w:pPr>
        <w:ind w:left="1915" w:hanging="360"/>
      </w:pPr>
      <w:rPr>
        <w:rFonts w:hint="default"/>
      </w:rPr>
    </w:lvl>
    <w:lvl w:ilvl="3">
      <w:start w:val="0"/>
      <w:numFmt w:val="bullet"/>
      <w:lvlText w:val="•"/>
      <w:lvlJc w:val="left"/>
      <w:pPr>
        <w:ind w:left="1671" w:hanging="360"/>
      </w:pPr>
      <w:rPr>
        <w:rFonts w:hint="default"/>
      </w:rPr>
    </w:lvl>
    <w:lvl w:ilvl="4">
      <w:start w:val="0"/>
      <w:numFmt w:val="bullet"/>
      <w:lvlText w:val="•"/>
      <w:lvlJc w:val="left"/>
      <w:pPr>
        <w:ind w:left="1427" w:hanging="360"/>
      </w:pPr>
      <w:rPr>
        <w:rFonts w:hint="default"/>
      </w:rPr>
    </w:lvl>
    <w:lvl w:ilvl="5">
      <w:start w:val="0"/>
      <w:numFmt w:val="bullet"/>
      <w:lvlText w:val="•"/>
      <w:lvlJc w:val="left"/>
      <w:pPr>
        <w:ind w:left="1182" w:hanging="360"/>
      </w:pPr>
      <w:rPr>
        <w:rFonts w:hint="default"/>
      </w:rPr>
    </w:lvl>
    <w:lvl w:ilvl="6">
      <w:start w:val="0"/>
      <w:numFmt w:val="bullet"/>
      <w:lvlText w:val="•"/>
      <w:lvlJc w:val="left"/>
      <w:pPr>
        <w:ind w:left="938" w:hanging="360"/>
      </w:pPr>
      <w:rPr>
        <w:rFonts w:hint="default"/>
      </w:rPr>
    </w:lvl>
    <w:lvl w:ilvl="7">
      <w:start w:val="0"/>
      <w:numFmt w:val="bullet"/>
      <w:lvlText w:val="•"/>
      <w:lvlJc w:val="left"/>
      <w:pPr>
        <w:ind w:left="694" w:hanging="360"/>
      </w:pPr>
      <w:rPr>
        <w:rFonts w:hint="default"/>
      </w:rPr>
    </w:lvl>
    <w:lvl w:ilvl="8">
      <w:start w:val="0"/>
      <w:numFmt w:val="bullet"/>
      <w:lvlText w:val="•"/>
      <w:lvlJc w:val="left"/>
      <w:pPr>
        <w:ind w:left="449" w:hanging="360"/>
      </w:pPr>
      <w:rPr>
        <w:rFonts w:hint="default"/>
      </w:rPr>
    </w:lvl>
  </w:abstractNum>
  <w:abstractNum w:abstractNumId="4">
    <w:multiLevelType w:val="hybridMultilevel"/>
    <w:lvl w:ilvl="0">
      <w:start w:val="0"/>
      <w:numFmt w:val="bullet"/>
      <w:lvlText w:val=""/>
      <w:lvlJc w:val="left"/>
      <w:pPr>
        <w:ind w:left="560" w:hanging="361"/>
      </w:pPr>
      <w:rPr>
        <w:rFonts w:hint="default" w:ascii="Symbol" w:hAnsi="Symbol" w:eastAsia="Symbol" w:cs="Symbol"/>
        <w:w w:val="100"/>
        <w:sz w:val="24"/>
        <w:szCs w:val="24"/>
      </w:rPr>
    </w:lvl>
    <w:lvl w:ilvl="1">
      <w:start w:val="0"/>
      <w:numFmt w:val="bullet"/>
      <w:lvlText w:val="•"/>
      <w:lvlJc w:val="left"/>
      <w:pPr>
        <w:ind w:left="883" w:hanging="361"/>
      </w:pPr>
      <w:rPr>
        <w:rFonts w:hint="default"/>
      </w:rPr>
    </w:lvl>
    <w:lvl w:ilvl="2">
      <w:start w:val="0"/>
      <w:numFmt w:val="bullet"/>
      <w:lvlText w:val="•"/>
      <w:lvlJc w:val="left"/>
      <w:pPr>
        <w:ind w:left="1206" w:hanging="361"/>
      </w:pPr>
      <w:rPr>
        <w:rFonts w:hint="default"/>
      </w:rPr>
    </w:lvl>
    <w:lvl w:ilvl="3">
      <w:start w:val="0"/>
      <w:numFmt w:val="bullet"/>
      <w:lvlText w:val="•"/>
      <w:lvlJc w:val="left"/>
      <w:pPr>
        <w:ind w:left="1530" w:hanging="361"/>
      </w:pPr>
      <w:rPr>
        <w:rFonts w:hint="default"/>
      </w:rPr>
    </w:lvl>
    <w:lvl w:ilvl="4">
      <w:start w:val="0"/>
      <w:numFmt w:val="bullet"/>
      <w:lvlText w:val="•"/>
      <w:lvlJc w:val="left"/>
      <w:pPr>
        <w:ind w:left="1853" w:hanging="361"/>
      </w:pPr>
      <w:rPr>
        <w:rFonts w:hint="default"/>
      </w:rPr>
    </w:lvl>
    <w:lvl w:ilvl="5">
      <w:start w:val="0"/>
      <w:numFmt w:val="bullet"/>
      <w:lvlText w:val="•"/>
      <w:lvlJc w:val="left"/>
      <w:pPr>
        <w:ind w:left="2177" w:hanging="361"/>
      </w:pPr>
      <w:rPr>
        <w:rFonts w:hint="default"/>
      </w:rPr>
    </w:lvl>
    <w:lvl w:ilvl="6">
      <w:start w:val="0"/>
      <w:numFmt w:val="bullet"/>
      <w:lvlText w:val="•"/>
      <w:lvlJc w:val="left"/>
      <w:pPr>
        <w:ind w:left="2500" w:hanging="361"/>
      </w:pPr>
      <w:rPr>
        <w:rFonts w:hint="default"/>
      </w:rPr>
    </w:lvl>
    <w:lvl w:ilvl="7">
      <w:start w:val="0"/>
      <w:numFmt w:val="bullet"/>
      <w:lvlText w:val="•"/>
      <w:lvlJc w:val="left"/>
      <w:pPr>
        <w:ind w:left="2823" w:hanging="361"/>
      </w:pPr>
      <w:rPr>
        <w:rFonts w:hint="default"/>
      </w:rPr>
    </w:lvl>
    <w:lvl w:ilvl="8">
      <w:start w:val="0"/>
      <w:numFmt w:val="bullet"/>
      <w:lvlText w:val="•"/>
      <w:lvlJc w:val="left"/>
      <w:pPr>
        <w:ind w:left="3147" w:hanging="361"/>
      </w:pPr>
      <w:rPr>
        <w:rFonts w:hint="default"/>
      </w:rPr>
    </w:lvl>
  </w:abstractNum>
  <w:abstractNum w:abstractNumId="3">
    <w:multiLevelType w:val="hybridMultilevel"/>
    <w:lvl w:ilvl="0">
      <w:start w:val="0"/>
      <w:numFmt w:val="bullet"/>
      <w:lvlText w:val=""/>
      <w:lvlJc w:val="left"/>
      <w:pPr>
        <w:ind w:left="560" w:hanging="361"/>
      </w:pPr>
      <w:rPr>
        <w:rFonts w:hint="default" w:ascii="Symbol" w:hAnsi="Symbol" w:eastAsia="Symbol" w:cs="Symbol"/>
        <w:w w:val="100"/>
        <w:sz w:val="24"/>
        <w:szCs w:val="24"/>
      </w:rPr>
    </w:lvl>
    <w:lvl w:ilvl="1">
      <w:start w:val="0"/>
      <w:numFmt w:val="bullet"/>
      <w:lvlText w:val="•"/>
      <w:lvlJc w:val="left"/>
      <w:pPr>
        <w:ind w:left="883" w:hanging="361"/>
      </w:pPr>
      <w:rPr>
        <w:rFonts w:hint="default"/>
      </w:rPr>
    </w:lvl>
    <w:lvl w:ilvl="2">
      <w:start w:val="0"/>
      <w:numFmt w:val="bullet"/>
      <w:lvlText w:val="•"/>
      <w:lvlJc w:val="left"/>
      <w:pPr>
        <w:ind w:left="1206" w:hanging="361"/>
      </w:pPr>
      <w:rPr>
        <w:rFonts w:hint="default"/>
      </w:rPr>
    </w:lvl>
    <w:lvl w:ilvl="3">
      <w:start w:val="0"/>
      <w:numFmt w:val="bullet"/>
      <w:lvlText w:val="•"/>
      <w:lvlJc w:val="left"/>
      <w:pPr>
        <w:ind w:left="1530" w:hanging="361"/>
      </w:pPr>
      <w:rPr>
        <w:rFonts w:hint="default"/>
      </w:rPr>
    </w:lvl>
    <w:lvl w:ilvl="4">
      <w:start w:val="0"/>
      <w:numFmt w:val="bullet"/>
      <w:lvlText w:val="•"/>
      <w:lvlJc w:val="left"/>
      <w:pPr>
        <w:ind w:left="1853" w:hanging="361"/>
      </w:pPr>
      <w:rPr>
        <w:rFonts w:hint="default"/>
      </w:rPr>
    </w:lvl>
    <w:lvl w:ilvl="5">
      <w:start w:val="0"/>
      <w:numFmt w:val="bullet"/>
      <w:lvlText w:val="•"/>
      <w:lvlJc w:val="left"/>
      <w:pPr>
        <w:ind w:left="2177" w:hanging="361"/>
      </w:pPr>
      <w:rPr>
        <w:rFonts w:hint="default"/>
      </w:rPr>
    </w:lvl>
    <w:lvl w:ilvl="6">
      <w:start w:val="0"/>
      <w:numFmt w:val="bullet"/>
      <w:lvlText w:val="•"/>
      <w:lvlJc w:val="left"/>
      <w:pPr>
        <w:ind w:left="2500" w:hanging="361"/>
      </w:pPr>
      <w:rPr>
        <w:rFonts w:hint="default"/>
      </w:rPr>
    </w:lvl>
    <w:lvl w:ilvl="7">
      <w:start w:val="0"/>
      <w:numFmt w:val="bullet"/>
      <w:lvlText w:val="•"/>
      <w:lvlJc w:val="left"/>
      <w:pPr>
        <w:ind w:left="2823" w:hanging="361"/>
      </w:pPr>
      <w:rPr>
        <w:rFonts w:hint="default"/>
      </w:rPr>
    </w:lvl>
    <w:lvl w:ilvl="8">
      <w:start w:val="0"/>
      <w:numFmt w:val="bullet"/>
      <w:lvlText w:val="•"/>
      <w:lvlJc w:val="left"/>
      <w:pPr>
        <w:ind w:left="3147" w:hanging="361"/>
      </w:pPr>
      <w:rPr>
        <w:rFonts w:hint="default"/>
      </w:rPr>
    </w:lvl>
  </w:abstractNum>
  <w:abstractNum w:abstractNumId="2">
    <w:multiLevelType w:val="hybridMultilevel"/>
    <w:lvl w:ilvl="0">
      <w:start w:val="0"/>
      <w:numFmt w:val="bullet"/>
      <w:lvlText w:val=""/>
      <w:lvlJc w:val="left"/>
      <w:pPr>
        <w:ind w:left="560" w:hanging="361"/>
      </w:pPr>
      <w:rPr>
        <w:rFonts w:hint="default" w:ascii="Symbol" w:hAnsi="Symbol" w:eastAsia="Symbol" w:cs="Symbol"/>
        <w:w w:val="100"/>
        <w:sz w:val="24"/>
        <w:szCs w:val="24"/>
      </w:rPr>
    </w:lvl>
    <w:lvl w:ilvl="1">
      <w:start w:val="0"/>
      <w:numFmt w:val="bullet"/>
      <w:lvlText w:val="•"/>
      <w:lvlJc w:val="left"/>
      <w:pPr>
        <w:ind w:left="883" w:hanging="361"/>
      </w:pPr>
      <w:rPr>
        <w:rFonts w:hint="default"/>
      </w:rPr>
    </w:lvl>
    <w:lvl w:ilvl="2">
      <w:start w:val="0"/>
      <w:numFmt w:val="bullet"/>
      <w:lvlText w:val="•"/>
      <w:lvlJc w:val="left"/>
      <w:pPr>
        <w:ind w:left="1206" w:hanging="361"/>
      </w:pPr>
      <w:rPr>
        <w:rFonts w:hint="default"/>
      </w:rPr>
    </w:lvl>
    <w:lvl w:ilvl="3">
      <w:start w:val="0"/>
      <w:numFmt w:val="bullet"/>
      <w:lvlText w:val="•"/>
      <w:lvlJc w:val="left"/>
      <w:pPr>
        <w:ind w:left="1530" w:hanging="361"/>
      </w:pPr>
      <w:rPr>
        <w:rFonts w:hint="default"/>
      </w:rPr>
    </w:lvl>
    <w:lvl w:ilvl="4">
      <w:start w:val="0"/>
      <w:numFmt w:val="bullet"/>
      <w:lvlText w:val="•"/>
      <w:lvlJc w:val="left"/>
      <w:pPr>
        <w:ind w:left="1853" w:hanging="361"/>
      </w:pPr>
      <w:rPr>
        <w:rFonts w:hint="default"/>
      </w:rPr>
    </w:lvl>
    <w:lvl w:ilvl="5">
      <w:start w:val="0"/>
      <w:numFmt w:val="bullet"/>
      <w:lvlText w:val="•"/>
      <w:lvlJc w:val="left"/>
      <w:pPr>
        <w:ind w:left="2177" w:hanging="361"/>
      </w:pPr>
      <w:rPr>
        <w:rFonts w:hint="default"/>
      </w:rPr>
    </w:lvl>
    <w:lvl w:ilvl="6">
      <w:start w:val="0"/>
      <w:numFmt w:val="bullet"/>
      <w:lvlText w:val="•"/>
      <w:lvlJc w:val="left"/>
      <w:pPr>
        <w:ind w:left="2500" w:hanging="361"/>
      </w:pPr>
      <w:rPr>
        <w:rFonts w:hint="default"/>
      </w:rPr>
    </w:lvl>
    <w:lvl w:ilvl="7">
      <w:start w:val="0"/>
      <w:numFmt w:val="bullet"/>
      <w:lvlText w:val="•"/>
      <w:lvlJc w:val="left"/>
      <w:pPr>
        <w:ind w:left="2823" w:hanging="361"/>
      </w:pPr>
      <w:rPr>
        <w:rFonts w:hint="default"/>
      </w:rPr>
    </w:lvl>
    <w:lvl w:ilvl="8">
      <w:start w:val="0"/>
      <w:numFmt w:val="bullet"/>
      <w:lvlText w:val="•"/>
      <w:lvlJc w:val="left"/>
      <w:pPr>
        <w:ind w:left="3147" w:hanging="361"/>
      </w:pPr>
      <w:rPr>
        <w:rFonts w:hint="default"/>
      </w:rPr>
    </w:lvl>
  </w:abstractNum>
  <w:abstractNum w:abstractNumId="1">
    <w:multiLevelType w:val="hybridMultilevel"/>
    <w:lvl w:ilvl="0">
      <w:start w:val="0"/>
      <w:numFmt w:val="bullet"/>
      <w:lvlText w:val=""/>
      <w:lvlJc w:val="left"/>
      <w:pPr>
        <w:ind w:left="560" w:hanging="361"/>
      </w:pPr>
      <w:rPr>
        <w:rFonts w:hint="default" w:ascii="Symbol" w:hAnsi="Symbol" w:eastAsia="Symbol" w:cs="Symbol"/>
        <w:w w:val="100"/>
        <w:sz w:val="24"/>
        <w:szCs w:val="24"/>
      </w:rPr>
    </w:lvl>
    <w:lvl w:ilvl="1">
      <w:start w:val="0"/>
      <w:numFmt w:val="bullet"/>
      <w:lvlText w:val="•"/>
      <w:lvlJc w:val="left"/>
      <w:pPr>
        <w:ind w:left="883" w:hanging="361"/>
      </w:pPr>
      <w:rPr>
        <w:rFonts w:hint="default"/>
      </w:rPr>
    </w:lvl>
    <w:lvl w:ilvl="2">
      <w:start w:val="0"/>
      <w:numFmt w:val="bullet"/>
      <w:lvlText w:val="•"/>
      <w:lvlJc w:val="left"/>
      <w:pPr>
        <w:ind w:left="1206" w:hanging="361"/>
      </w:pPr>
      <w:rPr>
        <w:rFonts w:hint="default"/>
      </w:rPr>
    </w:lvl>
    <w:lvl w:ilvl="3">
      <w:start w:val="0"/>
      <w:numFmt w:val="bullet"/>
      <w:lvlText w:val="•"/>
      <w:lvlJc w:val="left"/>
      <w:pPr>
        <w:ind w:left="1530" w:hanging="361"/>
      </w:pPr>
      <w:rPr>
        <w:rFonts w:hint="default"/>
      </w:rPr>
    </w:lvl>
    <w:lvl w:ilvl="4">
      <w:start w:val="0"/>
      <w:numFmt w:val="bullet"/>
      <w:lvlText w:val="•"/>
      <w:lvlJc w:val="left"/>
      <w:pPr>
        <w:ind w:left="1853" w:hanging="361"/>
      </w:pPr>
      <w:rPr>
        <w:rFonts w:hint="default"/>
      </w:rPr>
    </w:lvl>
    <w:lvl w:ilvl="5">
      <w:start w:val="0"/>
      <w:numFmt w:val="bullet"/>
      <w:lvlText w:val="•"/>
      <w:lvlJc w:val="left"/>
      <w:pPr>
        <w:ind w:left="2177" w:hanging="361"/>
      </w:pPr>
      <w:rPr>
        <w:rFonts w:hint="default"/>
      </w:rPr>
    </w:lvl>
    <w:lvl w:ilvl="6">
      <w:start w:val="0"/>
      <w:numFmt w:val="bullet"/>
      <w:lvlText w:val="•"/>
      <w:lvlJc w:val="left"/>
      <w:pPr>
        <w:ind w:left="2500" w:hanging="361"/>
      </w:pPr>
      <w:rPr>
        <w:rFonts w:hint="default"/>
      </w:rPr>
    </w:lvl>
    <w:lvl w:ilvl="7">
      <w:start w:val="0"/>
      <w:numFmt w:val="bullet"/>
      <w:lvlText w:val="•"/>
      <w:lvlJc w:val="left"/>
      <w:pPr>
        <w:ind w:left="2823" w:hanging="361"/>
      </w:pPr>
      <w:rPr>
        <w:rFonts w:hint="default"/>
      </w:rPr>
    </w:lvl>
    <w:lvl w:ilvl="8">
      <w:start w:val="0"/>
      <w:numFmt w:val="bullet"/>
      <w:lvlText w:val="•"/>
      <w:lvlJc w:val="left"/>
      <w:pPr>
        <w:ind w:left="3147" w:hanging="361"/>
      </w:pPr>
      <w:rPr>
        <w:rFonts w:hint="default"/>
      </w:rPr>
    </w:lvl>
  </w:abstractNum>
  <w:abstractNum w:abstractNumId="0">
    <w:multiLevelType w:val="hybridMultilevel"/>
    <w:lvl w:ilvl="0">
      <w:start w:val="0"/>
      <w:numFmt w:val="bullet"/>
      <w:lvlText w:val=""/>
      <w:lvlJc w:val="left"/>
      <w:pPr>
        <w:ind w:left="560" w:hanging="361"/>
      </w:pPr>
      <w:rPr>
        <w:rFonts w:hint="default" w:ascii="Symbol" w:hAnsi="Symbol" w:eastAsia="Symbol" w:cs="Symbol"/>
        <w:w w:val="100"/>
        <w:sz w:val="24"/>
        <w:szCs w:val="24"/>
      </w:rPr>
    </w:lvl>
    <w:lvl w:ilvl="1">
      <w:start w:val="0"/>
      <w:numFmt w:val="bullet"/>
      <w:lvlText w:val="•"/>
      <w:lvlJc w:val="left"/>
      <w:pPr>
        <w:ind w:left="883" w:hanging="361"/>
      </w:pPr>
      <w:rPr>
        <w:rFonts w:hint="default"/>
      </w:rPr>
    </w:lvl>
    <w:lvl w:ilvl="2">
      <w:start w:val="0"/>
      <w:numFmt w:val="bullet"/>
      <w:lvlText w:val="•"/>
      <w:lvlJc w:val="left"/>
      <w:pPr>
        <w:ind w:left="1206" w:hanging="361"/>
      </w:pPr>
      <w:rPr>
        <w:rFonts w:hint="default"/>
      </w:rPr>
    </w:lvl>
    <w:lvl w:ilvl="3">
      <w:start w:val="0"/>
      <w:numFmt w:val="bullet"/>
      <w:lvlText w:val="•"/>
      <w:lvlJc w:val="left"/>
      <w:pPr>
        <w:ind w:left="1530" w:hanging="361"/>
      </w:pPr>
      <w:rPr>
        <w:rFonts w:hint="default"/>
      </w:rPr>
    </w:lvl>
    <w:lvl w:ilvl="4">
      <w:start w:val="0"/>
      <w:numFmt w:val="bullet"/>
      <w:lvlText w:val="•"/>
      <w:lvlJc w:val="left"/>
      <w:pPr>
        <w:ind w:left="1853" w:hanging="361"/>
      </w:pPr>
      <w:rPr>
        <w:rFonts w:hint="default"/>
      </w:rPr>
    </w:lvl>
    <w:lvl w:ilvl="5">
      <w:start w:val="0"/>
      <w:numFmt w:val="bullet"/>
      <w:lvlText w:val="•"/>
      <w:lvlJc w:val="left"/>
      <w:pPr>
        <w:ind w:left="2177" w:hanging="361"/>
      </w:pPr>
      <w:rPr>
        <w:rFonts w:hint="default"/>
      </w:rPr>
    </w:lvl>
    <w:lvl w:ilvl="6">
      <w:start w:val="0"/>
      <w:numFmt w:val="bullet"/>
      <w:lvlText w:val="•"/>
      <w:lvlJc w:val="left"/>
      <w:pPr>
        <w:ind w:left="2500" w:hanging="361"/>
      </w:pPr>
      <w:rPr>
        <w:rFonts w:hint="default"/>
      </w:rPr>
    </w:lvl>
    <w:lvl w:ilvl="7">
      <w:start w:val="0"/>
      <w:numFmt w:val="bullet"/>
      <w:lvlText w:val="•"/>
      <w:lvlJc w:val="left"/>
      <w:pPr>
        <w:ind w:left="2823" w:hanging="361"/>
      </w:pPr>
      <w:rPr>
        <w:rFonts w:hint="default"/>
      </w:rPr>
    </w:lvl>
    <w:lvl w:ilvl="8">
      <w:start w:val="0"/>
      <w:numFmt w:val="bullet"/>
      <w:lvlText w:val="•"/>
      <w:lvlJc w:val="left"/>
      <w:pPr>
        <w:ind w:left="3147" w:hanging="361"/>
      </w:pPr>
      <w:rPr>
        <w:rFonts w:hint="default"/>
      </w:rPr>
    </w:lvl>
  </w:abstractNum>
  <w:num w:numId="27">
    <w:abstractNumId w:val="26"/>
  </w:num>
  <w:num w:numId="31">
    <w:abstractNumId w:val="30"/>
  </w:num>
  <w:num w:numId="30">
    <w:abstractNumId w:val="29"/>
  </w:num>
  <w:num w:numId="29">
    <w:abstractNumId w:val="28"/>
  </w:num>
  <w:num w:numId="28">
    <w:abstractNumId w:val="27"/>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2"/>
      <w:szCs w:val="22"/>
    </w:rPr>
  </w:style>
  <w:style w:styleId="Heading1" w:type="paragraph">
    <w:name w:val="Heading 1"/>
    <w:basedOn w:val="Normal"/>
    <w:uiPriority w:val="1"/>
    <w:qFormat/>
    <w:pPr>
      <w:spacing w:line="1102" w:lineRule="exact"/>
      <w:ind w:left="1700" w:right="1732"/>
      <w:jc w:val="center"/>
      <w:outlineLvl w:val="1"/>
    </w:pPr>
    <w:rPr>
      <w:rFonts w:ascii="Calibri" w:hAnsi="Calibri" w:eastAsia="Calibri" w:cs="Calibri"/>
      <w:sz w:val="96"/>
      <w:szCs w:val="96"/>
    </w:rPr>
  </w:style>
  <w:style w:styleId="Heading2" w:type="paragraph">
    <w:name w:val="Heading 2"/>
    <w:basedOn w:val="Normal"/>
    <w:uiPriority w:val="1"/>
    <w:qFormat/>
    <w:pPr>
      <w:spacing w:before="89"/>
      <w:ind w:left="1576"/>
      <w:outlineLvl w:val="2"/>
    </w:pPr>
    <w:rPr>
      <w:rFonts w:ascii="Arial" w:hAnsi="Arial" w:eastAsia="Arial" w:cs="Arial"/>
      <w:b/>
      <w:bCs/>
      <w:sz w:val="36"/>
      <w:szCs w:val="36"/>
    </w:rPr>
  </w:style>
  <w:style w:styleId="Heading3" w:type="paragraph">
    <w:name w:val="Heading 3"/>
    <w:basedOn w:val="Normal"/>
    <w:uiPriority w:val="1"/>
    <w:qFormat/>
    <w:pPr>
      <w:spacing w:before="74"/>
      <w:ind w:left="1131"/>
      <w:jc w:val="center"/>
      <w:outlineLvl w:val="3"/>
    </w:pPr>
    <w:rPr>
      <w:rFonts w:ascii="Arial" w:hAnsi="Arial" w:eastAsia="Arial" w:cs="Arial"/>
      <w:b/>
      <w:bCs/>
      <w:sz w:val="28"/>
      <w:szCs w:val="28"/>
    </w:rPr>
  </w:style>
  <w:style w:styleId="Heading4" w:type="paragraph">
    <w:name w:val="Heading 4"/>
    <w:basedOn w:val="Normal"/>
    <w:uiPriority w:val="1"/>
    <w:qFormat/>
    <w:pPr>
      <w:ind w:left="1440"/>
      <w:outlineLvl w:val="4"/>
    </w:pPr>
    <w:rPr>
      <w:rFonts w:ascii="Arial" w:hAnsi="Arial" w:eastAsia="Arial" w:cs="Arial"/>
      <w:b/>
      <w:bCs/>
      <w:sz w:val="24"/>
      <w:szCs w:val="24"/>
    </w:rPr>
  </w:style>
  <w:style w:styleId="Heading5" w:type="paragraph">
    <w:name w:val="Heading 5"/>
    <w:basedOn w:val="Normal"/>
    <w:uiPriority w:val="1"/>
    <w:qFormat/>
    <w:pPr>
      <w:ind w:left="1440"/>
      <w:jc w:val="both"/>
      <w:outlineLvl w:val="5"/>
    </w:pPr>
    <w:rPr>
      <w:rFonts w:ascii="Arial" w:hAnsi="Arial" w:eastAsia="Arial" w:cs="Arial"/>
      <w:b/>
      <w:bCs/>
      <w:sz w:val="22"/>
      <w:szCs w:val="22"/>
    </w:rPr>
  </w:style>
  <w:style w:styleId="Heading6" w:type="paragraph">
    <w:name w:val="Heading 6"/>
    <w:basedOn w:val="Normal"/>
    <w:uiPriority w:val="1"/>
    <w:qFormat/>
    <w:pPr>
      <w:ind w:left="1440"/>
      <w:outlineLvl w:val="6"/>
    </w:pPr>
    <w:rPr>
      <w:rFonts w:ascii="Arial" w:hAnsi="Arial" w:eastAsia="Arial" w:cs="Arial"/>
      <w:b/>
      <w:bCs/>
      <w:i/>
      <w:sz w:val="22"/>
      <w:szCs w:val="22"/>
    </w:rPr>
  </w:style>
  <w:style w:styleId="ListParagraph" w:type="paragraph">
    <w:name w:val="List Paragraph"/>
    <w:basedOn w:val="Normal"/>
    <w:uiPriority w:val="1"/>
    <w:qFormat/>
    <w:pPr>
      <w:ind w:left="2160" w:hanging="360"/>
    </w:pPr>
    <w:rPr>
      <w:rFonts w:ascii="Arial" w:hAnsi="Arial" w:eastAsia="Arial" w:cs="Arial"/>
    </w:rPr>
  </w:style>
  <w:style w:styleId="TableParagraph" w:type="paragraph">
    <w:name w:val="Table Paragraph"/>
    <w:basedOn w:val="Normal"/>
    <w:uiPriority w:val="1"/>
    <w:qFormat/>
    <w:pPr>
      <w:ind w:left="107"/>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hyperlink" Target="mailto:revistamedicasinergia@gmail.com" TargetMode="External"/><Relationship Id="rId26" Type="http://schemas.openxmlformats.org/officeDocument/2006/relationships/hyperlink" Target="mailto:Sociedaddemedicosdeamerica@hotmail.com" TargetMode="External"/><Relationship Id="rId27" Type="http://schemas.openxmlformats.org/officeDocument/2006/relationships/image" Target="media/image21.png"/><Relationship Id="rId28" Type="http://schemas.openxmlformats.org/officeDocument/2006/relationships/image" Target="media/image22.png"/><Relationship Id="rId29" Type="http://schemas.openxmlformats.org/officeDocument/2006/relationships/image" Target="media/image23.png"/><Relationship Id="rId30" Type="http://schemas.openxmlformats.org/officeDocument/2006/relationships/image" Target="media/image24.png"/><Relationship Id="rId31" Type="http://schemas.openxmlformats.org/officeDocument/2006/relationships/image" Target="media/image25.png"/><Relationship Id="rId32" Type="http://schemas.openxmlformats.org/officeDocument/2006/relationships/image" Target="media/image26.png"/><Relationship Id="rId33" Type="http://schemas.openxmlformats.org/officeDocument/2006/relationships/image" Target="media/image27.png"/><Relationship Id="rId34" Type="http://schemas.openxmlformats.org/officeDocument/2006/relationships/footer" Target="footer1.xml"/><Relationship Id="rId35" Type="http://schemas.openxmlformats.org/officeDocument/2006/relationships/footer" Target="footer2.xml"/><Relationship Id="rId36" Type="http://schemas.openxmlformats.org/officeDocument/2006/relationships/image" Target="media/image31.png"/><Relationship Id="rId37" Type="http://schemas.openxmlformats.org/officeDocument/2006/relationships/image" Target="media/image32.png"/><Relationship Id="rId38" Type="http://schemas.openxmlformats.org/officeDocument/2006/relationships/image" Target="media/image33.png"/><Relationship Id="rId39" Type="http://schemas.openxmlformats.org/officeDocument/2006/relationships/header" Target="header1.xml"/><Relationship Id="rId40" Type="http://schemas.openxmlformats.org/officeDocument/2006/relationships/header" Target="header2.xml"/><Relationship Id="rId41" Type="http://schemas.openxmlformats.org/officeDocument/2006/relationships/footer" Target="footer3.xml"/><Relationship Id="rId42" Type="http://schemas.openxmlformats.org/officeDocument/2006/relationships/footer" Target="footer4.xml"/><Relationship Id="rId43" Type="http://schemas.openxmlformats.org/officeDocument/2006/relationships/header" Target="header3.xml"/><Relationship Id="rId44" Type="http://schemas.openxmlformats.org/officeDocument/2006/relationships/image" Target="media/image35.png"/><Relationship Id="rId45" Type="http://schemas.openxmlformats.org/officeDocument/2006/relationships/image" Target="media/image36.png"/><Relationship Id="rId46" Type="http://schemas.openxmlformats.org/officeDocument/2006/relationships/header" Target="header4.xml"/><Relationship Id="rId47" Type="http://schemas.openxmlformats.org/officeDocument/2006/relationships/header" Target="header5.xml"/><Relationship Id="rId48" Type="http://schemas.openxmlformats.org/officeDocument/2006/relationships/footer" Target="footer5.xml"/><Relationship Id="rId49" Type="http://schemas.openxmlformats.org/officeDocument/2006/relationships/footer" Target="footer6.xml"/><Relationship Id="rId50" Type="http://schemas.openxmlformats.org/officeDocument/2006/relationships/footer" Target="footer7.xml"/><Relationship Id="rId51" Type="http://schemas.openxmlformats.org/officeDocument/2006/relationships/footer" Target="footer8.xml"/><Relationship Id="rId52" Type="http://schemas.openxmlformats.org/officeDocument/2006/relationships/header" Target="header6.xml"/><Relationship Id="rId53" Type="http://schemas.openxmlformats.org/officeDocument/2006/relationships/footer" Target="footer9.xml"/><Relationship Id="rId54" Type="http://schemas.openxmlformats.org/officeDocument/2006/relationships/footer" Target="footer10.xml"/><Relationship Id="rId55" Type="http://schemas.openxmlformats.org/officeDocument/2006/relationships/image" Target="media/image37.png"/><Relationship Id="rId56" Type="http://schemas.openxmlformats.org/officeDocument/2006/relationships/image" Target="media/image38.png"/><Relationship Id="rId57" Type="http://schemas.openxmlformats.org/officeDocument/2006/relationships/header" Target="header7.xml"/><Relationship Id="rId58" Type="http://schemas.openxmlformats.org/officeDocument/2006/relationships/header" Target="header8.xml"/><Relationship Id="rId59" Type="http://schemas.openxmlformats.org/officeDocument/2006/relationships/footer" Target="footer11.xml"/><Relationship Id="rId60" Type="http://schemas.openxmlformats.org/officeDocument/2006/relationships/footer" Target="footer12.xml"/><Relationship Id="rId61" Type="http://schemas.openxmlformats.org/officeDocument/2006/relationships/header" Target="header9.xml"/><Relationship Id="rId62" Type="http://schemas.openxmlformats.org/officeDocument/2006/relationships/footer" Target="footer13.xml"/><Relationship Id="rId63" Type="http://schemas.openxmlformats.org/officeDocument/2006/relationships/footer" Target="footer14.xml"/><Relationship Id="rId64" Type="http://schemas.openxmlformats.org/officeDocument/2006/relationships/image" Target="media/image39.png"/><Relationship Id="rId65" Type="http://schemas.openxmlformats.org/officeDocument/2006/relationships/image" Target="media/image40.png"/><Relationship Id="rId66" Type="http://schemas.openxmlformats.org/officeDocument/2006/relationships/header" Target="header10.xml"/><Relationship Id="rId67" Type="http://schemas.openxmlformats.org/officeDocument/2006/relationships/header" Target="header11.xml"/><Relationship Id="rId68" Type="http://schemas.openxmlformats.org/officeDocument/2006/relationships/header" Target="header12.xml"/><Relationship Id="rId69" Type="http://schemas.openxmlformats.org/officeDocument/2006/relationships/footer" Target="footer15.xml"/><Relationship Id="rId70" Type="http://schemas.openxmlformats.org/officeDocument/2006/relationships/footer" Target="footer16.xml"/><Relationship Id="rId71" Type="http://schemas.openxmlformats.org/officeDocument/2006/relationships/header" Target="header13.xml"/><Relationship Id="rId72" Type="http://schemas.openxmlformats.org/officeDocument/2006/relationships/header" Target="header14.xml"/><Relationship Id="rId73" Type="http://schemas.openxmlformats.org/officeDocument/2006/relationships/header" Target="header15.xml"/><Relationship Id="rId74" Type="http://schemas.openxmlformats.org/officeDocument/2006/relationships/footer" Target="footer17.xml"/><Relationship Id="rId75" Type="http://schemas.openxmlformats.org/officeDocument/2006/relationships/footer" Target="footer18.xml"/><Relationship Id="rId76" Type="http://schemas.openxmlformats.org/officeDocument/2006/relationships/footer" Target="footer19.xml"/><Relationship Id="rId77" Type="http://schemas.openxmlformats.org/officeDocument/2006/relationships/footer" Target="footer20.xml"/><Relationship Id="rId78" Type="http://schemas.openxmlformats.org/officeDocument/2006/relationships/header" Target="header16.xml"/><Relationship Id="rId79" Type="http://schemas.openxmlformats.org/officeDocument/2006/relationships/hyperlink" Target="http://www.icmje.org/" TargetMode="External"/><Relationship Id="rId80" Type="http://schemas.openxmlformats.org/officeDocument/2006/relationships/header" Target="header17.xml"/><Relationship Id="rId81" Type="http://schemas.openxmlformats.org/officeDocument/2006/relationships/hyperlink" Target="http://www.scielo.cl/scielo.php?script=sci_arttext&amp;amp;pid=S0370-41062013000400012&amp;amp;lng=es&amp;amp;tlng=es" TargetMode="External"/><Relationship Id="rId82" Type="http://schemas.openxmlformats.org/officeDocument/2006/relationships/header" Target="header18.xml"/><Relationship Id="rId83" Type="http://schemas.openxmlformats.org/officeDocument/2006/relationships/footer" Target="footer21.xml"/><Relationship Id="rId84" Type="http://schemas.openxmlformats.org/officeDocument/2006/relationships/header" Target="header19.xml"/><Relationship Id="rId85" Type="http://schemas.openxmlformats.org/officeDocument/2006/relationships/footer" Target="footer22.xml"/><Relationship Id="rId86" Type="http://schemas.openxmlformats.org/officeDocument/2006/relationships/image" Target="media/image41.png"/><Relationship Id="rId87" Type="http://schemas.openxmlformats.org/officeDocument/2006/relationships/image" Target="media/image42.jpeg"/><Relationship Id="rId88" Type="http://schemas.openxmlformats.org/officeDocument/2006/relationships/header" Target="header20.xml"/><Relationship Id="rId89" Type="http://schemas.openxmlformats.org/officeDocument/2006/relationships/footer" Target="footer23.xml"/><Relationship Id="rId90" Type="http://schemas.openxmlformats.org/officeDocument/2006/relationships/image" Target="media/image43.png"/><Relationship Id="rId91" Type="http://schemas.openxmlformats.org/officeDocument/2006/relationships/image" Target="media/image44.png"/><Relationship Id="rId9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8.png"/><Relationship Id="rId2" Type="http://schemas.openxmlformats.org/officeDocument/2006/relationships/image" Target="media/image29.png"/></Relationships>

</file>

<file path=word/_rels/footer10.xml.rels><?xml version="1.0" encoding="UTF-8" standalone="yes"?>
<Relationships xmlns="http://schemas.openxmlformats.org/package/2006/relationships"><Relationship Id="rId1" Type="http://schemas.openxmlformats.org/officeDocument/2006/relationships/image" Target="media/image28.png"/><Relationship Id="rId2" Type="http://schemas.openxmlformats.org/officeDocument/2006/relationships/image" Target="media/image29.png"/></Relationships>

</file>

<file path=word/_rels/footer11.xml.rels><?xml version="1.0" encoding="UTF-8" standalone="yes"?>
<Relationships xmlns="http://schemas.openxmlformats.org/package/2006/relationships"><Relationship Id="rId1" Type="http://schemas.openxmlformats.org/officeDocument/2006/relationships/image" Target="media/image28.png"/><Relationship Id="rId2" Type="http://schemas.openxmlformats.org/officeDocument/2006/relationships/image" Target="media/image29.png"/></Relationships>

</file>

<file path=word/_rels/footer12.xml.rels><?xml version="1.0" encoding="UTF-8" standalone="yes"?>
<Relationships xmlns="http://schemas.openxmlformats.org/package/2006/relationships"><Relationship Id="rId1" Type="http://schemas.openxmlformats.org/officeDocument/2006/relationships/image" Target="media/image30.png"/><Relationship Id="rId2" Type="http://schemas.openxmlformats.org/officeDocument/2006/relationships/image" Target="media/image29.png"/></Relationships>

</file>

<file path=word/_rels/footer13.xml.rels><?xml version="1.0" encoding="UTF-8" standalone="yes"?>
<Relationships xmlns="http://schemas.openxmlformats.org/package/2006/relationships"><Relationship Id="rId1" Type="http://schemas.openxmlformats.org/officeDocument/2006/relationships/image" Target="media/image28.png"/><Relationship Id="rId2" Type="http://schemas.openxmlformats.org/officeDocument/2006/relationships/image" Target="media/image29.png"/></Relationships>

</file>

<file path=word/_rels/footer14.xml.rels><?xml version="1.0" encoding="UTF-8" standalone="yes"?>
<Relationships xmlns="http://schemas.openxmlformats.org/package/2006/relationships"><Relationship Id="rId1" Type="http://schemas.openxmlformats.org/officeDocument/2006/relationships/image" Target="media/image30.png"/><Relationship Id="rId2" Type="http://schemas.openxmlformats.org/officeDocument/2006/relationships/image" Target="media/image29.png"/></Relationships>

</file>

<file path=word/_rels/footer15.xml.rels><?xml version="1.0" encoding="UTF-8" standalone="yes"?>
<Relationships xmlns="http://schemas.openxmlformats.org/package/2006/relationships"><Relationship Id="rId1" Type="http://schemas.openxmlformats.org/officeDocument/2006/relationships/image" Target="media/image30.png"/><Relationship Id="rId2" Type="http://schemas.openxmlformats.org/officeDocument/2006/relationships/image" Target="media/image29.png"/></Relationships>

</file>

<file path=word/_rels/footer16.xml.rels><?xml version="1.0" encoding="UTF-8" standalone="yes"?>
<Relationships xmlns="http://schemas.openxmlformats.org/package/2006/relationships"><Relationship Id="rId1" Type="http://schemas.openxmlformats.org/officeDocument/2006/relationships/image" Target="media/image28.png"/><Relationship Id="rId2" Type="http://schemas.openxmlformats.org/officeDocument/2006/relationships/image" Target="media/image29.png"/></Relationships>

</file>

<file path=word/_rels/footer17.xml.rels><?xml version="1.0" encoding="UTF-8" standalone="yes"?>
<Relationships xmlns="http://schemas.openxmlformats.org/package/2006/relationships"><Relationship Id="rId1" Type="http://schemas.openxmlformats.org/officeDocument/2006/relationships/image" Target="media/image30.png"/><Relationship Id="rId2" Type="http://schemas.openxmlformats.org/officeDocument/2006/relationships/image" Target="media/image29.png"/></Relationships>

</file>

<file path=word/_rels/footer18.xml.rels><?xml version="1.0" encoding="UTF-8" standalone="yes"?>
<Relationships xmlns="http://schemas.openxmlformats.org/package/2006/relationships"><Relationship Id="rId1" Type="http://schemas.openxmlformats.org/officeDocument/2006/relationships/image" Target="media/image28.png"/><Relationship Id="rId2" Type="http://schemas.openxmlformats.org/officeDocument/2006/relationships/image" Target="media/image29.png"/></Relationships>

</file>

<file path=word/_rels/footer19.xml.rels><?xml version="1.0" encoding="UTF-8" standalone="yes"?>
<Relationships xmlns="http://schemas.openxmlformats.org/package/2006/relationships"><Relationship Id="rId1" Type="http://schemas.openxmlformats.org/officeDocument/2006/relationships/image" Target="media/image28.png"/><Relationship Id="rId2" Type="http://schemas.openxmlformats.org/officeDocument/2006/relationships/image" Target="media/image29.png"/></Relationships>

</file>

<file path=word/_rels/footer2.xml.rels><?xml version="1.0" encoding="UTF-8" standalone="yes"?>
<Relationships xmlns="http://schemas.openxmlformats.org/package/2006/relationships"><Relationship Id="rId1" Type="http://schemas.openxmlformats.org/officeDocument/2006/relationships/image" Target="media/image30.png"/><Relationship Id="rId2" Type="http://schemas.openxmlformats.org/officeDocument/2006/relationships/image" Target="media/image29.png"/></Relationships>

</file>

<file path=word/_rels/footer20.xml.rels><?xml version="1.0" encoding="UTF-8" standalone="yes"?>
<Relationships xmlns="http://schemas.openxmlformats.org/package/2006/relationships"><Relationship Id="rId1" Type="http://schemas.openxmlformats.org/officeDocument/2006/relationships/image" Target="media/image30.png"/><Relationship Id="rId2" Type="http://schemas.openxmlformats.org/officeDocument/2006/relationships/image" Target="media/image29.png"/></Relationships>

</file>

<file path=word/_rels/footer21.xml.rels><?xml version="1.0" encoding="UTF-8" standalone="yes"?>
<Relationships xmlns="http://schemas.openxmlformats.org/package/2006/relationships"><Relationship Id="rId1" Type="http://schemas.openxmlformats.org/officeDocument/2006/relationships/image" Target="media/image28.png"/><Relationship Id="rId2" Type="http://schemas.openxmlformats.org/officeDocument/2006/relationships/image" Target="media/image29.png"/></Relationships>

</file>

<file path=word/_rels/footer3.xml.rels><?xml version="1.0" encoding="UTF-8" standalone="yes"?>
<Relationships xmlns="http://schemas.openxmlformats.org/package/2006/relationships"><Relationship Id="rId1" Type="http://schemas.openxmlformats.org/officeDocument/2006/relationships/image" Target="media/image34.png"/><Relationship Id="rId2" Type="http://schemas.openxmlformats.org/officeDocument/2006/relationships/image" Target="media/image29.png"/></Relationships>

</file>

<file path=word/_rels/footer4.xml.rels><?xml version="1.0" encoding="UTF-8" standalone="yes"?>
<Relationships xmlns="http://schemas.openxmlformats.org/package/2006/relationships"><Relationship Id="rId1" Type="http://schemas.openxmlformats.org/officeDocument/2006/relationships/image" Target="media/image28.png"/><Relationship Id="rId2" Type="http://schemas.openxmlformats.org/officeDocument/2006/relationships/image" Target="media/image29.png"/></Relationships>

</file>

<file path=word/_rels/footer5.xml.rels><?xml version="1.0" encoding="UTF-8" standalone="yes"?>
<Relationships xmlns="http://schemas.openxmlformats.org/package/2006/relationships"><Relationship Id="rId1" Type="http://schemas.openxmlformats.org/officeDocument/2006/relationships/image" Target="media/image30.png"/><Relationship Id="rId2" Type="http://schemas.openxmlformats.org/officeDocument/2006/relationships/image" Target="media/image29.png"/></Relationships>

</file>

<file path=word/_rels/footer6.xml.rels><?xml version="1.0" encoding="UTF-8" standalone="yes"?>
<Relationships xmlns="http://schemas.openxmlformats.org/package/2006/relationships"><Relationship Id="rId1" Type="http://schemas.openxmlformats.org/officeDocument/2006/relationships/image" Target="media/image28.png"/><Relationship Id="rId2" Type="http://schemas.openxmlformats.org/officeDocument/2006/relationships/image" Target="media/image29.png"/></Relationships>

</file>

<file path=word/_rels/footer7.xml.rels><?xml version="1.0" encoding="UTF-8" standalone="yes"?>
<Relationships xmlns="http://schemas.openxmlformats.org/package/2006/relationships"><Relationship Id="rId1" Type="http://schemas.openxmlformats.org/officeDocument/2006/relationships/image" Target="media/image30.png"/><Relationship Id="rId2" Type="http://schemas.openxmlformats.org/officeDocument/2006/relationships/image" Target="media/image29.png"/></Relationships>

</file>

<file path=word/_rels/footer8.xml.rels><?xml version="1.0" encoding="UTF-8" standalone="yes"?>
<Relationships xmlns="http://schemas.openxmlformats.org/package/2006/relationships"><Relationship Id="rId1" Type="http://schemas.openxmlformats.org/officeDocument/2006/relationships/image" Target="media/image28.png"/><Relationship Id="rId2" Type="http://schemas.openxmlformats.org/officeDocument/2006/relationships/image" Target="media/image29.png"/></Relationships>

</file>

<file path=word/_rels/footer9.xml.rels><?xml version="1.0" encoding="UTF-8" standalone="yes"?>
<Relationships xmlns="http://schemas.openxmlformats.org/package/2006/relationships"><Relationship Id="rId1" Type="http://schemas.openxmlformats.org/officeDocument/2006/relationships/image" Target="media/image30.png"/><Relationship Id="rId2" Type="http://schemas.openxmlformats.org/officeDocument/2006/relationships/image" Target="media/image2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2018-03-26T20:48:52Z</dcterms:created>
  <dcterms:modified xsi:type="dcterms:W3CDTF">2018-03-26T20:48:52Z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2018-03-26T00:00:00Z</vt:filetime>
  </property>
</Properties>
</file>