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Default Extension="jpeg" ContentType="image/jpeg"/>
  <Override PartName="/word/header16.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1574"/>
      </w:pPr>
      <w:r>
        <w:rPr/>
        <w:pict>
          <v:group style="position:absolute;margin-left:-.25pt;margin-top:0pt;width:612.5pt;height:792pt;mso-position-horizontal-relative:page;mso-position-vertical-relative:page;z-index:-39208"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1204;width:1696;height:1092" type="#_x0000_t75" stroked="false">
              <v:imagedata r:id="rId7" o:title=""/>
            </v:shape>
            <v:shape style="position:absolute;left:2548;top:11844;width:2396;height:1092" type="#_x0000_t75" stroked="false">
              <v:imagedata r:id="rId8" o:title=""/>
            </v:shape>
            <v:shape style="position:absolute;left:6092;top:5504;width:5740;height:7284" type="#_x0000_t75" stroked="false">
              <v:imagedata r:id="rId9" o:title=""/>
            </v:shape>
            <v:shape style="position:absolute;left:11475;top:5452;width:673;height:10388" coordorigin="11476,5452" coordsize="673,10388" path="m12148,5452l11476,5452,11696,11469,11481,15840,12148,15840,12148,5452xe" filled="true" fillcolor="#5b9bd4" stroked="false">
              <v:path arrowok="t"/>
              <v:fill type="solid"/>
            </v:shape>
            <v:shape style="position:absolute;left:11297;top:5257;width:943;height:10560" type="#_x0000_t75" stroked="false">
              <v:imagedata r:id="rId10" o:title=""/>
            </v:shape>
            <v:shape style="position:absolute;left:584;top:6668;width:5064;height:4660" type="#_x0000_t75" stroked="false">
              <v:imagedata r:id="rId11" o:title=""/>
            </v:shape>
            <v:shape style="position:absolute;left:-5;top:4675;width:12250;height:580" type="#_x0000_t75" stroked="false">
              <v:imagedata r:id="rId12" o:title=""/>
            </v:shape>
            <v:shape style="position:absolute;left:75;top:15101;width:12076;height:513" coordorigin="75,15101" coordsize="12076,513" path="m11918,15101l75,15101,75,15614,11918,15614,12151,15358,11918,15101xe" filled="true" fillcolor="#2e5496" stroked="false">
              <v:path arrowok="t"/>
              <v:fill type="solid"/>
            </v:shape>
            <v:shape style="position:absolute;left:75;top:15101;width:12076;height:513" coordorigin="75,15101" coordsize="12076,513" path="m75,15101l11918,15101,12151,15358,11918,15614,75,15614,75,15101xe" filled="false" stroked="true" strokeweight=".75pt" strokecolor="#1f4e79">
              <v:path arrowok="t"/>
              <v:stroke dashstyle="solid"/>
            </v:shape>
            <v:shape style="position:absolute;left:76;top:15172;width:11960;height:372" type="#_x0000_t75" stroked="false">
              <v:imagedata r:id="rId13" o:title=""/>
            </v:shape>
            <v:shape style="position:absolute;left:76;top:15172;width:11848;height:368" type="#_x0000_t75" stroked="false">
              <v:imagedata r:id="rId14" o:title=""/>
            </v:shape>
            <v:shape style="position:absolute;left:7703;top:11355;width:1689;height:1689" type="#_x0000_t75" stroked="false">
              <v:imagedata r:id="rId15" o:title=""/>
            </v:shape>
            <w10:wrap type="none"/>
          </v:group>
        </w:pict>
      </w:r>
      <w:r>
        <w:rPr>
          <w:color w:val="5B9BD4"/>
        </w:rPr>
        <w:t>REVISTA MEDICA</w:t>
      </w:r>
    </w:p>
    <w:p>
      <w:pPr>
        <w:spacing w:before="192"/>
        <w:ind w:left="1573" w:right="1574"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rPr>
          <w:b/>
          <w:sz w:val="26"/>
        </w:rPr>
      </w:pPr>
    </w:p>
    <w:p>
      <w:pPr>
        <w:pStyle w:val="Heading2"/>
        <w:ind w:left="7910"/>
      </w:pPr>
      <w:r>
        <w:rPr>
          <w:color w:val="3A3838"/>
        </w:rPr>
        <w:t>ARTICULOS</w:t>
      </w:r>
    </w:p>
    <w:p>
      <w:pPr>
        <w:pStyle w:val="BodyText"/>
        <w:rPr>
          <w:b/>
          <w:sz w:val="20"/>
        </w:rPr>
      </w:pPr>
    </w:p>
    <w:p>
      <w:pPr>
        <w:pStyle w:val="BodyText"/>
        <w:rPr>
          <w:b/>
          <w:sz w:val="23"/>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tblGrid>
      <w:tr>
        <w:trPr>
          <w:trHeight w:val="1123" w:hRule="atLeast"/>
        </w:trPr>
        <w:tc>
          <w:tcPr>
            <w:tcW w:w="4223" w:type="dxa"/>
          </w:tcPr>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Enfermedad pélvica</w:t>
            </w:r>
            <w:r>
              <w:rPr>
                <w:spacing w:val="-8"/>
                <w:sz w:val="24"/>
              </w:rPr>
              <w:t> </w:t>
            </w:r>
            <w:r>
              <w:rPr>
                <w:sz w:val="24"/>
              </w:rPr>
              <w:t>inflamatoria</w:t>
            </w:r>
          </w:p>
          <w:p>
            <w:pPr>
              <w:pStyle w:val="TableParagraph"/>
              <w:spacing w:before="1"/>
              <w:ind w:left="0"/>
              <w:rPr>
                <w:b/>
                <w:sz w:val="31"/>
              </w:rPr>
            </w:pPr>
          </w:p>
          <w:p>
            <w:pPr>
              <w:pStyle w:val="TableParagraph"/>
              <w:numPr>
                <w:ilvl w:val="0"/>
                <w:numId w:val="1"/>
              </w:numPr>
              <w:tabs>
                <w:tab w:pos="560" w:val="left" w:leader="none"/>
                <w:tab w:pos="561" w:val="left" w:leader="none"/>
              </w:tabs>
              <w:spacing w:line="240" w:lineRule="auto" w:before="0" w:after="0"/>
              <w:ind w:left="560" w:right="0" w:hanging="360"/>
              <w:jc w:val="left"/>
              <w:rPr>
                <w:sz w:val="24"/>
              </w:rPr>
            </w:pPr>
            <w:r>
              <w:rPr>
                <w:sz w:val="24"/>
              </w:rPr>
              <w:t>Sarcomas uterinos</w:t>
            </w:r>
          </w:p>
        </w:tc>
      </w:tr>
      <w:tr>
        <w:trPr>
          <w:trHeight w:val="1285" w:hRule="atLeast"/>
        </w:trPr>
        <w:tc>
          <w:tcPr>
            <w:tcW w:w="4223" w:type="dxa"/>
          </w:tcPr>
          <w:p>
            <w:pPr>
              <w:pStyle w:val="TableParagraph"/>
              <w:numPr>
                <w:ilvl w:val="0"/>
                <w:numId w:val="2"/>
              </w:numPr>
              <w:tabs>
                <w:tab w:pos="560" w:val="left" w:leader="none"/>
                <w:tab w:pos="561" w:val="left" w:leader="none"/>
              </w:tabs>
              <w:spacing w:line="273" w:lineRule="auto" w:before="177" w:after="0"/>
              <w:ind w:left="560" w:right="197" w:hanging="360"/>
              <w:jc w:val="left"/>
              <w:rPr>
                <w:sz w:val="24"/>
              </w:rPr>
            </w:pPr>
            <w:r>
              <w:rPr>
                <w:sz w:val="24"/>
              </w:rPr>
              <w:t>Terapia de reemplazo hormonal en relación a la enfermedad de Alzheimer</w:t>
            </w:r>
          </w:p>
        </w:tc>
      </w:tr>
      <w:tr>
        <w:trPr>
          <w:trHeight w:val="473" w:hRule="atLeast"/>
        </w:trPr>
        <w:tc>
          <w:tcPr>
            <w:tcW w:w="4223" w:type="dxa"/>
          </w:tcPr>
          <w:p>
            <w:pPr>
              <w:pStyle w:val="TableParagraph"/>
              <w:numPr>
                <w:ilvl w:val="0"/>
                <w:numId w:val="3"/>
              </w:numPr>
              <w:tabs>
                <w:tab w:pos="560" w:val="left" w:leader="none"/>
                <w:tab w:pos="561" w:val="left" w:leader="none"/>
              </w:tabs>
              <w:spacing w:line="274" w:lineRule="exact" w:before="180" w:after="0"/>
              <w:ind w:left="560" w:right="0" w:hanging="360"/>
              <w:jc w:val="left"/>
              <w:rPr>
                <w:sz w:val="24"/>
              </w:rPr>
            </w:pPr>
            <w:r>
              <w:rPr>
                <w:sz w:val="24"/>
              </w:rPr>
              <w:t>Endometriris postparto</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39"/>
        <w:ind w:left="2865" w:right="0" w:firstLine="0"/>
        <w:jc w:val="left"/>
        <w:rPr>
          <w:rFonts w:ascii="Calibri"/>
          <w:sz w:val="48"/>
        </w:rPr>
      </w:pPr>
      <w:r>
        <w:rPr>
          <w:rFonts w:ascii="Calibri"/>
          <w:color w:val="2D74B5"/>
          <w:sz w:val="48"/>
        </w:rPr>
        <w:t>SOMEA</w:t>
      </w:r>
    </w:p>
    <w:p>
      <w:pPr>
        <w:spacing w:before="37"/>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11"/>
        <w:rPr>
          <w:rFonts w:ascii="Calibri"/>
          <w:i/>
        </w:rPr>
      </w:pPr>
    </w:p>
    <w:p>
      <w:pPr>
        <w:tabs>
          <w:tab w:pos="4305" w:val="left" w:leader="none"/>
          <w:tab w:pos="5817" w:val="left" w:leader="none"/>
          <w:tab w:pos="8606" w:val="left" w:leader="none"/>
          <w:tab w:pos="9786" w:val="left" w:leader="none"/>
        </w:tabs>
        <w:spacing w:before="36"/>
        <w:ind w:left="716" w:right="0" w:firstLine="0"/>
        <w:jc w:val="left"/>
        <w:rPr>
          <w:rFonts w:ascii="Calibri" w:hAnsi="Calibri"/>
          <w:b/>
          <w:sz w:val="32"/>
        </w:rPr>
      </w:pPr>
      <w:r>
        <w:rPr>
          <w:rFonts w:ascii="Calibri" w:hAnsi="Calibri"/>
          <w:b/>
          <w:color w:val="FFFFFF"/>
          <w:spacing w:val="6"/>
          <w:sz w:val="32"/>
        </w:rPr>
        <w:t>DICIEMBRE</w:t>
      </w:r>
      <w:r>
        <w:rPr>
          <w:rFonts w:ascii="Calibri" w:hAnsi="Calibri"/>
          <w:b/>
          <w:color w:val="FFFFFF"/>
          <w:spacing w:val="22"/>
          <w:sz w:val="32"/>
        </w:rPr>
        <w:t> </w:t>
      </w:r>
      <w:r>
        <w:rPr>
          <w:rFonts w:ascii="Calibri" w:hAnsi="Calibri"/>
          <w:b/>
          <w:color w:val="FFFFFF"/>
          <w:spacing w:val="5"/>
          <w:sz w:val="32"/>
        </w:rPr>
        <w:t>2016</w:t>
        <w:tab/>
      </w:r>
      <w:r>
        <w:rPr>
          <w:rFonts w:ascii="Calibri" w:hAnsi="Calibri"/>
          <w:b/>
          <w:color w:val="FFFFFF"/>
          <w:sz w:val="32"/>
        </w:rPr>
        <w:t>-</w:t>
        <w:tab/>
      </w:r>
      <w:r>
        <w:rPr>
          <w:rFonts w:ascii="Calibri" w:hAnsi="Calibri"/>
          <w:b/>
          <w:color w:val="FFFFFF"/>
          <w:spacing w:val="5"/>
          <w:sz w:val="32"/>
        </w:rPr>
        <w:t>VOLUMEN</w:t>
      </w:r>
      <w:r>
        <w:rPr>
          <w:rFonts w:ascii="Calibri" w:hAnsi="Calibri"/>
          <w:b/>
          <w:color w:val="FFFFFF"/>
          <w:spacing w:val="21"/>
          <w:sz w:val="32"/>
        </w:rPr>
        <w:t> </w:t>
      </w:r>
      <w:r>
        <w:rPr>
          <w:rFonts w:ascii="Calibri" w:hAnsi="Calibri"/>
          <w:b/>
          <w:color w:val="FFFFFF"/>
          <w:sz w:val="32"/>
        </w:rPr>
        <w:t>1</w:t>
        <w:tab/>
        <w:t>-</w:t>
        <w:tab/>
      </w:r>
      <w:r>
        <w:rPr>
          <w:rFonts w:ascii="Calibri" w:hAnsi="Calibri"/>
          <w:b/>
          <w:color w:val="FFFFFF"/>
          <w:spacing w:val="5"/>
          <w:sz w:val="32"/>
        </w:rPr>
        <w:t>NÚMERO</w:t>
      </w:r>
      <w:r>
        <w:rPr>
          <w:rFonts w:ascii="Calibri" w:hAnsi="Calibri"/>
          <w:b/>
          <w:color w:val="FFFFFF"/>
          <w:spacing w:val="20"/>
          <w:sz w:val="32"/>
        </w:rPr>
        <w:t> </w:t>
      </w:r>
      <w:r>
        <w:rPr>
          <w:rFonts w:ascii="Calibri" w:hAnsi="Calibri"/>
          <w:b/>
          <w:color w:val="FFFFFF"/>
          <w:spacing w:val="3"/>
          <w:sz w:val="32"/>
        </w:rPr>
        <w:t>12</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6" o:title=""/>
            </v:shape>
            <v:shape style="position:absolute;left:376;top:1474;width:4740;height:3708" type="#_x0000_t75" stroked="false">
              <v:imagedata r:id="rId17"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8" o:title=""/>
            </v:shape>
            <v:shape style="position:absolute;left:5535;top:31;width:4889;height:5489" type="#_x0000_t75" stroked="false">
              <v:imagedata r:id="rId19" o:title=""/>
            </v:shape>
            <v:shape style="position:absolute;left:5540;top:1478;width:4880;height:3748" type="#_x0000_t75" stroked="false">
              <v:imagedata r:id="rId20"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1"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2" o:title=""/>
            </v:shape>
            <v:shape style="position:absolute;left:4340;top:1729;width:4340;height:764" type="#_x0000_t75" stroked="false">
              <v:imagedata r:id="rId23"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4"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5">
              <w:r>
                <w:rPr>
                  <w:rFonts w:ascii="Calibri"/>
                  <w:sz w:val="22"/>
                </w:rPr>
                <w:t>: revistamedicasinergia@gmail.com</w:t>
              </w:r>
            </w:hyperlink>
          </w:p>
        </w:tc>
        <w:tc>
          <w:tcPr>
            <w:tcW w:w="4590" w:type="dxa"/>
          </w:tcPr>
          <w:p>
            <w:pPr>
              <w:pStyle w:val="TableParagraph"/>
              <w:spacing w:line="259" w:lineRule="auto"/>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ind w:left="394"/>
              <w:rPr>
                <w:rFonts w:ascii="Calibri Light"/>
                <w:b w:val="0"/>
                <w:sz w:val="22"/>
              </w:rPr>
            </w:pPr>
            <w:hyperlink r:id="rId26">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700" w:right="1725" w:firstLine="0"/>
        <w:jc w:val="left"/>
        <w:rPr>
          <w:sz w:val="18"/>
        </w:rPr>
      </w:pPr>
      <w:r>
        <w:rPr/>
        <w:drawing>
          <wp:anchor distT="0" distB="0" distL="0" distR="0" allowOverlap="1" layoutInCell="1" locked="0" behindDoc="1" simplePos="0" relativeHeight="268396463">
            <wp:simplePos x="0" y="0"/>
            <wp:positionH relativeFrom="page">
              <wp:posOffset>3815079</wp:posOffset>
            </wp:positionH>
            <wp:positionV relativeFrom="paragraph">
              <wp:posOffset>-1676883</wp:posOffset>
            </wp:positionV>
            <wp:extent cx="1392433" cy="694944"/>
            <wp:effectExtent l="0" t="0" r="0" b="0"/>
            <wp:wrapNone/>
            <wp:docPr id="1" name="image21.png" descr=""/>
            <wp:cNvGraphicFramePr>
              <a:graphicFrameLocks noChangeAspect="1"/>
            </wp:cNvGraphicFramePr>
            <a:graphic>
              <a:graphicData uri="http://schemas.openxmlformats.org/drawingml/2006/picture">
                <pic:pic>
                  <pic:nvPicPr>
                    <pic:cNvPr id="2" name="image21.png"/>
                    <pic:cNvPicPr/>
                  </pic:nvPicPr>
                  <pic:blipFill>
                    <a:blip r:embed="rId27"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8" o:title=""/>
            </v:shape>
            <v:shape style="position:absolute;left:289;top:213;width:4081;height:366" type="#_x0000_t75" stroked="false">
              <v:imagedata r:id="rId29" o:title=""/>
            </v:shape>
            <v:shape style="position:absolute;left:892;top:856;width:3284;height:976" type="#_x0000_t75" stroked="false">
              <v:imagedata r:id="rId30" o:title=""/>
            </v:shape>
            <v:shape style="position:absolute;left:1164;top:1069;width:2322;height:366" type="#_x0000_t75" stroked="false">
              <v:imagedata r:id="rId31" o:title=""/>
            </v:shape>
            <v:shape style="position:absolute;left:2048;top:1632;width:832;height:976" type="#_x0000_t75" stroked="false">
              <v:imagedata r:id="rId32"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3" name="image27.png" descr=""/>
            <wp:cNvGraphicFramePr>
              <a:graphicFrameLocks noChangeAspect="1"/>
            </wp:cNvGraphicFramePr>
            <a:graphic>
              <a:graphicData uri="http://schemas.openxmlformats.org/drawingml/2006/picture">
                <pic:pic>
                  <pic:nvPicPr>
                    <pic:cNvPr id="4" name="image27.png"/>
                    <pic:cNvPicPr/>
                  </pic:nvPicPr>
                  <pic:blipFill>
                    <a:blip r:embed="rId33"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576" w:right="1574" w:firstLine="0"/>
        <w:jc w:val="center"/>
        <w:rPr>
          <w:sz w:val="18"/>
        </w:rPr>
      </w:pPr>
      <w:r>
        <w:rPr>
          <w:sz w:val="18"/>
          <w:shd w:fill="D2D2D2" w:color="auto" w:val="clear"/>
        </w:rPr>
        <w:t>Publicación Mensua</w:t>
      </w:r>
      <w:r>
        <w:rPr>
          <w:sz w:val="18"/>
        </w:rPr>
        <w:t>l</w:t>
      </w:r>
    </w:p>
    <w:p>
      <w:pPr>
        <w:pStyle w:val="BodyText"/>
        <w:spacing w:before="7"/>
        <w:rPr>
          <w:sz w:val="20"/>
        </w:rPr>
      </w:pPr>
    </w:p>
    <w:p>
      <w:pPr>
        <w:tabs>
          <w:tab w:pos="5557" w:val="left" w:leader="none"/>
          <w:tab w:pos="5909" w:val="left" w:leader="none"/>
        </w:tabs>
        <w:spacing w:line="259" w:lineRule="auto" w:before="0"/>
        <w:ind w:left="4493" w:right="4495" w:firstLine="0"/>
        <w:jc w:val="center"/>
        <w:rPr>
          <w:sz w:val="18"/>
        </w:rPr>
      </w:pPr>
      <w:r>
        <w:rPr>
          <w:sz w:val="18"/>
        </w:rPr>
        <w:t>Fecha de publicación: DICIEMBRE</w:t>
      </w:r>
      <w:r>
        <w:rPr>
          <w:spacing w:val="-12"/>
          <w:sz w:val="18"/>
        </w:rPr>
        <w:t> </w:t>
      </w:r>
      <w:r>
        <w:rPr>
          <w:sz w:val="18"/>
        </w:rPr>
        <w:t>2016 Volumen:1</w:t>
        <w:tab/>
        <w:t>–</w:t>
        <w:tab/>
        <w:t>Numero:12</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493" w:right="4488" w:firstLine="0"/>
        <w:jc w:val="center"/>
        <w:rPr>
          <w:sz w:val="18"/>
        </w:rPr>
      </w:pPr>
      <w:r>
        <w:rPr>
          <w:sz w:val="18"/>
        </w:rPr>
        <w:t>Sabana Sur, San José-Costa Rica Teléfono: 8668002</w:t>
      </w:r>
    </w:p>
    <w:p>
      <w:pPr>
        <w:spacing w:before="13"/>
        <w:ind w:left="1577" w:right="1574" w:firstLine="0"/>
        <w:jc w:val="center"/>
        <w:rPr>
          <w:sz w:val="18"/>
        </w:rPr>
      </w:pPr>
      <w:r>
        <w:rPr>
          <w:sz w:val="18"/>
        </w:rPr>
        <w:t>E-mail: </w:t>
      </w:r>
      <w:hyperlink r:id="rId25">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5" name="image26.png" descr=""/>
            <wp:cNvGraphicFramePr>
              <a:graphicFrameLocks noChangeAspect="1"/>
            </wp:cNvGraphicFramePr>
            <a:graphic>
              <a:graphicData uri="http://schemas.openxmlformats.org/drawingml/2006/picture">
                <pic:pic>
                  <pic:nvPicPr>
                    <pic:cNvPr id="6" name="image26.png"/>
                    <pic:cNvPicPr/>
                  </pic:nvPicPr>
                  <pic:blipFill>
                    <a:blip r:embed="rId32"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pStyle w:val="Heading2"/>
        <w:spacing w:before="236"/>
        <w:ind w:right="1574"/>
        <w:jc w:val="center"/>
      </w:pPr>
      <w:r>
        <w:rPr/>
        <w:pict>
          <v:group style="position:absolute;margin-left:-.25pt;margin-top:-34.736183pt;width:610.65pt;height:81.1pt;mso-position-horizontal-relative:page;mso-position-vertical-relative:paragraph;z-index:-38896" coordorigin="-5,-695" coordsize="12213,1622">
            <v:shape style="position:absolute;left:5860;top:-695;width:832;height:976" type="#_x0000_t75" stroked="false">
              <v:imagedata r:id="rId32" o:title=""/>
            </v:shape>
            <v:shape style="position:absolute;left:-5;top:161;width:12213;height:765" type="#_x0000_t75" stroked="false">
              <v:imagedata r:id="rId36" o:title=""/>
            </v:shape>
            <w10:wrap type="none"/>
          </v:group>
        </w:pict>
      </w:r>
      <w:r>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spacing w:before="1"/>
        <w:ind w:left="1440"/>
      </w:pPr>
      <w:r>
        <w:rPr/>
        <w:t>Nohelia Zeledón Rojas</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34"/>
        </w:rPr>
      </w:pPr>
    </w:p>
    <w:p>
      <w:pPr>
        <w:pStyle w:val="BodyText"/>
        <w:ind w:left="1440"/>
      </w:pPr>
      <w:r>
        <w:rPr/>
        <w:t>Andrés Zamora Volio</w:t>
      </w:r>
    </w:p>
    <w:p>
      <w:pPr>
        <w:pStyle w:val="BodyText"/>
        <w:spacing w:before="126"/>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3"/>
        <w:ind w:left="1440"/>
      </w:pPr>
      <w:r>
        <w:rPr/>
        <w:t>Kenneth Bermúdez Salas</w:t>
      </w:r>
    </w:p>
    <w:p>
      <w:pPr>
        <w:pStyle w:val="BodyText"/>
        <w:spacing w:before="123"/>
        <w:ind w:left="1440"/>
      </w:pPr>
      <w:r>
        <w:rPr/>
        <w:t>Médico General. Universidad de Iberoamérica. San José – Costa Rica</w:t>
      </w:r>
    </w:p>
    <w:p>
      <w:pPr>
        <w:pStyle w:val="BodyText"/>
        <w:rPr>
          <w:sz w:val="24"/>
        </w:rPr>
      </w:pPr>
    </w:p>
    <w:p>
      <w:pPr>
        <w:pStyle w:val="BodyText"/>
        <w:rPr>
          <w:sz w:val="24"/>
        </w:rPr>
      </w:pPr>
    </w:p>
    <w:p>
      <w:pPr>
        <w:pStyle w:val="BodyText"/>
        <w:rPr>
          <w:sz w:val="24"/>
        </w:rPr>
      </w:pPr>
    </w:p>
    <w:p>
      <w:pPr>
        <w:pStyle w:val="BodyText"/>
        <w:rPr>
          <w:sz w:val="26"/>
        </w:rPr>
      </w:pPr>
    </w:p>
    <w:p>
      <w:pPr>
        <w:pStyle w:val="BodyText"/>
        <w:ind w:left="1440"/>
      </w:pPr>
      <w:r>
        <w:rPr/>
        <w:t>Gilbert Chaverri Guillen</w:t>
      </w:r>
    </w:p>
    <w:p>
      <w:pPr>
        <w:pStyle w:val="BodyText"/>
        <w:spacing w:before="126"/>
        <w:ind w:left="1440"/>
      </w:pPr>
      <w:r>
        <w:rPr/>
        <w:t>Médico General. Universidad de Ciencias Médicas. San José –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p>
      <w:pPr>
        <w:spacing w:line="256" w:lineRule="auto" w:before="94"/>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4"/>
          <w:footerReference w:type="default" r:id="rId35"/>
          <w:pgSz w:w="12240" w:h="15840"/>
          <w:pgMar w:footer="872" w:header="0" w:top="1320" w:bottom="1060" w:left="0" w:right="0"/>
          <w:pgNumType w:start="2"/>
        </w:sectPr>
      </w:pPr>
    </w:p>
    <w:p>
      <w:pPr>
        <w:pStyle w:val="BodyText"/>
        <w:rPr>
          <w:sz w:val="20"/>
        </w:rPr>
      </w:pPr>
    </w:p>
    <w:p>
      <w:pPr>
        <w:spacing w:after="0"/>
        <w:rPr>
          <w:sz w:val="20"/>
        </w:rPr>
        <w:sectPr>
          <w:pgSz w:w="12240" w:h="15840"/>
          <w:pgMar w:header="0" w:footer="882" w:top="1500" w:bottom="1080" w:left="0" w:right="0"/>
        </w:sectPr>
      </w:pPr>
    </w:p>
    <w:p>
      <w:pPr>
        <w:pStyle w:val="BodyText"/>
        <w:spacing w:before="10"/>
        <w:rPr>
          <w:sz w:val="16"/>
        </w:rPr>
      </w:pPr>
    </w:p>
    <w:p>
      <w:pPr>
        <w:spacing w:line="390" w:lineRule="atLeast" w:before="0"/>
        <w:ind w:left="1928" w:right="-12" w:hanging="268"/>
        <w:jc w:val="left"/>
        <w:rPr>
          <w:sz w:val="16"/>
        </w:rPr>
      </w:pPr>
      <w:r>
        <w:rPr>
          <w:sz w:val="16"/>
        </w:rPr>
        <w:t>Revista Médica Sinergia ISSN 2215-4523</w:t>
      </w:r>
    </w:p>
    <w:p>
      <w:pPr>
        <w:spacing w:before="15"/>
        <w:ind w:left="2036" w:right="0" w:firstLine="0"/>
        <w:jc w:val="left"/>
        <w:rPr>
          <w:sz w:val="16"/>
        </w:rPr>
      </w:pPr>
      <w:r>
        <w:rPr>
          <w:sz w:val="16"/>
        </w:rPr>
        <w:t>Vol.1 Num:12</w:t>
      </w:r>
    </w:p>
    <w:p>
      <w:pPr>
        <w:spacing w:before="12"/>
        <w:ind w:left="1644" w:right="0" w:firstLine="0"/>
        <w:jc w:val="left"/>
        <w:rPr>
          <w:sz w:val="16"/>
        </w:rPr>
      </w:pPr>
      <w:r>
        <w:rPr>
          <w:sz w:val="16"/>
        </w:rPr>
        <w:t>Diciembre 2016 pp:3- 9</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0"/>
        <w:rPr>
          <w:sz w:val="24"/>
        </w:rPr>
      </w:pPr>
    </w:p>
    <w:p>
      <w:pPr>
        <w:spacing w:line="276" w:lineRule="auto" w:before="0"/>
        <w:ind w:left="1476" w:right="146" w:firstLine="0"/>
        <w:jc w:val="left"/>
        <w:rPr>
          <w:sz w:val="16"/>
        </w:rPr>
      </w:pPr>
      <w:r>
        <w:rPr>
          <w:sz w:val="16"/>
        </w:rPr>
        <w:t>*Médico General. Universidad de Ciencias Médicas (UCIMED). San José - Costa Rica</w:t>
      </w:r>
    </w:p>
    <w:p>
      <w:pPr>
        <w:pStyle w:val="Heading3"/>
        <w:spacing w:before="211"/>
        <w:ind w:right="2467"/>
      </w:pPr>
      <w:r>
        <w:rPr>
          <w:b w:val="0"/>
        </w:rPr>
        <w:br w:type="column"/>
      </w:r>
      <w:r>
        <w:rPr/>
        <w:t>ENFERMEDAD PELVICA INFLAMATORIA</w:t>
      </w:r>
    </w:p>
    <w:p>
      <w:pPr>
        <w:spacing w:before="44"/>
        <w:ind w:left="823" w:right="2395" w:firstLine="0"/>
        <w:jc w:val="center"/>
        <w:rPr>
          <w:sz w:val="20"/>
        </w:rPr>
      </w:pPr>
      <w:r>
        <w:rPr/>
        <w:pict>
          <v:group style="position:absolute;margin-left:73.800003pt;margin-top:-6.450134pt;width:465.45pt;height:380.4pt;mso-position-horizontal-relative:page;mso-position-vertical-relative:paragraph;z-index:-38872" coordorigin="1476,-129" coordsize="9309,7608">
            <v:shape style="position:absolute;left:3570;top:741;width:7215;height:6570" type="#_x0000_t75" stroked="false">
              <v:imagedata r:id="rId37" o:title=""/>
            </v:shape>
            <v:shape style="position:absolute;left:1476;top:-130;width:2088;height:7608" type="#_x0000_t75" stroked="false">
              <v:imagedata r:id="rId38" o:title=""/>
            </v:shape>
            <w10:wrap type="none"/>
          </v:group>
        </w:pict>
      </w:r>
      <w:r>
        <w:rPr>
          <w:sz w:val="20"/>
        </w:rPr>
        <w:t>(PELVIC INFLAMMATORY DISEASE)</w:t>
      </w:r>
    </w:p>
    <w:p>
      <w:pPr>
        <w:pStyle w:val="BodyText"/>
        <w:spacing w:before="70"/>
        <w:ind w:left="4936"/>
      </w:pPr>
      <w:r>
        <w:rPr/>
        <w:t>* Nohelia Zeledón Rojas</w:t>
      </w:r>
    </w:p>
    <w:p>
      <w:pPr>
        <w:pStyle w:val="BodyText"/>
        <w:spacing w:before="4"/>
        <w:rPr>
          <w:sz w:val="19"/>
        </w:rPr>
      </w:pPr>
    </w:p>
    <w:p>
      <w:pPr>
        <w:pStyle w:val="BodyText"/>
        <w:spacing w:line="252" w:lineRule="exact"/>
        <w:ind w:left="287"/>
        <w:jc w:val="both"/>
      </w:pPr>
      <w:r>
        <w:rPr/>
        <w:t>RESUMEN</w:t>
      </w:r>
    </w:p>
    <w:p>
      <w:pPr>
        <w:pStyle w:val="BodyText"/>
        <w:spacing w:line="276" w:lineRule="auto"/>
        <w:ind w:left="287" w:right="1584"/>
        <w:jc w:val="both"/>
      </w:pPr>
      <w:r>
        <w:rPr/>
        <w:t>La enfermedad inflamatoria pélvica es un proceso inflamatorio causado por </w:t>
      </w:r>
      <w:r>
        <w:rPr>
          <w:spacing w:val="-3"/>
        </w:rPr>
        <w:t>la </w:t>
      </w:r>
      <w:r>
        <w:rPr/>
        <w:t>etiología polimicrobiana del tracto genital superior. Con predominio en mujeres jóvenes sexualmente activas, promiscuas, abortos previos, intervenciones quirúrgicas y enfermedades de transmisión sexual. </w:t>
      </w:r>
      <w:r>
        <w:rPr>
          <w:spacing w:val="1"/>
        </w:rPr>
        <w:t>El </w:t>
      </w:r>
      <w:r>
        <w:rPr/>
        <w:t>diagnóstico es clínico y debe sospecharse en pacientes en riesgo con dolor abdominal bajo o dolor pélvico de etiología</w:t>
      </w:r>
      <w:r>
        <w:rPr>
          <w:spacing w:val="-1"/>
        </w:rPr>
        <w:t> </w:t>
      </w:r>
      <w:r>
        <w:rPr/>
        <w:t>desconocida.</w:t>
      </w:r>
    </w:p>
    <w:p>
      <w:pPr>
        <w:pStyle w:val="BodyText"/>
        <w:spacing w:before="7"/>
        <w:rPr>
          <w:sz w:val="25"/>
        </w:rPr>
      </w:pPr>
    </w:p>
    <w:p>
      <w:pPr>
        <w:pStyle w:val="BodyText"/>
        <w:ind w:left="287"/>
      </w:pPr>
      <w:r>
        <w:rPr/>
        <w:t>DESCRIPTORES</w:t>
      </w:r>
    </w:p>
    <w:p>
      <w:pPr>
        <w:pStyle w:val="BodyText"/>
        <w:spacing w:before="35"/>
        <w:ind w:left="287"/>
      </w:pPr>
      <w:r>
        <w:rPr/>
        <w:t>Patología ginecológica, enfermedad pélvica inflamatoria, infecciones.</w:t>
      </w:r>
    </w:p>
    <w:p>
      <w:pPr>
        <w:pStyle w:val="BodyText"/>
        <w:spacing w:before="8"/>
        <w:rPr>
          <w:sz w:val="28"/>
        </w:rPr>
      </w:pPr>
    </w:p>
    <w:p>
      <w:pPr>
        <w:pStyle w:val="BodyText"/>
        <w:spacing w:before="1"/>
        <w:ind w:left="287"/>
      </w:pPr>
      <w:r>
        <w:rPr/>
        <w:t>SUMMARY:</w:t>
      </w:r>
    </w:p>
    <w:p>
      <w:pPr>
        <w:pStyle w:val="BodyText"/>
        <w:spacing w:line="276" w:lineRule="auto" w:before="39"/>
        <w:ind w:left="287" w:right="1588"/>
        <w:jc w:val="both"/>
      </w:pPr>
      <w:r>
        <w:rPr/>
        <w:t>Pelvic inflammatory disease </w:t>
      </w:r>
      <w:r>
        <w:rPr>
          <w:spacing w:val="-3"/>
        </w:rPr>
        <w:t>is </w:t>
      </w:r>
      <w:r>
        <w:rPr/>
        <w:t>an inflammatory process caused by polymicrobial etiology of the upper genital tract. With predominance </w:t>
      </w:r>
      <w:r>
        <w:rPr>
          <w:spacing w:val="-3"/>
        </w:rPr>
        <w:t>in </w:t>
      </w:r>
      <w:r>
        <w:rPr/>
        <w:t>young women sexually active, promiscuous, previous abortions, surgical interventions and sexually transmitted diseases. </w:t>
      </w:r>
      <w:r>
        <w:rPr>
          <w:spacing w:val="-5"/>
        </w:rPr>
        <w:t>The  </w:t>
      </w:r>
      <w:r>
        <w:rPr/>
        <w:t>diagnosis </w:t>
      </w:r>
      <w:r>
        <w:rPr>
          <w:spacing w:val="-3"/>
        </w:rPr>
        <w:t>is </w:t>
      </w:r>
      <w:r>
        <w:rPr/>
        <w:t>clinical and should be suspected </w:t>
      </w:r>
      <w:r>
        <w:rPr>
          <w:spacing w:val="-3"/>
        </w:rPr>
        <w:t>in at-risk </w:t>
      </w:r>
      <w:r>
        <w:rPr/>
        <w:t>patients who have lower abdominal pain or pelvic pain of unknown</w:t>
      </w:r>
      <w:r>
        <w:rPr>
          <w:spacing w:val="-17"/>
        </w:rPr>
        <w:t> </w:t>
      </w:r>
      <w:r>
        <w:rPr/>
        <w:t>etiology.</w:t>
      </w:r>
    </w:p>
    <w:p>
      <w:pPr>
        <w:pStyle w:val="BodyText"/>
        <w:spacing w:before="6"/>
        <w:rPr>
          <w:sz w:val="25"/>
        </w:rPr>
      </w:pPr>
    </w:p>
    <w:p>
      <w:pPr>
        <w:pStyle w:val="BodyText"/>
        <w:ind w:left="287"/>
        <w:jc w:val="both"/>
      </w:pPr>
      <w:r>
        <w:rPr/>
        <w:t>KEYWORDS</w:t>
      </w:r>
    </w:p>
    <w:p>
      <w:pPr>
        <w:pStyle w:val="BodyText"/>
        <w:spacing w:before="34"/>
        <w:ind w:left="287"/>
        <w:jc w:val="both"/>
      </w:pPr>
      <w:r>
        <w:rPr/>
        <w:t>Gynecological pathology, pelvic inflammatory disease, infections</w:t>
      </w:r>
    </w:p>
    <w:p>
      <w:pPr>
        <w:spacing w:after="0"/>
        <w:jc w:val="both"/>
        <w:sectPr>
          <w:type w:val="continuous"/>
          <w:pgSz w:w="12240" w:h="15840"/>
          <w:pgMar w:top="1500" w:bottom="0" w:left="0" w:right="0"/>
          <w:cols w:num="2" w:equalWidth="0">
            <w:col w:w="3394" w:space="40"/>
            <w:col w:w="8806"/>
          </w:cols>
        </w:sectPr>
      </w:pPr>
    </w:p>
    <w:p>
      <w:pPr>
        <w:pStyle w:val="BodyText"/>
        <w:rPr>
          <w:sz w:val="20"/>
        </w:rPr>
      </w:pPr>
    </w:p>
    <w:p>
      <w:pPr>
        <w:pStyle w:val="BodyText"/>
        <w:spacing w:before="8"/>
        <w:rPr>
          <w:sz w:val="19"/>
        </w:rPr>
      </w:pPr>
    </w:p>
    <w:p>
      <w:pPr>
        <w:spacing w:after="0"/>
        <w:rPr>
          <w:sz w:val="19"/>
        </w:rPr>
        <w:sectPr>
          <w:type w:val="continuous"/>
          <w:pgSz w:w="12240" w:h="15840"/>
          <w:pgMar w:top="1500" w:bottom="0" w:left="0" w:right="0"/>
        </w:sectPr>
      </w:pPr>
    </w:p>
    <w:p>
      <w:pPr>
        <w:pStyle w:val="Heading4"/>
        <w:spacing w:before="93"/>
      </w:pPr>
      <w:r>
        <w:rPr/>
        <w:t>INTRODUCCION</w:t>
      </w:r>
    </w:p>
    <w:p>
      <w:pPr>
        <w:pStyle w:val="BodyText"/>
        <w:spacing w:before="1"/>
        <w:rPr>
          <w:b/>
          <w:sz w:val="28"/>
        </w:rPr>
      </w:pPr>
    </w:p>
    <w:p>
      <w:pPr>
        <w:pStyle w:val="BodyText"/>
        <w:spacing w:line="276" w:lineRule="auto"/>
        <w:ind w:left="1440"/>
        <w:jc w:val="both"/>
      </w:pPr>
      <w:r>
        <w:rPr/>
        <w:t>La enfermedad inflamatoria pélvica (EIP) es un proceso inflamatorio localizado en tracto genital superior causado por </w:t>
      </w:r>
      <w:r>
        <w:rPr>
          <w:spacing w:val="-3"/>
        </w:rPr>
        <w:t>la  </w:t>
      </w:r>
      <w:r>
        <w:rPr/>
        <w:t>migración de microorganismos patógenos. La inflamación comprende útero, trompas de Falopio, ovarios y estructuras vecinas como el tejido celular pélvico y el peritoneo. Patología relacionada principalmente con mujeres jóvenes promiscuas que iniciaron su vida sexual a edades tempranas o con antecedentes de algún procedimiento invasivo a nivel</w:t>
      </w:r>
      <w:r>
        <w:rPr>
          <w:spacing w:val="-11"/>
        </w:rPr>
        <w:t> </w:t>
      </w:r>
      <w:r>
        <w:rPr/>
        <w:t>pélvico.</w:t>
      </w:r>
    </w:p>
    <w:p>
      <w:pPr>
        <w:pStyle w:val="BodyText"/>
        <w:spacing w:before="5"/>
        <w:rPr>
          <w:sz w:val="26"/>
        </w:rPr>
      </w:pPr>
      <w:r>
        <w:rPr/>
        <w:br w:type="column"/>
      </w:r>
      <w:r>
        <w:rPr>
          <w:sz w:val="26"/>
        </w:rPr>
      </w:r>
    </w:p>
    <w:p>
      <w:pPr>
        <w:pStyle w:val="Heading4"/>
        <w:spacing w:before="1"/>
        <w:ind w:left="680"/>
      </w:pPr>
      <w:r>
        <w:rPr/>
        <w:t>FACTORES DE RIESGO</w:t>
      </w:r>
    </w:p>
    <w:p>
      <w:pPr>
        <w:pStyle w:val="BodyText"/>
        <w:spacing w:before="5"/>
        <w:rPr>
          <w:b/>
          <w:sz w:val="28"/>
        </w:rPr>
      </w:pPr>
    </w:p>
    <w:p>
      <w:pPr>
        <w:pStyle w:val="BodyText"/>
        <w:tabs>
          <w:tab w:pos="2522" w:val="left" w:leader="none"/>
          <w:tab w:pos="4436" w:val="left" w:leader="none"/>
        </w:tabs>
        <w:spacing w:line="276" w:lineRule="auto"/>
        <w:ind w:left="680" w:right="1431"/>
        <w:jc w:val="both"/>
      </w:pPr>
      <w:r>
        <w:rPr/>
        <w:t>Los factores clínicos asociados con el ascenso de patógenos a el tracto reproductor femenino incluyen: el coito, bacteriospermia, sangrado menstrual prolongado, procedimientos quirúrgicos de diagnóstico o tratamiento que alteren </w:t>
      </w:r>
      <w:r>
        <w:rPr>
          <w:spacing w:val="-3"/>
        </w:rPr>
        <w:t>la </w:t>
      </w:r>
      <w:r>
        <w:rPr/>
        <w:t>barrera cervical normal (legrados, dispositivos</w:t>
        <w:tab/>
        <w:t>intrauterinos</w:t>
        <w:tab/>
        <w:t>[DIU], histerosalpingrafía), duchas vaginales, vaginosis y el no uso de anticonceptivos hormonales.</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headerReference w:type="even" r:id="rId39"/>
          <w:headerReference w:type="default" r:id="rId40"/>
          <w:pgSz w:w="12240" w:h="15840"/>
          <w:pgMar w:header="723" w:footer="872" w:top="940" w:bottom="1060" w:left="0" w:right="0"/>
        </w:sectPr>
      </w:pPr>
    </w:p>
    <w:p>
      <w:pPr>
        <w:pStyle w:val="BodyText"/>
        <w:spacing w:before="8"/>
      </w:pPr>
    </w:p>
    <w:p>
      <w:pPr>
        <w:pStyle w:val="BodyText"/>
        <w:spacing w:line="276" w:lineRule="auto"/>
        <w:ind w:left="1440"/>
        <w:jc w:val="both"/>
      </w:pPr>
      <w:r>
        <w:rPr/>
        <w:t>EL riesgo de infecciones primarias por colocación de DIU se limita principalmente a los primeros 20 días, en estos días el riesgo es seis veces mayor al que se obtiene con el uso prolongado. Estas infecciones son polimicrobinas derivadas de </w:t>
      </w:r>
      <w:r>
        <w:rPr>
          <w:spacing w:val="-3"/>
        </w:rPr>
        <w:t>la </w:t>
      </w:r>
      <w:r>
        <w:rPr/>
        <w:t>microflora cervicovaginal endógena y de predominio anaerobio; las infecciones que se presentan de 3 a 4 meses posteriores a </w:t>
      </w:r>
      <w:r>
        <w:rPr>
          <w:spacing w:val="-3"/>
        </w:rPr>
        <w:t>la </w:t>
      </w:r>
      <w:r>
        <w:rPr/>
        <w:t>colocación son debidas a ETS, no al antecedente de colocación del</w:t>
      </w:r>
      <w:r>
        <w:rPr>
          <w:spacing w:val="-9"/>
        </w:rPr>
        <w:t> </w:t>
      </w:r>
      <w:r>
        <w:rPr/>
        <w:t>DUI.</w:t>
      </w:r>
    </w:p>
    <w:p>
      <w:pPr>
        <w:pStyle w:val="BodyText"/>
        <w:spacing w:line="276" w:lineRule="auto" w:before="162"/>
        <w:ind w:left="1440" w:right="1"/>
        <w:jc w:val="both"/>
      </w:pPr>
      <w:r>
        <w:rPr/>
        <w:t>El riesgo de EPI no aumente con el uso prolongado ni siquiera en mujeres con diabetes mellitus insulinodependiente e infectadas por el virus de inmunodeficiencia humana (HIV). El uso de antibiótico profiláctico (doxiciclina 200 mg o la azitromicina 500mg administrados vía oral) una hora previa a la inserción confiere protección contra EPI en mujeres con escaso riesgo de ETS.</w:t>
      </w:r>
    </w:p>
    <w:p>
      <w:pPr>
        <w:pStyle w:val="BodyText"/>
        <w:spacing w:line="276" w:lineRule="auto" w:before="158"/>
        <w:ind w:left="1440" w:right="3"/>
        <w:jc w:val="both"/>
      </w:pPr>
      <w:r>
        <w:rPr/>
        <w:t>Se ha demostrado in vitro que el cobre inhibe el crecimiento de Clamidias en las células del endometrio asociándose así a títulos más bajos de anticuerpos frente a este patógeno y el DUI que libera progesterona aumenta el moco cervical, teniendo así una menor tasa de infecciones pélvicas las mujeres con DUI que la población en general, creando así una protección contra la EPI sin indiferenciar significativamente el DUI de cobre con el DUI que contiene progesterona.</w:t>
      </w:r>
    </w:p>
    <w:p>
      <w:pPr>
        <w:pStyle w:val="BodyText"/>
        <w:spacing w:line="276" w:lineRule="auto" w:before="162"/>
        <w:ind w:left="1440" w:right="3"/>
        <w:jc w:val="both"/>
      </w:pPr>
      <w:r>
        <w:rPr/>
        <w:t>Los métodos de planificación hormonales aumentan </w:t>
      </w:r>
      <w:r>
        <w:rPr>
          <w:spacing w:val="-3"/>
        </w:rPr>
        <w:t>la </w:t>
      </w:r>
      <w:r>
        <w:rPr/>
        <w:t>barrera de moco cervical. Con el uso de anticonceptivos orales el riesgo de hospitalización por EPI disminuye un 50 a 60% con el uso de este método por al menos 12 meses, se desconoce el mecanismo preciso de dicha protección pero se han propuesto las siguientes posibilidades: espesamiento de moco cervical y menor sangrado</w:t>
      </w:r>
      <w:r>
        <w:rPr>
          <w:spacing w:val="-18"/>
        </w:rPr>
        <w:t> </w:t>
      </w:r>
      <w:r>
        <w:rPr/>
        <w:t>menstrual.</w:t>
      </w:r>
    </w:p>
    <w:p>
      <w:pPr>
        <w:pStyle w:val="BodyText"/>
        <w:spacing w:before="8"/>
      </w:pPr>
      <w:r>
        <w:rPr/>
        <w:br w:type="column"/>
      </w:r>
      <w:r>
        <w:rPr/>
      </w:r>
    </w:p>
    <w:p>
      <w:pPr>
        <w:pStyle w:val="BodyText"/>
        <w:spacing w:line="276" w:lineRule="auto"/>
        <w:ind w:left="675" w:right="1435"/>
        <w:jc w:val="both"/>
      </w:pPr>
      <w:r>
        <w:rPr/>
        <w:t>El tamizaje de ETS diagnosticando y el tratando a la paciente y su pareja disminuyen el riesgo de EPI, la pareja requiere tratamiento si han tenido contacto sexual en los 60 días previos al inicio de los síntomas y si el último contacto sexual fue con más de 60 días previos al inicio de síntomas o al diagnóstico se debe de dar tratamiento a la última pareja sexual. Se aconseja abstinencia hasta el momento en el que se finalice el tratamiento y no presenten síntomas.</w:t>
      </w:r>
    </w:p>
    <w:p>
      <w:pPr>
        <w:pStyle w:val="Heading4"/>
        <w:spacing w:before="159"/>
        <w:ind w:left="675"/>
        <w:jc w:val="both"/>
      </w:pPr>
      <w:r>
        <w:rPr/>
        <w:t>ETIOLOGÍA</w:t>
      </w:r>
    </w:p>
    <w:p>
      <w:pPr>
        <w:pStyle w:val="BodyText"/>
        <w:spacing w:line="276" w:lineRule="auto" w:before="202"/>
        <w:ind w:left="675" w:right="1437"/>
        <w:jc w:val="both"/>
      </w:pPr>
      <w:r>
        <w:rPr/>
        <w:t>La etiología de los patógenos cambia de acuerdo a la ubicación geográfica, pero en los países desarrollados la gonorrea es la responsable de producir alrededor del 25% de las infecciones, y clamidia 15 al 30%.</w:t>
      </w:r>
    </w:p>
    <w:p>
      <w:pPr>
        <w:pStyle w:val="BodyText"/>
        <w:spacing w:line="276" w:lineRule="auto" w:before="162"/>
        <w:ind w:left="675" w:right="1437"/>
        <w:jc w:val="both"/>
      </w:pPr>
      <w:r>
        <w:rPr/>
        <w:t>Las pacientes femeninas que presentan clamidia tienen un cuadro clínico más indolente, donde el mayor daño en las trompas es secundario a la respuesta inmune a el patógeno.</w:t>
      </w:r>
    </w:p>
    <w:p>
      <w:pPr>
        <w:pStyle w:val="BodyText"/>
        <w:tabs>
          <w:tab w:pos="2601" w:val="left" w:leader="none"/>
          <w:tab w:pos="4308" w:val="left" w:leader="none"/>
        </w:tabs>
        <w:spacing w:line="276" w:lineRule="auto" w:before="158"/>
        <w:ind w:left="675" w:right="1433"/>
        <w:jc w:val="both"/>
      </w:pPr>
      <w:r>
        <w:rPr/>
        <w:t>En algunos casos están involucrados microorganismos de trasmisión sexual, como son N.gonorrhoeae y C.trachomatis que se aíslan en más del 50 % de los casos. En algunos otros casos los microorganismos que comprenden </w:t>
      </w:r>
      <w:r>
        <w:rPr>
          <w:spacing w:val="-3"/>
        </w:rPr>
        <w:t>la </w:t>
      </w:r>
      <w:r>
        <w:rPr/>
        <w:t>flora vaginal se ven involucrados en infecciones polimicrobianas (anaerobios, G. vaginalis, Haemophilus</w:t>
        <w:tab/>
        <w:t>influenzae,</w:t>
        <w:tab/>
        <w:t>bacilos gramnegativos entéricos y streptococcus agalactiae). Y aislados con menor frecuencia, citomegalovirus, Mycoplasma hominis, Ureoplasma urealyticum y Mycoplasma</w:t>
      </w:r>
      <w:r>
        <w:rPr>
          <w:spacing w:val="-1"/>
        </w:rPr>
        <w:t> </w:t>
      </w:r>
      <w:r>
        <w:rPr/>
        <w:t>genitalium.</w:t>
      </w:r>
    </w:p>
    <w:p>
      <w:pPr>
        <w:pStyle w:val="BodyText"/>
        <w:spacing w:line="276" w:lineRule="auto" w:before="162"/>
        <w:ind w:left="675" w:right="1436"/>
        <w:jc w:val="both"/>
      </w:pPr>
      <w:r>
        <w:rPr/>
        <w:t>El Mycoplasma genitalium es un microorganismo de trasmisión sexual que genera EPI y que actualmente se ha aislado en un 15 al 20 % de las mujeres jóvenes;</w:t>
      </w:r>
    </w:p>
    <w:p>
      <w:pPr>
        <w:spacing w:after="0" w:line="276" w:lineRule="auto"/>
        <w:jc w:val="both"/>
        <w:sectPr>
          <w:type w:val="continuous"/>
          <w:pgSz w:w="12240" w:h="15840"/>
          <w:pgMar w:top="1500" w:bottom="0" w:left="0" w:right="0"/>
          <w:cols w:num="2" w:equalWidth="0">
            <w:col w:w="5767" w:space="40"/>
            <w:col w:w="6433"/>
          </w:cols>
        </w:sectPr>
      </w:pPr>
    </w:p>
    <w:p>
      <w:pPr>
        <w:pStyle w:val="BodyText"/>
        <w:rPr>
          <w:sz w:val="20"/>
        </w:rPr>
      </w:pPr>
    </w:p>
    <w:p>
      <w:pPr>
        <w:spacing w:after="0"/>
        <w:rPr>
          <w:sz w:val="20"/>
        </w:rPr>
        <w:sectPr>
          <w:pgSz w:w="12240" w:h="15840"/>
          <w:pgMar w:header="723" w:footer="882" w:top="920" w:bottom="1080" w:left="0" w:right="0"/>
        </w:sectPr>
      </w:pPr>
    </w:p>
    <w:p>
      <w:pPr>
        <w:pStyle w:val="BodyText"/>
        <w:spacing w:before="9"/>
        <w:rPr>
          <w:sz w:val="23"/>
        </w:rPr>
      </w:pPr>
    </w:p>
    <w:p>
      <w:pPr>
        <w:pStyle w:val="BodyText"/>
        <w:spacing w:line="276" w:lineRule="auto"/>
        <w:ind w:left="1440" w:right="1"/>
        <w:jc w:val="both"/>
      </w:pPr>
      <w:r>
        <w:rPr/>
        <w:t>identificado por primera vez en </w:t>
      </w:r>
      <w:r>
        <w:rPr>
          <w:spacing w:val="-3"/>
        </w:rPr>
        <w:t>la </w:t>
      </w:r>
      <w:r>
        <w:rPr/>
        <w:t>década  de 1980 siendo difícil de cultivar, pero para </w:t>
      </w:r>
      <w:r>
        <w:rPr>
          <w:spacing w:val="-3"/>
        </w:rPr>
        <w:t>la </w:t>
      </w:r>
      <w:r>
        <w:rPr/>
        <w:t>época de 1990 se realizaron estudios a través del uso de </w:t>
      </w:r>
      <w:r>
        <w:rPr>
          <w:spacing w:val="-3"/>
        </w:rPr>
        <w:t>la </w:t>
      </w:r>
      <w:r>
        <w:rPr/>
        <w:t>reacción de cadena de polimerasa (PCR) donde se ha venido evidenciado </w:t>
      </w:r>
      <w:r>
        <w:rPr>
          <w:spacing w:val="-3"/>
        </w:rPr>
        <w:t>la </w:t>
      </w:r>
      <w:r>
        <w:rPr/>
        <w:t>gran similitud a </w:t>
      </w:r>
      <w:r>
        <w:rPr>
          <w:spacing w:val="-3"/>
        </w:rPr>
        <w:t>la </w:t>
      </w:r>
      <w:r>
        <w:rPr/>
        <w:t>C.trachomatis, pero a pesar de su similutud este microorganismo es resistente a doxiciclina, cefoxitina y a algunas quinolonas incluyendo ciprofloxacina, siendo sensible a macrolidos y moxifloxacina.</w:t>
      </w:r>
    </w:p>
    <w:p>
      <w:pPr>
        <w:pStyle w:val="BodyText"/>
        <w:spacing w:line="276" w:lineRule="auto" w:before="162"/>
        <w:ind w:left="1440"/>
        <w:jc w:val="both"/>
      </w:pPr>
      <w:r>
        <w:rPr/>
        <w:t>Por el papel potencial </w:t>
      </w:r>
      <w:r>
        <w:rPr>
          <w:spacing w:val="1"/>
        </w:rPr>
        <w:t>de </w:t>
      </w:r>
      <w:r>
        <w:rPr/>
        <w:t>M.genitalium en EPI no debe de subestimarse y es necesario tomarlo en cuenta al momento de </w:t>
      </w:r>
      <w:r>
        <w:rPr>
          <w:spacing w:val="-3"/>
        </w:rPr>
        <w:t>la </w:t>
      </w:r>
      <w:r>
        <w:rPr/>
        <w:t>elección de terapia antibiótica. El tipo y el número de patógenos varían según el estadio de </w:t>
      </w:r>
      <w:r>
        <w:rPr>
          <w:spacing w:val="-3"/>
        </w:rPr>
        <w:t>la </w:t>
      </w:r>
      <w:r>
        <w:rPr/>
        <w:t>enfermedad, entre más avanzada este esta aparecen bacterias anaerobias.</w:t>
      </w:r>
    </w:p>
    <w:p>
      <w:pPr>
        <w:pStyle w:val="BodyText"/>
        <w:spacing w:line="276" w:lineRule="auto" w:before="162"/>
        <w:ind w:left="1440"/>
        <w:jc w:val="both"/>
      </w:pPr>
      <w:r>
        <w:rPr/>
        <w:t>Toda paciente con EPI debe de ser tamizada por enfermedades de trasmisión sexual. Las mujeres con infección pélvica a menudo también tienen vaginosis bacteriana, por </w:t>
      </w:r>
      <w:r>
        <w:rPr>
          <w:spacing w:val="-3"/>
        </w:rPr>
        <w:t>lo </w:t>
      </w:r>
      <w:r>
        <w:rPr/>
        <w:t>que es importante saber que esta patología es </w:t>
      </w:r>
      <w:r>
        <w:rPr>
          <w:spacing w:val="-3"/>
        </w:rPr>
        <w:t>la </w:t>
      </w:r>
      <w:r>
        <w:rPr/>
        <w:t>infección vaginal más prevalente aunque </w:t>
      </w:r>
      <w:r>
        <w:rPr>
          <w:spacing w:val="-3"/>
        </w:rPr>
        <w:t>la </w:t>
      </w:r>
      <w:r>
        <w:rPr/>
        <w:t>mitad de las mujeres no presentan síntomas, se presenta perdida de flora bacteriana provocando un aumento del PH vaginal (mayor a 4.5), infección polimicrobiana con secreción vaginal blanca homogéneas con olor a pescado, bajo el microscopio en preparación en fresco se observan células en</w:t>
      </w:r>
      <w:r>
        <w:rPr>
          <w:spacing w:val="-1"/>
        </w:rPr>
        <w:t> </w:t>
      </w:r>
      <w:r>
        <w:rPr/>
        <w:t>clave.</w:t>
      </w:r>
    </w:p>
    <w:p>
      <w:pPr>
        <w:pStyle w:val="BodyText"/>
        <w:spacing w:line="276" w:lineRule="auto" w:before="162"/>
        <w:ind w:left="1440"/>
        <w:jc w:val="both"/>
      </w:pPr>
      <w:r>
        <w:rPr/>
        <w:t>Los procedimientos quirúrgicos de diagnóstico y terapia pélvica que alteran </w:t>
      </w:r>
      <w:r>
        <w:rPr>
          <w:spacing w:val="-3"/>
        </w:rPr>
        <w:t>la </w:t>
      </w:r>
      <w:r>
        <w:rPr/>
        <w:t>barrera moco -cervical generando el 12% de las EPI; y el 1% posterior a un procedimiento del tracto intestinal como por ejemplo una apendicetomía debido a infección por</w:t>
      </w:r>
      <w:r>
        <w:rPr>
          <w:spacing w:val="-4"/>
        </w:rPr>
        <w:t> </w:t>
      </w:r>
      <w:r>
        <w:rPr/>
        <w:t>continuidad.</w:t>
      </w:r>
    </w:p>
    <w:p>
      <w:pPr>
        <w:pStyle w:val="BodyText"/>
        <w:spacing w:before="6"/>
        <w:rPr>
          <w:sz w:val="23"/>
        </w:rPr>
      </w:pPr>
      <w:r>
        <w:rPr/>
        <w:br w:type="column"/>
      </w:r>
      <w:r>
        <w:rPr>
          <w:sz w:val="23"/>
        </w:rPr>
      </w:r>
    </w:p>
    <w:p>
      <w:pPr>
        <w:pStyle w:val="Heading4"/>
        <w:ind w:left="738"/>
        <w:jc w:val="both"/>
      </w:pPr>
      <w:r>
        <w:rPr/>
        <w:t>FISIOPATOLOGÍA</w:t>
      </w:r>
    </w:p>
    <w:p>
      <w:pPr>
        <w:pStyle w:val="BodyText"/>
        <w:spacing w:line="276" w:lineRule="auto" w:before="202"/>
        <w:ind w:left="678" w:right="1438"/>
        <w:jc w:val="both"/>
      </w:pPr>
      <w:r>
        <w:rPr/>
        <w:t>Los microorganismos que están implicados en PID se extienden de tres maneras:</w:t>
      </w:r>
    </w:p>
    <w:p>
      <w:pPr>
        <w:pStyle w:val="ListParagraph"/>
        <w:numPr>
          <w:ilvl w:val="0"/>
          <w:numId w:val="4"/>
        </w:numPr>
        <w:tabs>
          <w:tab w:pos="1400" w:val="left" w:leader="none"/>
        </w:tabs>
        <w:spacing w:line="273" w:lineRule="auto" w:before="163" w:after="0"/>
        <w:ind w:left="1399" w:right="1434" w:hanging="361"/>
        <w:jc w:val="both"/>
        <w:rPr>
          <w:sz w:val="22"/>
        </w:rPr>
      </w:pPr>
      <w:r>
        <w:rPr>
          <w:sz w:val="22"/>
        </w:rPr>
        <w:t>Intra-abdominal, viajando desde el cuello uterino al endometrio y a sus anexos.</w:t>
      </w:r>
    </w:p>
    <w:p>
      <w:pPr>
        <w:pStyle w:val="ListParagraph"/>
        <w:numPr>
          <w:ilvl w:val="0"/>
          <w:numId w:val="4"/>
        </w:numPr>
        <w:tabs>
          <w:tab w:pos="1399" w:val="left" w:leader="none"/>
          <w:tab w:pos="1400" w:val="left" w:leader="none"/>
        </w:tabs>
        <w:spacing w:line="240" w:lineRule="auto" w:before="5" w:after="0"/>
        <w:ind w:left="1399" w:right="0" w:hanging="361"/>
        <w:jc w:val="left"/>
        <w:rPr>
          <w:sz w:val="22"/>
        </w:rPr>
      </w:pPr>
      <w:r>
        <w:rPr>
          <w:sz w:val="22"/>
        </w:rPr>
        <w:t>A través de los sistemas</w:t>
      </w:r>
      <w:r>
        <w:rPr>
          <w:spacing w:val="-3"/>
          <w:sz w:val="22"/>
        </w:rPr>
        <w:t> </w:t>
      </w:r>
      <w:r>
        <w:rPr>
          <w:sz w:val="22"/>
        </w:rPr>
        <w:t>linfáticos.</w:t>
      </w:r>
    </w:p>
    <w:p>
      <w:pPr>
        <w:pStyle w:val="ListParagraph"/>
        <w:numPr>
          <w:ilvl w:val="0"/>
          <w:numId w:val="4"/>
        </w:numPr>
        <w:tabs>
          <w:tab w:pos="1399" w:val="left" w:leader="none"/>
          <w:tab w:pos="1400" w:val="left" w:leader="none"/>
        </w:tabs>
        <w:spacing w:line="240" w:lineRule="auto" w:before="34" w:after="0"/>
        <w:ind w:left="1399" w:right="0" w:hanging="361"/>
        <w:jc w:val="left"/>
        <w:rPr>
          <w:sz w:val="22"/>
        </w:rPr>
      </w:pPr>
      <w:r>
        <w:rPr>
          <w:sz w:val="22"/>
        </w:rPr>
        <w:t>A través de rutas</w:t>
      </w:r>
      <w:r>
        <w:rPr>
          <w:spacing w:val="-2"/>
          <w:sz w:val="22"/>
        </w:rPr>
        <w:t> </w:t>
      </w:r>
      <w:r>
        <w:rPr>
          <w:sz w:val="22"/>
        </w:rPr>
        <w:t>hematógenas.</w:t>
      </w:r>
    </w:p>
    <w:p>
      <w:pPr>
        <w:pStyle w:val="BodyText"/>
        <w:spacing w:line="276" w:lineRule="auto" w:before="197"/>
        <w:ind w:left="678" w:right="1436"/>
        <w:jc w:val="both"/>
      </w:pPr>
      <w:r>
        <w:rPr/>
        <w:t>El cuello uterino junto con el moco cervical conforman una barrera protectora contra infecciones; cuando esta barrera se ve altera se produce un ingreso de patógenos a el endometrio </w:t>
      </w:r>
      <w:r>
        <w:rPr>
          <w:spacing w:val="-3"/>
        </w:rPr>
        <w:t>lo </w:t>
      </w:r>
      <w:r>
        <w:rPr/>
        <w:t>cual dependiendo de </w:t>
      </w:r>
      <w:r>
        <w:rPr>
          <w:spacing w:val="-3"/>
        </w:rPr>
        <w:t>la </w:t>
      </w:r>
      <w:r>
        <w:rPr/>
        <w:t>inmunidad intrínseca de </w:t>
      </w:r>
      <w:r>
        <w:rPr>
          <w:spacing w:val="-3"/>
        </w:rPr>
        <w:t>la </w:t>
      </w:r>
      <w:r>
        <w:rPr/>
        <w:t>paciente y su estado nutricional puede determinar </w:t>
      </w:r>
      <w:r>
        <w:rPr>
          <w:spacing w:val="-3"/>
        </w:rPr>
        <w:t>la </w:t>
      </w:r>
      <w:r>
        <w:rPr/>
        <w:t>agresión del</w:t>
      </w:r>
      <w:r>
        <w:rPr>
          <w:spacing w:val="-7"/>
        </w:rPr>
        <w:t> </w:t>
      </w:r>
      <w:r>
        <w:rPr/>
        <w:t>patógeno.</w:t>
      </w:r>
    </w:p>
    <w:p>
      <w:pPr>
        <w:pStyle w:val="BodyText"/>
        <w:spacing w:line="276" w:lineRule="auto" w:before="158"/>
        <w:ind w:left="678" w:right="1436"/>
        <w:jc w:val="both"/>
      </w:pPr>
      <w:r>
        <w:rPr/>
        <w:t>La EPI en su mayoría se presenta al producirse una trasmisión ascendente de microorganismo proveniente el tracto genital inferior a través del cuello del útero para producir una endometritis, antes de producir en las trompas de Falopio una salpingitis; siendo este el proceso más frecuente.</w:t>
      </w:r>
    </w:p>
    <w:p>
      <w:pPr>
        <w:pStyle w:val="BodyText"/>
        <w:spacing w:line="276" w:lineRule="auto" w:before="158"/>
        <w:ind w:left="678" w:right="1437"/>
        <w:jc w:val="both"/>
      </w:pPr>
      <w:r>
        <w:rPr/>
        <w:t>Exceptuando </w:t>
      </w:r>
      <w:r>
        <w:rPr>
          <w:spacing w:val="-3"/>
        </w:rPr>
        <w:t>la </w:t>
      </w:r>
      <w:r>
        <w:rPr/>
        <w:t>infección por tuberculosis que se produce a través de  vía hematógena y linfática. Chlamydia trachomatis y Neisseria gonorrhoeae son los dos patógenos más estrechamente relacionados con </w:t>
      </w:r>
      <w:r>
        <w:rPr>
          <w:spacing w:val="-3"/>
        </w:rPr>
        <w:t>la </w:t>
      </w:r>
      <w:r>
        <w:rPr/>
        <w:t>infección y </w:t>
      </w:r>
      <w:r>
        <w:rPr>
          <w:spacing w:val="1"/>
        </w:rPr>
        <w:t>el</w:t>
      </w:r>
      <w:r>
        <w:rPr>
          <w:spacing w:val="-9"/>
        </w:rPr>
        <w:t> </w:t>
      </w:r>
      <w:r>
        <w:rPr/>
        <w:t>edema.</w:t>
      </w:r>
    </w:p>
    <w:p>
      <w:pPr>
        <w:pStyle w:val="Heading4"/>
        <w:spacing w:before="160"/>
        <w:ind w:left="678"/>
        <w:jc w:val="both"/>
      </w:pPr>
      <w:r>
        <w:rPr/>
        <w:t>MANIFESTACIONES CLINICAS</w:t>
      </w:r>
    </w:p>
    <w:p>
      <w:pPr>
        <w:pStyle w:val="BodyText"/>
        <w:spacing w:line="273" w:lineRule="auto" w:before="202"/>
        <w:ind w:left="678" w:right="1438"/>
        <w:jc w:val="both"/>
        <w:rPr>
          <w:i/>
        </w:rPr>
      </w:pPr>
      <w:r>
        <w:rPr/>
        <w:t>Enfermedad que presenta clínica variable, puede cursar de forma asintomática o presentar los siguientes </w:t>
      </w:r>
      <w:r>
        <w:rPr>
          <w:i/>
        </w:rPr>
        <w:t>síntomas:</w:t>
      </w:r>
    </w:p>
    <w:p>
      <w:pPr>
        <w:pStyle w:val="ListParagraph"/>
        <w:numPr>
          <w:ilvl w:val="0"/>
          <w:numId w:val="5"/>
        </w:numPr>
        <w:tabs>
          <w:tab w:pos="1400" w:val="left" w:leader="none"/>
        </w:tabs>
        <w:spacing w:line="278" w:lineRule="auto" w:before="168" w:after="0"/>
        <w:ind w:left="1399" w:right="1437" w:hanging="361"/>
        <w:jc w:val="both"/>
        <w:rPr>
          <w:sz w:val="22"/>
        </w:rPr>
      </w:pPr>
      <w:r>
        <w:rPr>
          <w:sz w:val="22"/>
        </w:rPr>
        <w:t>Dolor abdominal bajo (siendo este  el síntoma más frecuente [95%], incluye dolor anexial y</w:t>
      </w:r>
      <w:r>
        <w:rPr>
          <w:spacing w:val="-14"/>
          <w:sz w:val="22"/>
        </w:rPr>
        <w:t> </w:t>
      </w:r>
      <w:r>
        <w:rPr>
          <w:sz w:val="22"/>
        </w:rPr>
        <w:t>dispareunia)</w:t>
      </w:r>
    </w:p>
    <w:p>
      <w:pPr>
        <w:pStyle w:val="ListParagraph"/>
        <w:numPr>
          <w:ilvl w:val="0"/>
          <w:numId w:val="5"/>
        </w:numPr>
        <w:tabs>
          <w:tab w:pos="1400" w:val="left" w:leader="none"/>
        </w:tabs>
        <w:spacing w:line="276" w:lineRule="auto" w:before="0" w:after="0"/>
        <w:ind w:left="1399" w:right="1436" w:hanging="361"/>
        <w:jc w:val="both"/>
        <w:rPr>
          <w:sz w:val="22"/>
        </w:rPr>
      </w:pPr>
      <w:r>
        <w:rPr>
          <w:sz w:val="22"/>
        </w:rPr>
        <w:t>Flujo vaginal que aumenta en cantidad y presenta</w:t>
      </w:r>
      <w:r>
        <w:rPr>
          <w:spacing w:val="-10"/>
          <w:sz w:val="22"/>
        </w:rPr>
        <w:t> </w:t>
      </w:r>
      <w:r>
        <w:rPr>
          <w:sz w:val="22"/>
        </w:rPr>
        <w:t>características</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ind w:left="2148"/>
      </w:pPr>
      <w:r>
        <w:rPr/>
        <w:t>de anormalidad (74 %).</w:t>
      </w:r>
    </w:p>
    <w:p>
      <w:pPr>
        <w:pStyle w:val="ListParagraph"/>
        <w:numPr>
          <w:ilvl w:val="0"/>
          <w:numId w:val="5"/>
        </w:numPr>
        <w:tabs>
          <w:tab w:pos="2161" w:val="left" w:leader="none"/>
        </w:tabs>
        <w:spacing w:line="240" w:lineRule="auto" w:before="178" w:after="0"/>
        <w:ind w:left="2160" w:right="0" w:hanging="360"/>
        <w:jc w:val="left"/>
        <w:rPr>
          <w:sz w:val="22"/>
        </w:rPr>
      </w:pPr>
      <w:r>
        <w:rPr>
          <w:sz w:val="22"/>
        </w:rPr>
        <w:t>Sangrado uterino anormal (45</w:t>
      </w:r>
      <w:r>
        <w:rPr>
          <w:spacing w:val="-13"/>
          <w:sz w:val="22"/>
        </w:rPr>
        <w:t> </w:t>
      </w:r>
      <w:r>
        <w:rPr>
          <w:sz w:val="22"/>
        </w:rPr>
        <w:t>%)</w:t>
      </w:r>
    </w:p>
    <w:p>
      <w:pPr>
        <w:pStyle w:val="ListParagraph"/>
        <w:numPr>
          <w:ilvl w:val="0"/>
          <w:numId w:val="5"/>
        </w:numPr>
        <w:tabs>
          <w:tab w:pos="2161" w:val="left" w:leader="none"/>
        </w:tabs>
        <w:spacing w:line="240" w:lineRule="auto" w:before="22" w:after="0"/>
        <w:ind w:left="2160" w:right="0" w:hanging="360"/>
        <w:jc w:val="left"/>
        <w:rPr>
          <w:sz w:val="22"/>
        </w:rPr>
      </w:pPr>
      <w:r>
        <w:rPr>
          <w:sz w:val="22"/>
        </w:rPr>
        <w:t>Síntomas urinarios (35</w:t>
      </w:r>
      <w:r>
        <w:rPr>
          <w:spacing w:val="-3"/>
          <w:sz w:val="22"/>
        </w:rPr>
        <w:t> </w:t>
      </w:r>
      <w:r>
        <w:rPr>
          <w:sz w:val="22"/>
        </w:rPr>
        <w:t>%)</w:t>
      </w:r>
    </w:p>
    <w:p>
      <w:pPr>
        <w:pStyle w:val="ListParagraph"/>
        <w:numPr>
          <w:ilvl w:val="0"/>
          <w:numId w:val="5"/>
        </w:numPr>
        <w:tabs>
          <w:tab w:pos="2161" w:val="left" w:leader="none"/>
        </w:tabs>
        <w:spacing w:line="240" w:lineRule="auto" w:before="18" w:after="0"/>
        <w:ind w:left="2160" w:right="0" w:hanging="360"/>
        <w:jc w:val="left"/>
        <w:rPr>
          <w:sz w:val="22"/>
        </w:rPr>
      </w:pPr>
      <w:r>
        <w:rPr>
          <w:sz w:val="22"/>
        </w:rPr>
        <w:t>Vómitos (14</w:t>
      </w:r>
      <w:r>
        <w:rPr>
          <w:spacing w:val="-1"/>
          <w:sz w:val="22"/>
        </w:rPr>
        <w:t> </w:t>
      </w:r>
      <w:r>
        <w:rPr>
          <w:sz w:val="22"/>
        </w:rPr>
        <w:t>%).</w:t>
      </w:r>
    </w:p>
    <w:p>
      <w:pPr>
        <w:spacing w:before="175"/>
        <w:ind w:left="1440" w:right="0" w:firstLine="0"/>
        <w:jc w:val="both"/>
        <w:rPr>
          <w:i/>
          <w:sz w:val="22"/>
        </w:rPr>
      </w:pPr>
      <w:r>
        <w:rPr>
          <w:i/>
          <w:sz w:val="22"/>
        </w:rPr>
        <w:t>Signos:</w:t>
      </w:r>
    </w:p>
    <w:p>
      <w:pPr>
        <w:pStyle w:val="ListParagraph"/>
        <w:numPr>
          <w:ilvl w:val="0"/>
          <w:numId w:val="6"/>
        </w:numPr>
        <w:tabs>
          <w:tab w:pos="2161" w:val="left" w:leader="none"/>
        </w:tabs>
        <w:spacing w:line="259" w:lineRule="auto" w:before="183" w:after="0"/>
        <w:ind w:left="2160" w:right="3" w:hanging="360"/>
        <w:jc w:val="both"/>
        <w:rPr>
          <w:sz w:val="22"/>
        </w:rPr>
      </w:pPr>
      <w:r>
        <w:rPr>
          <w:sz w:val="22"/>
        </w:rPr>
        <w:t>Dolor a </w:t>
      </w:r>
      <w:r>
        <w:rPr>
          <w:spacing w:val="-3"/>
          <w:sz w:val="22"/>
        </w:rPr>
        <w:t>la </w:t>
      </w:r>
      <w:r>
        <w:rPr>
          <w:sz w:val="22"/>
        </w:rPr>
        <w:t>movilización del cuello y dolor anexial en </w:t>
      </w:r>
      <w:r>
        <w:rPr>
          <w:spacing w:val="-3"/>
          <w:sz w:val="22"/>
        </w:rPr>
        <w:t>la </w:t>
      </w:r>
      <w:r>
        <w:rPr>
          <w:sz w:val="22"/>
        </w:rPr>
        <w:t>exploración vaginal bimanual (99</w:t>
      </w:r>
      <w:r>
        <w:rPr>
          <w:spacing w:val="-12"/>
          <w:sz w:val="22"/>
        </w:rPr>
        <w:t> </w:t>
      </w:r>
      <w:r>
        <w:rPr>
          <w:sz w:val="22"/>
        </w:rPr>
        <w:t>%).</w:t>
      </w:r>
    </w:p>
    <w:p>
      <w:pPr>
        <w:pStyle w:val="ListParagraph"/>
        <w:numPr>
          <w:ilvl w:val="0"/>
          <w:numId w:val="6"/>
        </w:numPr>
        <w:tabs>
          <w:tab w:pos="2161" w:val="left" w:leader="none"/>
        </w:tabs>
        <w:spacing w:line="259" w:lineRule="auto" w:before="0" w:after="0"/>
        <w:ind w:left="2160" w:right="0" w:hanging="360"/>
        <w:jc w:val="both"/>
        <w:rPr>
          <w:sz w:val="22"/>
        </w:rPr>
      </w:pPr>
      <w:r>
        <w:rPr>
          <w:sz w:val="22"/>
        </w:rPr>
        <w:t>En </w:t>
      </w:r>
      <w:r>
        <w:rPr>
          <w:spacing w:val="-3"/>
          <w:sz w:val="22"/>
        </w:rPr>
        <w:t>la </w:t>
      </w:r>
      <w:r>
        <w:rPr>
          <w:sz w:val="22"/>
        </w:rPr>
        <w:t>especuloscopia se visualiza cervicitis y descarga endocervical purulenta (74</w:t>
      </w:r>
      <w:r>
        <w:rPr>
          <w:spacing w:val="-1"/>
          <w:sz w:val="22"/>
        </w:rPr>
        <w:t> </w:t>
      </w:r>
      <w:r>
        <w:rPr>
          <w:sz w:val="22"/>
        </w:rPr>
        <w:t>%).</w:t>
      </w:r>
    </w:p>
    <w:p>
      <w:pPr>
        <w:pStyle w:val="BodyText"/>
        <w:spacing w:line="259" w:lineRule="auto" w:before="160"/>
        <w:ind w:left="1440" w:right="2"/>
        <w:jc w:val="both"/>
      </w:pPr>
      <w:r>
        <w:rPr/>
        <w:t>Fiebre que es poco común en </w:t>
      </w:r>
      <w:r>
        <w:rPr>
          <w:spacing w:val="-3"/>
        </w:rPr>
        <w:t>la </w:t>
      </w:r>
      <w:r>
        <w:rPr/>
        <w:t>enfermedad leve a moderada pero con mayor presencia en </w:t>
      </w:r>
      <w:r>
        <w:rPr>
          <w:spacing w:val="-3"/>
        </w:rPr>
        <w:t>la </w:t>
      </w:r>
      <w:r>
        <w:rPr/>
        <w:t>enfermedad grave, masa pélvica: que puede sugerir absceso tuboovárico y Peritonitis. No se documenta un signo patognomónico sin embargo se describe una triada de </w:t>
      </w:r>
      <w:r>
        <w:rPr>
          <w:spacing w:val="-3"/>
        </w:rPr>
        <w:t>la </w:t>
      </w:r>
      <w:r>
        <w:rPr/>
        <w:t>enfermedad que consiste en dolor pélvico, fiebre y leucocitosis.</w:t>
      </w:r>
    </w:p>
    <w:p>
      <w:pPr>
        <w:pStyle w:val="Heading4"/>
        <w:spacing w:before="156"/>
      </w:pPr>
      <w:r>
        <w:rPr/>
        <w:t>DIAGNOSTICO</w:t>
      </w:r>
    </w:p>
    <w:p>
      <w:pPr>
        <w:pStyle w:val="BodyText"/>
        <w:spacing w:line="276" w:lineRule="auto" w:before="202"/>
        <w:ind w:left="1440" w:right="3"/>
        <w:jc w:val="both"/>
      </w:pPr>
      <w:r>
        <w:rPr/>
        <w:t>Según pautas de Centers for Disease control and Prevention (CDC) , el diagnóstico de PID se base en uno de los tres criterios menores a </w:t>
      </w:r>
      <w:r>
        <w:rPr>
          <w:spacing w:val="-3"/>
        </w:rPr>
        <w:t>la </w:t>
      </w:r>
      <w:r>
        <w:rPr/>
        <w:t>exploración pélvica; y se recomienda </w:t>
      </w:r>
      <w:r>
        <w:rPr>
          <w:spacing w:val="-3"/>
        </w:rPr>
        <w:t>iniciar </w:t>
      </w:r>
      <w:r>
        <w:rPr/>
        <w:t>el tratamiento empírico en mujeres sexualmente activas en riesgo de infecciones pélvicas que se presentan con alguno de los tres síntomas menores sin una explicación etiológica de los</w:t>
      </w:r>
      <w:r>
        <w:rPr>
          <w:spacing w:val="-4"/>
        </w:rPr>
        <w:t> </w:t>
      </w:r>
      <w:r>
        <w:rPr/>
        <w:t>mismos.</w:t>
      </w:r>
    </w:p>
    <w:p>
      <w:pPr>
        <w:pStyle w:val="BodyText"/>
        <w:spacing w:line="276" w:lineRule="auto" w:before="161"/>
        <w:ind w:left="1440" w:right="1"/>
        <w:jc w:val="both"/>
      </w:pPr>
      <w:r>
        <w:rPr/>
        <w:t>Técnicas de imágenes como ecografía transvaginal, resonancia magnética, estudios doppler, son muy específicos para esta patología, se describe que en casos no complicados estos estudios podrían no demostrar ningún hallazgo anormal. La laparoscopia al ser un procedimiento invasivo podría obtener un diagnostico bacteriológico más preciso y de la enfermedad, no es de gran importancia en</w:t>
      </w:r>
    </w:p>
    <w:p>
      <w:pPr>
        <w:pStyle w:val="BodyText"/>
        <w:spacing w:before="8"/>
      </w:pPr>
      <w:r>
        <w:rPr/>
        <w:br w:type="column"/>
      </w:r>
      <w:r>
        <w:rPr/>
      </w:r>
    </w:p>
    <w:p>
      <w:pPr>
        <w:pStyle w:val="BodyText"/>
        <w:spacing w:line="276" w:lineRule="auto"/>
        <w:ind w:left="677" w:right="1433"/>
        <w:jc w:val="both"/>
      </w:pPr>
      <w:r>
        <w:rPr/>
        <w:t>enfermedad leve, ya que no logra demostrar endometritis </w:t>
      </w:r>
      <w:r>
        <w:rPr>
          <w:spacing w:val="1"/>
        </w:rPr>
        <w:t>ni </w:t>
      </w:r>
      <w:r>
        <w:rPr/>
        <w:t>salpingitis en estadios tempranos o patología no complicada; a pesar de eso sigue siendo una auxiliar en los diagnósticos</w:t>
      </w:r>
      <w:r>
        <w:rPr>
          <w:spacing w:val="-7"/>
        </w:rPr>
        <w:t> </w:t>
      </w:r>
      <w:r>
        <w:rPr/>
        <w:t>difíciles.</w:t>
      </w:r>
    </w:p>
    <w:p>
      <w:pPr>
        <w:pStyle w:val="BodyText"/>
        <w:spacing w:before="3"/>
        <w:rPr>
          <w:sz w:val="14"/>
        </w:rPr>
      </w:pPr>
    </w:p>
    <w:tbl>
      <w:tblPr>
        <w:tblW w:w="0" w:type="auto"/>
        <w:jc w:val="left"/>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2"/>
      </w:tblGrid>
      <w:tr>
        <w:trPr>
          <w:trHeight w:val="1241" w:hRule="atLeast"/>
        </w:trPr>
        <w:tc>
          <w:tcPr>
            <w:tcW w:w="4322" w:type="dxa"/>
          </w:tcPr>
          <w:p>
            <w:pPr>
              <w:pStyle w:val="TableParagraph"/>
              <w:spacing w:line="276" w:lineRule="auto"/>
              <w:ind w:left="71" w:right="61"/>
              <w:jc w:val="both"/>
              <w:rPr>
                <w:i/>
                <w:sz w:val="20"/>
              </w:rPr>
            </w:pPr>
            <w:r>
              <w:rPr>
                <w:sz w:val="22"/>
              </w:rPr>
              <w:t>Tabla 31-1. </w:t>
            </w:r>
            <w:r>
              <w:rPr>
                <w:i/>
                <w:sz w:val="20"/>
              </w:rPr>
              <w:t>Criterios diagnósticos de </w:t>
            </w:r>
            <w:r>
              <w:rPr>
                <w:i/>
                <w:sz w:val="20"/>
              </w:rPr>
              <w:t>enfermedad pélvica inflamatoria en base al centro para el control y prevención de enfermedades CDC.</w:t>
            </w:r>
          </w:p>
        </w:tc>
      </w:tr>
      <w:tr>
        <w:trPr>
          <w:trHeight w:val="1822" w:hRule="atLeast"/>
        </w:trPr>
        <w:tc>
          <w:tcPr>
            <w:tcW w:w="4322" w:type="dxa"/>
          </w:tcPr>
          <w:p>
            <w:pPr>
              <w:pStyle w:val="TableParagraph"/>
              <w:spacing w:line="250" w:lineRule="exact"/>
              <w:ind w:left="71"/>
              <w:rPr>
                <w:i/>
                <w:sz w:val="22"/>
              </w:rPr>
            </w:pPr>
            <w:r>
              <w:rPr>
                <w:i/>
                <w:sz w:val="22"/>
              </w:rPr>
              <w:t>Criterios diagnósticos mínimos:</w:t>
            </w:r>
          </w:p>
          <w:p>
            <w:pPr>
              <w:pStyle w:val="TableParagraph"/>
              <w:numPr>
                <w:ilvl w:val="0"/>
                <w:numId w:val="7"/>
              </w:numPr>
              <w:tabs>
                <w:tab w:pos="851" w:val="left" w:leader="none"/>
                <w:tab w:pos="852" w:val="left" w:leader="none"/>
              </w:tabs>
              <w:spacing w:line="240" w:lineRule="auto" w:before="200" w:after="0"/>
              <w:ind w:left="851" w:right="0" w:hanging="360"/>
              <w:jc w:val="left"/>
              <w:rPr>
                <w:sz w:val="22"/>
              </w:rPr>
            </w:pPr>
            <w:r>
              <w:rPr>
                <w:sz w:val="22"/>
              </w:rPr>
              <w:t>Sensibilidad</w:t>
            </w:r>
            <w:r>
              <w:rPr>
                <w:spacing w:val="-12"/>
                <w:sz w:val="22"/>
              </w:rPr>
              <w:t> </w:t>
            </w:r>
            <w:r>
              <w:rPr>
                <w:sz w:val="22"/>
              </w:rPr>
              <w:t>uterina</w:t>
            </w:r>
          </w:p>
          <w:p>
            <w:pPr>
              <w:pStyle w:val="TableParagraph"/>
              <w:numPr>
                <w:ilvl w:val="0"/>
                <w:numId w:val="7"/>
              </w:numPr>
              <w:tabs>
                <w:tab w:pos="851" w:val="left" w:leader="none"/>
                <w:tab w:pos="852" w:val="left" w:leader="none"/>
              </w:tabs>
              <w:spacing w:line="240" w:lineRule="auto" w:before="38" w:after="0"/>
              <w:ind w:left="851" w:right="0" w:hanging="360"/>
              <w:jc w:val="left"/>
              <w:rPr>
                <w:sz w:val="22"/>
              </w:rPr>
            </w:pPr>
            <w:r>
              <w:rPr>
                <w:sz w:val="22"/>
              </w:rPr>
              <w:t>Sensibilidad</w:t>
            </w:r>
            <w:r>
              <w:rPr>
                <w:spacing w:val="-9"/>
                <w:sz w:val="22"/>
              </w:rPr>
              <w:t> </w:t>
            </w:r>
            <w:r>
              <w:rPr>
                <w:sz w:val="22"/>
              </w:rPr>
              <w:t>anexial</w:t>
            </w:r>
          </w:p>
          <w:p>
            <w:pPr>
              <w:pStyle w:val="TableParagraph"/>
              <w:numPr>
                <w:ilvl w:val="0"/>
                <w:numId w:val="7"/>
              </w:numPr>
              <w:tabs>
                <w:tab w:pos="851" w:val="left" w:leader="none"/>
                <w:tab w:pos="852" w:val="left" w:leader="none"/>
              </w:tabs>
              <w:spacing w:line="273" w:lineRule="auto" w:before="34" w:after="0"/>
              <w:ind w:left="851" w:right="854" w:hanging="360"/>
              <w:jc w:val="left"/>
              <w:rPr>
                <w:sz w:val="22"/>
              </w:rPr>
            </w:pPr>
            <w:r>
              <w:rPr>
                <w:sz w:val="22"/>
              </w:rPr>
              <w:t>Sensibilidad </w:t>
            </w:r>
            <w:r>
              <w:rPr>
                <w:spacing w:val="1"/>
                <w:sz w:val="22"/>
              </w:rPr>
              <w:t>al</w:t>
            </w:r>
            <w:r>
              <w:rPr>
                <w:spacing w:val="-14"/>
                <w:sz w:val="22"/>
              </w:rPr>
              <w:t> </w:t>
            </w:r>
            <w:r>
              <w:rPr>
                <w:sz w:val="22"/>
              </w:rPr>
              <w:t>movimiento cervical.</w:t>
            </w:r>
          </w:p>
        </w:tc>
      </w:tr>
      <w:tr>
        <w:trPr>
          <w:trHeight w:val="3578" w:hRule="atLeast"/>
        </w:trPr>
        <w:tc>
          <w:tcPr>
            <w:tcW w:w="4322" w:type="dxa"/>
          </w:tcPr>
          <w:p>
            <w:pPr>
              <w:pStyle w:val="TableParagraph"/>
              <w:spacing w:line="246" w:lineRule="exact"/>
              <w:ind w:left="71"/>
              <w:rPr>
                <w:sz w:val="22"/>
              </w:rPr>
            </w:pPr>
            <w:r>
              <w:rPr>
                <w:i/>
                <w:sz w:val="22"/>
              </w:rPr>
              <w:t>Hallazgos Clínicos de apoyo</w:t>
            </w:r>
            <w:r>
              <w:rPr>
                <w:sz w:val="22"/>
              </w:rPr>
              <w:t>:</w:t>
            </w:r>
          </w:p>
          <w:p>
            <w:pPr>
              <w:pStyle w:val="TableParagraph"/>
              <w:numPr>
                <w:ilvl w:val="0"/>
                <w:numId w:val="8"/>
              </w:numPr>
              <w:tabs>
                <w:tab w:pos="791" w:val="left" w:leader="none"/>
                <w:tab w:pos="792" w:val="left" w:leader="none"/>
              </w:tabs>
              <w:spacing w:line="240" w:lineRule="auto" w:before="204" w:after="0"/>
              <w:ind w:left="791" w:right="0" w:hanging="360"/>
              <w:jc w:val="left"/>
              <w:rPr>
                <w:sz w:val="22"/>
              </w:rPr>
            </w:pPr>
            <w:r>
              <w:rPr>
                <w:sz w:val="22"/>
              </w:rPr>
              <w:t>Fiebre (&gt; 38,3 °</w:t>
            </w:r>
            <w:r>
              <w:rPr>
                <w:spacing w:val="-5"/>
                <w:sz w:val="22"/>
              </w:rPr>
              <w:t> </w:t>
            </w:r>
            <w:r>
              <w:rPr>
                <w:sz w:val="22"/>
              </w:rPr>
              <w:t>C)</w:t>
            </w:r>
          </w:p>
          <w:p>
            <w:pPr>
              <w:pStyle w:val="TableParagraph"/>
              <w:numPr>
                <w:ilvl w:val="0"/>
                <w:numId w:val="8"/>
              </w:numPr>
              <w:tabs>
                <w:tab w:pos="791" w:val="left" w:leader="none"/>
                <w:tab w:pos="792" w:val="left" w:leader="none"/>
              </w:tabs>
              <w:spacing w:line="273" w:lineRule="auto" w:before="34" w:after="0"/>
              <w:ind w:left="791" w:right="57" w:hanging="360"/>
              <w:jc w:val="left"/>
              <w:rPr>
                <w:sz w:val="22"/>
              </w:rPr>
            </w:pPr>
            <w:r>
              <w:rPr>
                <w:sz w:val="22"/>
              </w:rPr>
              <w:t>Secreción mucopurulenta cervical o vaginal</w:t>
            </w:r>
            <w:r>
              <w:rPr>
                <w:spacing w:val="-10"/>
                <w:sz w:val="22"/>
              </w:rPr>
              <w:t> </w:t>
            </w:r>
            <w:r>
              <w:rPr>
                <w:sz w:val="22"/>
              </w:rPr>
              <w:t>anormal</w:t>
            </w:r>
          </w:p>
          <w:p>
            <w:pPr>
              <w:pStyle w:val="TableParagraph"/>
              <w:numPr>
                <w:ilvl w:val="0"/>
                <w:numId w:val="8"/>
              </w:numPr>
              <w:tabs>
                <w:tab w:pos="791" w:val="left" w:leader="none"/>
                <w:tab w:pos="792" w:val="left" w:leader="none"/>
              </w:tabs>
              <w:spacing w:line="273" w:lineRule="auto" w:before="1" w:after="0"/>
              <w:ind w:left="791" w:right="526" w:hanging="360"/>
              <w:jc w:val="left"/>
              <w:rPr>
                <w:sz w:val="22"/>
              </w:rPr>
            </w:pPr>
            <w:r>
              <w:rPr>
                <w:sz w:val="22"/>
              </w:rPr>
              <w:t>Glóbulos blancos en </w:t>
            </w:r>
            <w:r>
              <w:rPr>
                <w:spacing w:val="-3"/>
                <w:sz w:val="22"/>
              </w:rPr>
              <w:t>la </w:t>
            </w:r>
            <w:r>
              <w:rPr>
                <w:sz w:val="22"/>
              </w:rPr>
              <w:t>microscopía de solución</w:t>
            </w:r>
            <w:r>
              <w:rPr>
                <w:spacing w:val="-16"/>
                <w:sz w:val="22"/>
              </w:rPr>
              <w:t> </w:t>
            </w:r>
            <w:r>
              <w:rPr>
                <w:sz w:val="22"/>
              </w:rPr>
              <w:t>salina</w:t>
            </w:r>
          </w:p>
          <w:p>
            <w:pPr>
              <w:pStyle w:val="TableParagraph"/>
              <w:numPr>
                <w:ilvl w:val="0"/>
                <w:numId w:val="8"/>
              </w:numPr>
              <w:tabs>
                <w:tab w:pos="791" w:val="left" w:leader="none"/>
                <w:tab w:pos="792" w:val="left" w:leader="none"/>
              </w:tabs>
              <w:spacing w:line="273" w:lineRule="auto" w:before="5" w:after="0"/>
              <w:ind w:left="791" w:right="118" w:hanging="360"/>
              <w:jc w:val="left"/>
              <w:rPr>
                <w:sz w:val="22"/>
              </w:rPr>
            </w:pPr>
            <w:r>
              <w:rPr>
                <w:sz w:val="22"/>
              </w:rPr>
              <w:t>Velocidad de sedimentación elevada y / o </w:t>
            </w:r>
            <w:r>
              <w:rPr>
                <w:spacing w:val="-3"/>
                <w:sz w:val="22"/>
              </w:rPr>
              <w:t>la </w:t>
            </w:r>
            <w:r>
              <w:rPr>
                <w:sz w:val="22"/>
              </w:rPr>
              <w:t>proteína C reactiva positividad conocida por gonococo (Neisseria gonorrhoeae) y C. trachomatis</w:t>
            </w:r>
          </w:p>
        </w:tc>
      </w:tr>
      <w:tr>
        <w:trPr>
          <w:trHeight w:val="869" w:hRule="atLeast"/>
        </w:trPr>
        <w:tc>
          <w:tcPr>
            <w:tcW w:w="4322" w:type="dxa"/>
          </w:tcPr>
          <w:p>
            <w:pPr>
              <w:pStyle w:val="TableParagraph"/>
              <w:spacing w:line="276" w:lineRule="auto"/>
              <w:ind w:left="71" w:right="59"/>
              <w:jc w:val="both"/>
              <w:rPr>
                <w:sz w:val="18"/>
              </w:rPr>
            </w:pPr>
            <w:r>
              <w:rPr>
                <w:sz w:val="18"/>
              </w:rPr>
              <w:t>Trent Maria, MD, MPH. (2013, april 4). Pelvic inflammatory disease. Pediatrics in Review Vol.34 No.4. 163-172.</w:t>
            </w:r>
          </w:p>
        </w:tc>
      </w:tr>
    </w:tbl>
    <w:p>
      <w:pPr>
        <w:pStyle w:val="BodyText"/>
        <w:rPr>
          <w:sz w:val="24"/>
        </w:rPr>
      </w:pPr>
    </w:p>
    <w:p>
      <w:pPr>
        <w:pStyle w:val="BodyText"/>
        <w:spacing w:before="4"/>
        <w:rPr>
          <w:sz w:val="25"/>
        </w:rPr>
      </w:pPr>
    </w:p>
    <w:p>
      <w:pPr>
        <w:pStyle w:val="Heading4"/>
        <w:ind w:left="677"/>
      </w:pPr>
      <w:r>
        <w:rPr/>
        <w:t>COMPLICACIONES</w:t>
      </w:r>
    </w:p>
    <w:p>
      <w:pPr>
        <w:pStyle w:val="BodyText"/>
        <w:spacing w:before="10"/>
        <w:rPr>
          <w:b/>
          <w:sz w:val="24"/>
        </w:rPr>
      </w:pPr>
    </w:p>
    <w:p>
      <w:pPr>
        <w:pStyle w:val="BodyText"/>
        <w:spacing w:line="276" w:lineRule="auto"/>
        <w:ind w:left="677" w:right="1434"/>
        <w:jc w:val="both"/>
      </w:pPr>
      <w:r>
        <w:rPr/>
        <w:t>Alrededor del 75% de estas pacientes son nulíparas </w:t>
      </w:r>
      <w:r>
        <w:rPr>
          <w:spacing w:val="-3"/>
        </w:rPr>
        <w:t>lo </w:t>
      </w:r>
      <w:r>
        <w:rPr/>
        <w:t>que maximiza </w:t>
      </w:r>
      <w:r>
        <w:rPr>
          <w:spacing w:val="-3"/>
        </w:rPr>
        <w:t>la  </w:t>
      </w:r>
      <w:r>
        <w:rPr/>
        <w:t>importancia del diagnóstico temprano para así evitar posibles secuelas como son </w:t>
      </w:r>
      <w:r>
        <w:rPr>
          <w:spacing w:val="-3"/>
        </w:rPr>
        <w:t>la </w:t>
      </w:r>
      <w:r>
        <w:rPr/>
        <w:t>infertilidad, aumento en </w:t>
      </w:r>
      <w:r>
        <w:rPr>
          <w:spacing w:val="-3"/>
        </w:rPr>
        <w:t>la </w:t>
      </w:r>
      <w:r>
        <w:rPr/>
        <w:t>incidencia de embarazos extrauterinos, dolor pélvico crónico, síndrome de FitzHught-Curtis y mortalidad en el peor de los casos. La  literatura reporta que aproximadamente el 10</w:t>
      </w:r>
      <w:r>
        <w:rPr>
          <w:spacing w:val="10"/>
        </w:rPr>
        <w:t> </w:t>
      </w:r>
      <w:r>
        <w:rPr/>
        <w:t>a 20%</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6" w:lineRule="auto"/>
        <w:ind w:left="1440"/>
        <w:jc w:val="both"/>
      </w:pPr>
      <w:r>
        <w:rPr/>
        <w:t>de las mujeres con infecciones por clamidia o gonorrea pueden desarrollar EPI y </w:t>
      </w:r>
      <w:r>
        <w:rPr>
          <w:spacing w:val="1"/>
        </w:rPr>
        <w:t>si </w:t>
      </w:r>
      <w:r>
        <w:rPr/>
        <w:t>no son tratadas adecuadamente un 20% desarrollan infertilidad por </w:t>
      </w:r>
      <w:r>
        <w:rPr>
          <w:spacing w:val="-3"/>
        </w:rPr>
        <w:t>la </w:t>
      </w:r>
      <w:r>
        <w:rPr/>
        <w:t>cicatrización de las trompas, un 9% presentaran un embarazo ectópico, y un 18% desarrollaran dolor pélvico crónica. Siendo esta patología responsable del 30- 40% de los casos de infertilidad.</w:t>
      </w:r>
    </w:p>
    <w:p>
      <w:pPr>
        <w:pStyle w:val="BodyText"/>
        <w:spacing w:before="5"/>
        <w:rPr>
          <w:sz w:val="24"/>
        </w:rPr>
      </w:pPr>
    </w:p>
    <w:p>
      <w:pPr>
        <w:pStyle w:val="BodyText"/>
        <w:spacing w:line="276" w:lineRule="auto"/>
        <w:ind w:left="1440" w:right="1"/>
        <w:jc w:val="both"/>
      </w:pPr>
      <w:r>
        <w:rPr/>
        <w:t>La infertilidad se presenta en aproximadamente un 12% tras un episodio de EPI, el 23% tras un segundo episodio y un 54% en el tercer episodio, siendo esta patología una verdadera amenaza para la reproducción. Eventos clínicos finales como mezcla de anaerobios y bacterias facultativas causando abscesos y peritonitis pélvica.</w:t>
      </w:r>
    </w:p>
    <w:p>
      <w:pPr>
        <w:pStyle w:val="BodyText"/>
        <w:spacing w:before="10"/>
        <w:rPr>
          <w:sz w:val="23"/>
        </w:rPr>
      </w:pPr>
    </w:p>
    <w:p>
      <w:pPr>
        <w:pStyle w:val="Heading4"/>
        <w:spacing w:before="1"/>
      </w:pPr>
      <w:r>
        <w:rPr/>
        <w:pict>
          <v:shape style="position:absolute;margin-left:66.425003pt;margin-top:28.305857pt;width:223.7pt;height:242.85pt;mso-position-horizontal-relative:page;mso-position-vertical-relative:paragraph;z-index:13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1"/>
                  </w:tblGrid>
                  <w:tr>
                    <w:trPr>
                      <w:trHeight w:val="557" w:hRule="atLeast"/>
                    </w:trPr>
                    <w:tc>
                      <w:tcPr>
                        <w:tcW w:w="4461" w:type="dxa"/>
                      </w:tcPr>
                      <w:p>
                        <w:pPr>
                          <w:pStyle w:val="TableParagraph"/>
                          <w:rPr>
                            <w:i/>
                            <w:sz w:val="20"/>
                          </w:rPr>
                        </w:pPr>
                        <w:r>
                          <w:rPr>
                            <w:sz w:val="22"/>
                          </w:rPr>
                          <w:t>Tabla 31-2. </w:t>
                        </w:r>
                        <w:r>
                          <w:rPr>
                            <w:i/>
                            <w:sz w:val="20"/>
                          </w:rPr>
                          <w:t>Criterios de Hospitalización para</w:t>
                        </w:r>
                      </w:p>
                      <w:p>
                        <w:pPr>
                          <w:pStyle w:val="TableParagraph"/>
                          <w:spacing w:before="33"/>
                          <w:rPr>
                            <w:i/>
                            <w:sz w:val="20"/>
                          </w:rPr>
                        </w:pPr>
                        <w:r>
                          <w:rPr>
                            <w:i/>
                            <w:sz w:val="20"/>
                          </w:rPr>
                          <w:t>EPI.</w:t>
                        </w:r>
                      </w:p>
                    </w:tc>
                  </w:tr>
                  <w:tr>
                    <w:trPr>
                      <w:trHeight w:val="746" w:hRule="atLeast"/>
                    </w:trPr>
                    <w:tc>
                      <w:tcPr>
                        <w:tcW w:w="4461" w:type="dxa"/>
                      </w:tcPr>
                      <w:p>
                        <w:pPr>
                          <w:pStyle w:val="TableParagraph"/>
                          <w:tabs>
                            <w:tab w:pos="1513" w:val="left" w:leader="none"/>
                            <w:tab w:pos="2172" w:val="left" w:leader="none"/>
                            <w:tab w:pos="2987" w:val="left" w:leader="none"/>
                            <w:tab w:pos="3331" w:val="left" w:leader="none"/>
                            <w:tab w:pos="4174" w:val="left" w:leader="none"/>
                          </w:tabs>
                          <w:ind w:right="101"/>
                          <w:rPr>
                            <w:sz w:val="22"/>
                          </w:rPr>
                        </w:pPr>
                        <w:r>
                          <w:rPr>
                            <w:sz w:val="22"/>
                          </w:rPr>
                          <w:t>Incapacidad</w:t>
                          <w:tab/>
                          <w:t>para</w:t>
                          <w:tab/>
                          <w:t>seguir</w:t>
                          <w:tab/>
                          <w:t>o</w:t>
                          <w:tab/>
                          <w:t>tolerar</w:t>
                          <w:tab/>
                          <w:t>el medicamento oral</w:t>
                        </w:r>
                        <w:r>
                          <w:rPr>
                            <w:spacing w:val="-8"/>
                            <w:sz w:val="22"/>
                          </w:rPr>
                          <w:t> </w:t>
                        </w:r>
                        <w:r>
                          <w:rPr>
                            <w:sz w:val="22"/>
                          </w:rPr>
                          <w:t>ambulatorio.</w:t>
                        </w:r>
                      </w:p>
                    </w:tc>
                  </w:tr>
                  <w:tr>
                    <w:trPr>
                      <w:trHeight w:val="741" w:hRule="atLeast"/>
                    </w:trPr>
                    <w:tc>
                      <w:tcPr>
                        <w:tcW w:w="4461" w:type="dxa"/>
                      </w:tcPr>
                      <w:p>
                        <w:pPr>
                          <w:pStyle w:val="TableParagraph"/>
                          <w:rPr>
                            <w:sz w:val="22"/>
                          </w:rPr>
                        </w:pPr>
                        <w:r>
                          <w:rPr>
                            <w:sz w:val="22"/>
                          </w:rPr>
                          <w:t>No hay respuesta clínica al tratamiento antimicrobiano por vía oral</w:t>
                        </w:r>
                      </w:p>
                    </w:tc>
                  </w:tr>
                  <w:tr>
                    <w:trPr>
                      <w:trHeight w:val="493" w:hRule="atLeast"/>
                    </w:trPr>
                    <w:tc>
                      <w:tcPr>
                        <w:tcW w:w="4461" w:type="dxa"/>
                      </w:tcPr>
                      <w:p>
                        <w:pPr>
                          <w:pStyle w:val="TableParagraph"/>
                          <w:rPr>
                            <w:sz w:val="22"/>
                          </w:rPr>
                        </w:pPr>
                        <w:r>
                          <w:rPr>
                            <w:sz w:val="22"/>
                          </w:rPr>
                          <w:t>Embarazo</w:t>
                        </w:r>
                      </w:p>
                    </w:tc>
                  </w:tr>
                  <w:tr>
                    <w:trPr>
                      <w:trHeight w:val="746" w:hRule="atLeast"/>
                    </w:trPr>
                    <w:tc>
                      <w:tcPr>
                        <w:tcW w:w="4461" w:type="dxa"/>
                      </w:tcPr>
                      <w:p>
                        <w:pPr>
                          <w:pStyle w:val="TableParagraph"/>
                          <w:spacing w:before="1"/>
                          <w:rPr>
                            <w:sz w:val="22"/>
                          </w:rPr>
                        </w:pPr>
                        <w:r>
                          <w:rPr>
                            <w:sz w:val="22"/>
                          </w:rPr>
                          <w:t>Enfermedad grave, náuseas y vómitos, o fiebre alta.</w:t>
                        </w:r>
                      </w:p>
                    </w:tc>
                  </w:tr>
                  <w:tr>
                    <w:trPr>
                      <w:trHeight w:val="746" w:hRule="atLeast"/>
                    </w:trPr>
                    <w:tc>
                      <w:tcPr>
                        <w:tcW w:w="4461" w:type="dxa"/>
                      </w:tcPr>
                      <w:p>
                        <w:pPr>
                          <w:pStyle w:val="TableParagraph"/>
                          <w:tabs>
                            <w:tab w:pos="1417" w:val="left" w:leader="none"/>
                            <w:tab w:pos="2812" w:val="left" w:leader="none"/>
                            <w:tab w:pos="3519" w:val="left" w:leader="none"/>
                          </w:tabs>
                          <w:ind w:right="101"/>
                          <w:rPr>
                            <w:sz w:val="22"/>
                          </w:rPr>
                        </w:pPr>
                        <w:r>
                          <w:rPr>
                            <w:sz w:val="22"/>
                          </w:rPr>
                          <w:t>Urgencias</w:t>
                          <w:tab/>
                          <w:t>quirúrgicas</w:t>
                          <w:tab/>
                          <w:t>(por</w:t>
                          <w:tab/>
                        </w:r>
                        <w:r>
                          <w:rPr>
                            <w:spacing w:val="-1"/>
                            <w:sz w:val="22"/>
                          </w:rPr>
                          <w:t>ejemplo, </w:t>
                        </w:r>
                        <w:r>
                          <w:rPr>
                            <w:sz w:val="22"/>
                          </w:rPr>
                          <w:t>apendicitis).</w:t>
                        </w:r>
                      </w:p>
                    </w:tc>
                  </w:tr>
                  <w:tr>
                    <w:trPr>
                      <w:trHeight w:val="746" w:hRule="atLeast"/>
                    </w:trPr>
                    <w:tc>
                      <w:tcPr>
                        <w:tcW w:w="4461" w:type="dxa"/>
                      </w:tcPr>
                      <w:p>
                        <w:pPr>
                          <w:pStyle w:val="TableParagraph"/>
                          <w:rPr>
                            <w:sz w:val="22"/>
                          </w:rPr>
                        </w:pPr>
                        <w:r>
                          <w:rPr>
                            <w:sz w:val="22"/>
                          </w:rPr>
                          <w:t>No se puede excluirse absceso tubo- ovárico.</w:t>
                        </w:r>
                      </w:p>
                    </w:tc>
                  </w:tr>
                </w:tbl>
                <w:p>
                  <w:pPr>
                    <w:pStyle w:val="BodyText"/>
                  </w:pPr>
                </w:p>
              </w:txbxContent>
            </v:textbox>
            <w10:wrap type="none"/>
          </v:shape>
        </w:pict>
      </w:r>
      <w:r>
        <w:rPr/>
        <w:t>CRITERIOS DE HOSPITALIZACIÓN</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29"/>
        </w:rPr>
      </w:pPr>
    </w:p>
    <w:p>
      <w:pPr>
        <w:spacing w:before="0"/>
        <w:ind w:left="1440" w:right="0" w:firstLine="0"/>
        <w:jc w:val="left"/>
        <w:rPr>
          <w:b/>
          <w:sz w:val="24"/>
        </w:rPr>
      </w:pPr>
      <w:r>
        <w:rPr>
          <w:b/>
          <w:sz w:val="24"/>
        </w:rPr>
        <w:t>TRATAMIENTO</w:t>
      </w:r>
    </w:p>
    <w:p>
      <w:pPr>
        <w:pStyle w:val="BodyText"/>
        <w:spacing w:before="10"/>
        <w:rPr>
          <w:b/>
          <w:sz w:val="24"/>
        </w:rPr>
      </w:pPr>
    </w:p>
    <w:p>
      <w:pPr>
        <w:pStyle w:val="BodyText"/>
        <w:spacing w:line="276" w:lineRule="auto"/>
        <w:ind w:left="1440"/>
        <w:jc w:val="both"/>
      </w:pPr>
      <w:r>
        <w:rPr/>
        <w:t>Las mujeres con EIP no complicada pueden recibir tratamiento vía oral de manera ambulatoria sin aumentar el riesgo de</w:t>
      </w:r>
    </w:p>
    <w:p>
      <w:pPr>
        <w:pStyle w:val="BodyText"/>
        <w:spacing w:before="8"/>
      </w:pPr>
      <w:r>
        <w:rPr/>
        <w:br w:type="column"/>
      </w:r>
      <w:r>
        <w:rPr/>
      </w:r>
    </w:p>
    <w:p>
      <w:pPr>
        <w:pStyle w:val="BodyText"/>
        <w:spacing w:line="276" w:lineRule="auto"/>
        <w:ind w:left="680" w:right="1437"/>
        <w:jc w:val="both"/>
      </w:pPr>
      <w:r>
        <w:rPr/>
        <w:t>secuelas. Paciente con tratamiento parenteral podrá hacer la transición a vía oral hasta 24 a 48 horas posteriores de la mejoría clínica.</w:t>
      </w:r>
    </w:p>
    <w:p>
      <w:pPr>
        <w:pStyle w:val="BodyText"/>
        <w:spacing w:before="5"/>
        <w:rPr>
          <w:sz w:val="24"/>
        </w:rPr>
      </w:pPr>
    </w:p>
    <w:p>
      <w:pPr>
        <w:pStyle w:val="BodyText"/>
        <w:tabs>
          <w:tab w:pos="2767" w:val="left" w:leader="none"/>
        </w:tabs>
        <w:spacing w:line="276" w:lineRule="auto" w:before="1"/>
        <w:ind w:left="680" w:right="1433"/>
        <w:jc w:val="both"/>
      </w:pPr>
      <w:r>
        <w:rPr/>
        <w:t>Las mujeres con abscesos tubo-ovárico deben tener al menos 24 horas de internamiento</w:t>
        <w:tab/>
        <w:t>y puede requerir adicionalmente tratamiento quirúrgico. Se ha descrito </w:t>
      </w:r>
      <w:r>
        <w:rPr>
          <w:spacing w:val="-3"/>
        </w:rPr>
        <w:t>la </w:t>
      </w:r>
      <w:r>
        <w:rPr/>
        <w:t>alta resistencia a las fluoroquinolonas por parte de N. gonorrhoeae, por </w:t>
      </w:r>
      <w:r>
        <w:rPr>
          <w:spacing w:val="-3"/>
        </w:rPr>
        <w:t>lo </w:t>
      </w:r>
      <w:r>
        <w:rPr/>
        <w:t>que ya no se recomienda utilizar este terapia antibiótica hasta que se demuestre </w:t>
      </w:r>
      <w:r>
        <w:rPr>
          <w:spacing w:val="-3"/>
        </w:rPr>
        <w:t>la </w:t>
      </w:r>
      <w:r>
        <w:rPr/>
        <w:t>sensibilidad a el tratamiento. Es de gran importancia asegurarse de que </w:t>
      </w:r>
      <w:r>
        <w:rPr>
          <w:spacing w:val="-3"/>
        </w:rPr>
        <w:t>la </w:t>
      </w:r>
      <w:r>
        <w:rPr/>
        <w:t>paciente este respondiendo adecuadamente a </w:t>
      </w:r>
      <w:r>
        <w:rPr>
          <w:spacing w:val="-3"/>
        </w:rPr>
        <w:t>la </w:t>
      </w:r>
      <w:r>
        <w:rPr/>
        <w:t>terapia ambulatoria, los síntomas mejoran dentro de las primeras 72 horas, si no es así se debe hospitalizar a </w:t>
      </w:r>
      <w:r>
        <w:rPr>
          <w:spacing w:val="-3"/>
        </w:rPr>
        <w:t>la </w:t>
      </w:r>
      <w:r>
        <w:rPr/>
        <w:t>mujer para una evaluación</w:t>
      </w:r>
      <w:r>
        <w:rPr>
          <w:spacing w:val="-1"/>
        </w:rPr>
        <w:t> </w:t>
      </w:r>
      <w:r>
        <w:rPr/>
        <w:t>adicional.</w:t>
      </w:r>
    </w:p>
    <w:p>
      <w:pPr>
        <w:pStyle w:val="BodyText"/>
        <w:spacing w:before="3"/>
        <w:rPr>
          <w:sz w:val="24"/>
        </w:rPr>
      </w:pPr>
    </w:p>
    <w:p>
      <w:pPr>
        <w:pStyle w:val="Heading4"/>
        <w:ind w:left="680"/>
        <w:jc w:val="both"/>
      </w:pPr>
      <w:r>
        <w:rPr/>
        <w:t>CONCLUSION</w:t>
      </w:r>
    </w:p>
    <w:p>
      <w:pPr>
        <w:pStyle w:val="BodyText"/>
        <w:rPr>
          <w:b/>
          <w:sz w:val="28"/>
        </w:rPr>
      </w:pPr>
    </w:p>
    <w:p>
      <w:pPr>
        <w:pStyle w:val="BodyText"/>
        <w:spacing w:line="276" w:lineRule="auto"/>
        <w:ind w:left="680" w:right="1434"/>
        <w:jc w:val="both"/>
      </w:pPr>
      <w:r>
        <w:rPr/>
        <w:t>Chlamydia trachomatis y Neisseria gonorrhoeae son los microorganismos más frecuentemente; sin embargo, no se puede excluir otros posibles patógenos. Esta enfermedad presenta variedad en </w:t>
      </w:r>
      <w:r>
        <w:rPr>
          <w:spacing w:val="-3"/>
        </w:rPr>
        <w:t>la </w:t>
      </w:r>
      <w:r>
        <w:rPr/>
        <w:t>presentación clínica desde asintomática hasta absceso tuboovárico que podría producir cuadros de abdomen agudo e inclusive </w:t>
      </w:r>
      <w:r>
        <w:rPr>
          <w:spacing w:val="-3"/>
        </w:rPr>
        <w:t>la </w:t>
      </w:r>
      <w:r>
        <w:rPr/>
        <w:t>muerte. Los pacientes deben ser tratados empíricamente para así procurar minimizar las secuelas como dolor pélvico crónico, embarazo ectópico, y </w:t>
      </w:r>
      <w:r>
        <w:rPr>
          <w:spacing w:val="-3"/>
        </w:rPr>
        <w:t>la </w:t>
      </w:r>
      <w:r>
        <w:rPr/>
        <w:t>infertilidad.</w:t>
      </w:r>
    </w:p>
    <w:p>
      <w:pPr>
        <w:pStyle w:val="BodyText"/>
        <w:spacing w:line="276" w:lineRule="auto" w:before="198"/>
        <w:ind w:left="680" w:right="1434"/>
        <w:jc w:val="both"/>
      </w:pPr>
      <w:r>
        <w:rPr/>
        <w:t>La mayoría de pacientes son tratadas con éxito de forma ambulatorios con una dosis única de una cefalosporina parenteral más doxiciclina por vía oral, con o sin metronidazol por vía oral. Debido a la mala adherencia o a la falta de tratamiento esta patología puede causar infertilidad,</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pStyle w:val="BodyText"/>
        <w:spacing w:before="8"/>
      </w:pPr>
    </w:p>
    <w:p>
      <w:pPr>
        <w:pStyle w:val="BodyText"/>
        <w:spacing w:line="276" w:lineRule="auto"/>
        <w:ind w:left="1440" w:right="6479"/>
        <w:jc w:val="both"/>
      </w:pPr>
      <w:r>
        <w:rPr/>
        <w:pict>
          <v:shape style="position:absolute;margin-left:318.5pt;margin-top:.127900pt;width:223.7pt;height:407.1pt;mso-position-horizontal-relative:page;mso-position-vertical-relative:paragraph;z-index:140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2"/>
                  </w:tblGrid>
                  <w:tr>
                    <w:trPr>
                      <w:trHeight w:val="1521" w:hRule="atLeast"/>
                    </w:trPr>
                    <w:tc>
                      <w:tcPr>
                        <w:tcW w:w="4462" w:type="dxa"/>
                      </w:tcPr>
                      <w:p>
                        <w:pPr>
                          <w:pStyle w:val="TableParagraph"/>
                          <w:tabs>
                            <w:tab w:pos="3970" w:val="left" w:leader="none"/>
                          </w:tabs>
                          <w:spacing w:line="276" w:lineRule="auto"/>
                          <w:ind w:right="100"/>
                          <w:jc w:val="both"/>
                          <w:rPr>
                            <w:sz w:val="20"/>
                          </w:rPr>
                        </w:pPr>
                        <w:r>
                          <w:rPr>
                            <w:sz w:val="20"/>
                          </w:rPr>
                          <w:t>dosis y probenecida, 1 g VO en una sola dosis administrada     </w:t>
                        </w:r>
                        <w:r>
                          <w:rPr>
                            <w:spacing w:val="6"/>
                            <w:sz w:val="20"/>
                          </w:rPr>
                          <w:t> </w:t>
                        </w:r>
                        <w:r>
                          <w:rPr>
                            <w:sz w:val="20"/>
                          </w:rPr>
                          <w:t>concurrentemente,</w:t>
                          <w:tab/>
                          <w:t>más Doxiciclina,</w:t>
                        </w:r>
                        <w:r>
                          <w:rPr>
                            <w:spacing w:val="30"/>
                            <w:sz w:val="20"/>
                          </w:rPr>
                          <w:t> </w:t>
                        </w:r>
                        <w:r>
                          <w:rPr>
                            <w:sz w:val="20"/>
                          </w:rPr>
                          <w:t>100</w:t>
                        </w:r>
                        <w:r>
                          <w:rPr>
                            <w:spacing w:val="30"/>
                            <w:sz w:val="20"/>
                          </w:rPr>
                          <w:t> </w:t>
                        </w:r>
                        <w:r>
                          <w:rPr>
                            <w:spacing w:val="-4"/>
                            <w:sz w:val="20"/>
                          </w:rPr>
                          <w:t>mg</w:t>
                        </w:r>
                        <w:r>
                          <w:rPr>
                            <w:spacing w:val="35"/>
                            <w:sz w:val="20"/>
                          </w:rPr>
                          <w:t> </w:t>
                        </w:r>
                        <w:r>
                          <w:rPr>
                            <w:sz w:val="20"/>
                          </w:rPr>
                          <w:t>VO,</w:t>
                        </w:r>
                        <w:r>
                          <w:rPr>
                            <w:spacing w:val="30"/>
                            <w:sz w:val="20"/>
                          </w:rPr>
                          <w:t> </w:t>
                        </w:r>
                        <w:r>
                          <w:rPr>
                            <w:sz w:val="20"/>
                          </w:rPr>
                          <w:t>dos</w:t>
                        </w:r>
                        <w:r>
                          <w:rPr>
                            <w:spacing w:val="30"/>
                            <w:sz w:val="20"/>
                          </w:rPr>
                          <w:t> </w:t>
                        </w:r>
                        <w:r>
                          <w:rPr>
                            <w:sz w:val="20"/>
                          </w:rPr>
                          <w:t>veces</w:t>
                        </w:r>
                        <w:r>
                          <w:rPr>
                            <w:spacing w:val="30"/>
                            <w:sz w:val="20"/>
                          </w:rPr>
                          <w:t> </w:t>
                        </w:r>
                        <w:r>
                          <w:rPr>
                            <w:sz w:val="20"/>
                          </w:rPr>
                          <w:t>al</w:t>
                        </w:r>
                        <w:r>
                          <w:rPr>
                            <w:spacing w:val="33"/>
                            <w:sz w:val="20"/>
                          </w:rPr>
                          <w:t> </w:t>
                        </w:r>
                        <w:r>
                          <w:rPr>
                            <w:sz w:val="20"/>
                          </w:rPr>
                          <w:t>día</w:t>
                        </w:r>
                        <w:r>
                          <w:rPr>
                            <w:spacing w:val="30"/>
                            <w:sz w:val="20"/>
                          </w:rPr>
                          <w:t> </w:t>
                        </w:r>
                        <w:r>
                          <w:rPr>
                            <w:sz w:val="20"/>
                          </w:rPr>
                          <w:t>por</w:t>
                        </w:r>
                      </w:p>
                      <w:p>
                        <w:pPr>
                          <w:pStyle w:val="TableParagraph"/>
                          <w:spacing w:line="276" w:lineRule="auto" w:before="1"/>
                          <w:ind w:right="105"/>
                          <w:jc w:val="both"/>
                          <w:rPr>
                            <w:sz w:val="20"/>
                          </w:rPr>
                        </w:pPr>
                        <w:r>
                          <w:rPr>
                            <w:sz w:val="20"/>
                          </w:rPr>
                          <w:t>14 días con o sin Metronidazol, 500 </w:t>
                        </w:r>
                        <w:r>
                          <w:rPr>
                            <w:spacing w:val="-4"/>
                            <w:sz w:val="20"/>
                          </w:rPr>
                          <w:t>mg </w:t>
                        </w:r>
                        <w:r>
                          <w:rPr>
                            <w:sz w:val="20"/>
                          </w:rPr>
                          <w:t>VO, dos veces al día por 14</w:t>
                        </w:r>
                        <w:r>
                          <w:rPr>
                            <w:spacing w:val="1"/>
                            <w:sz w:val="20"/>
                          </w:rPr>
                          <w:t> </w:t>
                        </w:r>
                        <w:r>
                          <w:rPr>
                            <w:sz w:val="20"/>
                          </w:rPr>
                          <w:t>días</w:t>
                        </w:r>
                      </w:p>
                    </w:tc>
                  </w:tr>
                  <w:tr>
                    <w:trPr>
                      <w:trHeight w:val="1286" w:hRule="atLeast"/>
                    </w:trPr>
                    <w:tc>
                      <w:tcPr>
                        <w:tcW w:w="4462" w:type="dxa"/>
                      </w:tcPr>
                      <w:p>
                        <w:pPr>
                          <w:pStyle w:val="TableParagraph"/>
                          <w:spacing w:line="276" w:lineRule="auto"/>
                          <w:ind w:right="101"/>
                          <w:jc w:val="both"/>
                          <w:rPr>
                            <w:sz w:val="20"/>
                          </w:rPr>
                        </w:pPr>
                        <w:r>
                          <w:rPr>
                            <w:i/>
                            <w:sz w:val="22"/>
                            <w:u w:val="single"/>
                          </w:rPr>
                          <w:t>Regimen alternativo</w:t>
                        </w:r>
                        <w:r>
                          <w:rPr>
                            <w:sz w:val="22"/>
                          </w:rPr>
                          <w:t>: </w:t>
                        </w:r>
                        <w:r>
                          <w:rPr>
                            <w:sz w:val="20"/>
                          </w:rPr>
                          <w:t>Ceftriaxona 250 </w:t>
                        </w:r>
                        <w:r>
                          <w:rPr>
                            <w:spacing w:val="-4"/>
                            <w:sz w:val="20"/>
                          </w:rPr>
                          <w:t>mg </w:t>
                        </w:r>
                        <w:r>
                          <w:rPr>
                            <w:sz w:val="20"/>
                          </w:rPr>
                          <w:t>IM en dosis única con Azitromicina, 1 g VO, una vez por semana durante dos semanas con o sin</w:t>
                        </w:r>
                        <w:r>
                          <w:rPr>
                            <w:spacing w:val="-1"/>
                            <w:sz w:val="20"/>
                          </w:rPr>
                          <w:t> </w:t>
                        </w:r>
                        <w:r>
                          <w:rPr>
                            <w:sz w:val="20"/>
                          </w:rPr>
                          <w:t>Metronidazol.</w:t>
                        </w:r>
                      </w:p>
                    </w:tc>
                  </w:tr>
                  <w:tr>
                    <w:trPr>
                      <w:trHeight w:val="490" w:hRule="atLeast"/>
                    </w:trPr>
                    <w:tc>
                      <w:tcPr>
                        <w:tcW w:w="4462" w:type="dxa"/>
                      </w:tcPr>
                      <w:p>
                        <w:pPr>
                          <w:pStyle w:val="TableParagraph"/>
                          <w:spacing w:line="246" w:lineRule="exact"/>
                          <w:rPr>
                            <w:b/>
                            <w:sz w:val="22"/>
                          </w:rPr>
                        </w:pPr>
                        <w:r>
                          <w:rPr>
                            <w:b/>
                            <w:sz w:val="22"/>
                          </w:rPr>
                          <w:t>TRATAMIENTO INTRAHOSPITALARIO</w:t>
                        </w:r>
                      </w:p>
                    </w:tc>
                  </w:tr>
                  <w:tr>
                    <w:trPr>
                      <w:trHeight w:val="1018" w:hRule="atLeast"/>
                    </w:trPr>
                    <w:tc>
                      <w:tcPr>
                        <w:tcW w:w="4462" w:type="dxa"/>
                      </w:tcPr>
                      <w:p>
                        <w:pPr>
                          <w:pStyle w:val="TableParagraph"/>
                          <w:spacing w:line="278" w:lineRule="auto"/>
                          <w:ind w:right="104"/>
                          <w:jc w:val="both"/>
                          <w:rPr>
                            <w:sz w:val="20"/>
                          </w:rPr>
                        </w:pPr>
                        <w:r>
                          <w:rPr>
                            <w:i/>
                            <w:sz w:val="22"/>
                            <w:u w:val="single"/>
                          </w:rPr>
                          <w:t>Régimen A:</w:t>
                        </w:r>
                        <w:r>
                          <w:rPr>
                            <w:i/>
                            <w:sz w:val="22"/>
                          </w:rPr>
                          <w:t> </w:t>
                        </w:r>
                        <w:r>
                          <w:rPr>
                            <w:sz w:val="20"/>
                          </w:rPr>
                          <w:t>Cefotetán, 2 g IV cada 12 h O cefoxitina, 2 g IV cada 6 h más Doxiciclina, 100 mg VO o IV cada 12 h.</w:t>
                        </w:r>
                      </w:p>
                    </w:tc>
                  </w:tr>
                  <w:tr>
                    <w:trPr>
                      <w:trHeight w:val="1814" w:hRule="atLeast"/>
                    </w:trPr>
                    <w:tc>
                      <w:tcPr>
                        <w:tcW w:w="4462" w:type="dxa"/>
                      </w:tcPr>
                      <w:p>
                        <w:pPr>
                          <w:pStyle w:val="TableParagraph"/>
                          <w:spacing w:line="276" w:lineRule="auto"/>
                          <w:ind w:right="94"/>
                          <w:jc w:val="both"/>
                          <w:rPr>
                            <w:sz w:val="20"/>
                          </w:rPr>
                        </w:pPr>
                        <w:r>
                          <w:rPr>
                            <w:i/>
                            <w:sz w:val="22"/>
                            <w:u w:val="single"/>
                          </w:rPr>
                          <w:t>Régimen B:</w:t>
                        </w:r>
                        <w:r>
                          <w:rPr>
                            <w:i/>
                            <w:sz w:val="22"/>
                          </w:rPr>
                          <w:t> </w:t>
                        </w:r>
                        <w:r>
                          <w:rPr>
                            <w:sz w:val="20"/>
                          </w:rPr>
                          <w:t>Clindamicina, 900 mg IV cada 8 h más Gentamicina, dosis de carga IV o IM (2 mg/kg de peso corporal), seguida de una dosis de mantenimiento (1.5 mg/kg) cada 8 horas. Se puede sustituir por una dosis única al día (3-5 mg/kg)</w:t>
                        </w:r>
                      </w:p>
                    </w:tc>
                  </w:tr>
                  <w:tr>
                    <w:trPr>
                      <w:trHeight w:val="1022" w:hRule="atLeast"/>
                    </w:trPr>
                    <w:tc>
                      <w:tcPr>
                        <w:tcW w:w="4462" w:type="dxa"/>
                      </w:tcPr>
                      <w:p>
                        <w:pPr>
                          <w:pStyle w:val="TableParagraph"/>
                          <w:spacing w:line="278" w:lineRule="auto"/>
                          <w:ind w:right="102"/>
                          <w:jc w:val="both"/>
                          <w:rPr>
                            <w:sz w:val="20"/>
                          </w:rPr>
                        </w:pPr>
                        <w:r>
                          <w:rPr>
                            <w:i/>
                            <w:sz w:val="22"/>
                            <w:u w:val="single"/>
                          </w:rPr>
                          <w:t>Régimen alternativo:</w:t>
                        </w:r>
                        <w:r>
                          <w:rPr>
                            <w:i/>
                            <w:sz w:val="22"/>
                          </w:rPr>
                          <w:t> </w:t>
                        </w:r>
                        <w:r>
                          <w:rPr>
                            <w:sz w:val="20"/>
                          </w:rPr>
                          <w:t>Ampicilina/sulbactam 3 g IV cada 6 h </w:t>
                        </w:r>
                        <w:r>
                          <w:rPr>
                            <w:spacing w:val="-3"/>
                            <w:sz w:val="20"/>
                          </w:rPr>
                          <w:t>más </w:t>
                        </w:r>
                        <w:r>
                          <w:rPr>
                            <w:sz w:val="20"/>
                          </w:rPr>
                          <w:t>Doxiciclina, 100 </w:t>
                        </w:r>
                        <w:r>
                          <w:rPr>
                            <w:spacing w:val="-4"/>
                            <w:sz w:val="20"/>
                          </w:rPr>
                          <w:t>mg </w:t>
                        </w:r>
                        <w:r>
                          <w:rPr>
                            <w:sz w:val="20"/>
                          </w:rPr>
                          <w:t>VO o IV cada 12 h.</w:t>
                        </w:r>
                      </w:p>
                    </w:tc>
                  </w:tr>
                  <w:tr>
                    <w:trPr>
                      <w:trHeight w:val="910" w:hRule="atLeast"/>
                    </w:trPr>
                    <w:tc>
                      <w:tcPr>
                        <w:tcW w:w="4462" w:type="dxa"/>
                      </w:tcPr>
                      <w:p>
                        <w:pPr>
                          <w:pStyle w:val="TableParagraph"/>
                          <w:spacing w:line="276" w:lineRule="auto"/>
                          <w:ind w:right="97"/>
                          <w:jc w:val="both"/>
                          <w:rPr>
                            <w:sz w:val="18"/>
                          </w:rPr>
                        </w:pPr>
                        <w:r>
                          <w:rPr>
                            <w:sz w:val="18"/>
                          </w:rPr>
                          <w:t>Gradison Margaret.(2012, April 15). Pelvic Inflammatory Disease, American Family Physician. Volume 85, Number8. 791-796.</w:t>
                        </w:r>
                      </w:p>
                    </w:tc>
                  </w:tr>
                </w:tbl>
                <w:p>
                  <w:pPr>
                    <w:pStyle w:val="BodyText"/>
                  </w:pPr>
                </w:p>
              </w:txbxContent>
            </v:textbox>
            <w10:wrap type="none"/>
          </v:shape>
        </w:pict>
      </w:r>
      <w:r>
        <w:rPr/>
        <w:t>embarazos extrauterinos o dolor pélvico crónico en hasta 40% de las mujeres. Se recomienda excluir embarazo ectópico antes de inicia tratamiento para </w:t>
      </w:r>
      <w:r>
        <w:rPr>
          <w:spacing w:val="-3"/>
        </w:rPr>
        <w:t>la</w:t>
      </w:r>
      <w:r>
        <w:rPr>
          <w:spacing w:val="-9"/>
        </w:rPr>
        <w:t> </w:t>
      </w:r>
      <w:r>
        <w:rPr/>
        <w:t>EPI.</w:t>
      </w:r>
    </w:p>
    <w:p>
      <w:pPr>
        <w:pStyle w:val="BodyText"/>
        <w:spacing w:line="276" w:lineRule="auto" w:before="202"/>
        <w:ind w:left="1440" w:right="6476"/>
        <w:jc w:val="both"/>
      </w:pPr>
      <w:r>
        <w:rPr/>
        <w:t>Se recomienda </w:t>
      </w:r>
      <w:r>
        <w:rPr>
          <w:spacing w:val="-3"/>
        </w:rPr>
        <w:t>la </w:t>
      </w:r>
      <w:r>
        <w:rPr/>
        <w:t>medida hospitalización a pacientes con mayor riesgo como son el caso de las mujeres embarazada, infectadas por el virus de </w:t>
      </w:r>
      <w:r>
        <w:rPr>
          <w:spacing w:val="-3"/>
        </w:rPr>
        <w:t>la </w:t>
      </w:r>
      <w:r>
        <w:rPr/>
        <w:t>inmunodeficiencia humana, sin respuesta al tratamiento oral o gravemente enfermo. Como estrategia de importancia, detectar y tratar a las parejas sexuales de las pacientes diagnosticadas para evitar posible reinfecciones y así tratar de disminuir riesgos a largo plazo, así como educar a </w:t>
      </w:r>
      <w:r>
        <w:rPr>
          <w:spacing w:val="-3"/>
        </w:rPr>
        <w:t>la </w:t>
      </w:r>
      <w:r>
        <w:rPr/>
        <w:t>población sexualmente activa y tamizaje por enfermedades de trasmisión sexual en especial Chlamydia a los pacientes de</w:t>
      </w:r>
      <w:r>
        <w:rPr>
          <w:spacing w:val="-1"/>
        </w:rPr>
        <w:t> </w:t>
      </w:r>
      <w:r>
        <w:rPr/>
        <w:t>riesgo.</w:t>
      </w:r>
    </w:p>
    <w:p>
      <w:pPr>
        <w:pStyle w:val="BodyText"/>
        <w:spacing w:before="9"/>
        <w:rPr>
          <w:sz w:val="17"/>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1"/>
      </w:tblGrid>
      <w:tr>
        <w:trPr>
          <w:trHeight w:val="754" w:hRule="atLeast"/>
        </w:trPr>
        <w:tc>
          <w:tcPr>
            <w:tcW w:w="4461" w:type="dxa"/>
          </w:tcPr>
          <w:p>
            <w:pPr>
              <w:pStyle w:val="TableParagraph"/>
              <w:spacing w:line="276" w:lineRule="auto"/>
              <w:rPr>
                <w:i/>
                <w:sz w:val="20"/>
              </w:rPr>
            </w:pPr>
            <w:r>
              <w:rPr>
                <w:sz w:val="22"/>
              </w:rPr>
              <w:t>Tabla 31-3. </w:t>
            </w:r>
            <w:r>
              <w:rPr>
                <w:i/>
                <w:sz w:val="20"/>
              </w:rPr>
              <w:t>Tratamiento de la enfermedad </w:t>
            </w:r>
            <w:r>
              <w:rPr>
                <w:i/>
                <w:sz w:val="20"/>
              </w:rPr>
              <w:t>pélvica inflamatoria.</w:t>
            </w:r>
          </w:p>
        </w:tc>
      </w:tr>
      <w:tr>
        <w:trPr>
          <w:trHeight w:val="490" w:hRule="atLeast"/>
        </w:trPr>
        <w:tc>
          <w:tcPr>
            <w:tcW w:w="4461" w:type="dxa"/>
          </w:tcPr>
          <w:p>
            <w:pPr>
              <w:pStyle w:val="TableParagraph"/>
              <w:spacing w:line="250" w:lineRule="exact"/>
              <w:rPr>
                <w:b/>
                <w:sz w:val="22"/>
              </w:rPr>
            </w:pPr>
            <w:r>
              <w:rPr>
                <w:b/>
                <w:sz w:val="22"/>
              </w:rPr>
              <w:t>TRATAMIENTO AMBULATORIO</w:t>
            </w:r>
          </w:p>
        </w:tc>
      </w:tr>
      <w:tr>
        <w:trPr>
          <w:trHeight w:val="1814" w:hRule="atLeast"/>
        </w:trPr>
        <w:tc>
          <w:tcPr>
            <w:tcW w:w="4461" w:type="dxa"/>
          </w:tcPr>
          <w:p>
            <w:pPr>
              <w:pStyle w:val="TableParagraph"/>
              <w:spacing w:line="276" w:lineRule="auto"/>
              <w:ind w:right="100"/>
              <w:jc w:val="both"/>
              <w:rPr>
                <w:sz w:val="20"/>
              </w:rPr>
            </w:pPr>
            <w:r>
              <w:rPr>
                <w:i/>
                <w:sz w:val="22"/>
                <w:u w:val="single"/>
              </w:rPr>
              <w:t>Regimen 1:</w:t>
            </w:r>
            <w:r>
              <w:rPr>
                <w:i/>
                <w:sz w:val="22"/>
              </w:rPr>
              <w:t> </w:t>
            </w:r>
            <w:r>
              <w:rPr>
                <w:sz w:val="20"/>
              </w:rPr>
              <w:t>Ceftriaxona, 250 mg IM en una sola dosis (u otra cefalosporina parenteral de tercera generación), más Doxiciclina, 100 mg VO, dos veces al día por 14 días con o sin Metronidazol, 500 mg VO, dos veces al día por 14 días.</w:t>
            </w:r>
          </w:p>
        </w:tc>
      </w:tr>
      <w:tr>
        <w:trPr>
          <w:trHeight w:val="290" w:hRule="atLeast"/>
        </w:trPr>
        <w:tc>
          <w:tcPr>
            <w:tcW w:w="4461" w:type="dxa"/>
          </w:tcPr>
          <w:p>
            <w:pPr>
              <w:pStyle w:val="TableParagraph"/>
              <w:spacing w:line="250" w:lineRule="exact"/>
              <w:rPr>
                <w:sz w:val="20"/>
              </w:rPr>
            </w:pPr>
            <w:r>
              <w:rPr>
                <w:i/>
                <w:sz w:val="22"/>
                <w:u w:val="single"/>
              </w:rPr>
              <w:t>Regimen 2</w:t>
            </w:r>
            <w:r>
              <w:rPr>
                <w:sz w:val="22"/>
              </w:rPr>
              <w:t>: </w:t>
            </w:r>
            <w:r>
              <w:rPr>
                <w:sz w:val="20"/>
              </w:rPr>
              <w:t>Cefoxitina, 2 g IM en una sola</w:t>
            </w:r>
          </w:p>
        </w:tc>
      </w:tr>
    </w:tbl>
    <w:p>
      <w:pPr>
        <w:pStyle w:val="BodyText"/>
        <w:rPr>
          <w:sz w:val="24"/>
        </w:rPr>
      </w:pPr>
    </w:p>
    <w:p>
      <w:pPr>
        <w:pStyle w:val="BodyText"/>
        <w:spacing w:before="3"/>
        <w:rPr>
          <w:sz w:val="24"/>
        </w:rPr>
      </w:pPr>
    </w:p>
    <w:p>
      <w:pPr>
        <w:pStyle w:val="Heading4"/>
        <w:ind w:left="1700"/>
      </w:pPr>
      <w:r>
        <w:rPr/>
        <w:t>BIBLIOGRAFIA</w:t>
      </w:r>
    </w:p>
    <w:p>
      <w:pPr>
        <w:pStyle w:val="BodyText"/>
        <w:spacing w:before="7"/>
        <w:rPr>
          <w:b/>
          <w:sz w:val="24"/>
        </w:rPr>
      </w:pPr>
    </w:p>
    <w:p>
      <w:pPr>
        <w:pStyle w:val="ListParagraph"/>
        <w:numPr>
          <w:ilvl w:val="0"/>
          <w:numId w:val="9"/>
        </w:numPr>
        <w:tabs>
          <w:tab w:pos="2060" w:val="left" w:leader="none"/>
          <w:tab w:pos="2061" w:val="left" w:leader="none"/>
        </w:tabs>
        <w:spacing w:line="240" w:lineRule="auto" w:before="0" w:after="0"/>
        <w:ind w:left="2060" w:right="1710" w:hanging="360"/>
        <w:jc w:val="left"/>
        <w:rPr>
          <w:sz w:val="20"/>
        </w:rPr>
      </w:pPr>
      <w:r>
        <w:rPr>
          <w:sz w:val="20"/>
        </w:rPr>
        <w:t>Gradison Margaret.(2012, April 15). Pelvic Inflammatory Disease, American Family Physician. Volume 85, Number8.</w:t>
      </w:r>
      <w:r>
        <w:rPr>
          <w:spacing w:val="-1"/>
          <w:sz w:val="20"/>
        </w:rPr>
        <w:t> </w:t>
      </w:r>
      <w:r>
        <w:rPr>
          <w:sz w:val="20"/>
        </w:rPr>
        <w:t>791-796.</w:t>
      </w:r>
    </w:p>
    <w:p>
      <w:pPr>
        <w:pStyle w:val="ListParagraph"/>
        <w:numPr>
          <w:ilvl w:val="0"/>
          <w:numId w:val="9"/>
        </w:numPr>
        <w:tabs>
          <w:tab w:pos="2060" w:val="left" w:leader="none"/>
          <w:tab w:pos="2061" w:val="left" w:leader="none"/>
        </w:tabs>
        <w:spacing w:line="240" w:lineRule="auto" w:before="0" w:after="0"/>
        <w:ind w:left="2060" w:right="1695" w:hanging="360"/>
        <w:jc w:val="left"/>
        <w:rPr>
          <w:sz w:val="20"/>
        </w:rPr>
      </w:pPr>
      <w:r>
        <w:rPr>
          <w:sz w:val="20"/>
        </w:rPr>
        <w:t>Workowski KA, Berman S, Centers for Disease Control and Prevention (CDC). Sexually transmitted diseases treatment guidelines,2010. MMWR Recomm Rep.</w:t>
      </w:r>
      <w:r>
        <w:rPr>
          <w:spacing w:val="-16"/>
          <w:sz w:val="20"/>
        </w:rPr>
        <w:t> </w:t>
      </w:r>
      <w:r>
        <w:rPr>
          <w:sz w:val="20"/>
        </w:rPr>
        <w:t>2010;59:1–110.</w:t>
      </w:r>
    </w:p>
    <w:p>
      <w:pPr>
        <w:pStyle w:val="ListParagraph"/>
        <w:numPr>
          <w:ilvl w:val="0"/>
          <w:numId w:val="9"/>
        </w:numPr>
        <w:tabs>
          <w:tab w:pos="2060" w:val="left" w:leader="none"/>
          <w:tab w:pos="2061" w:val="left" w:leader="none"/>
        </w:tabs>
        <w:spacing w:line="240" w:lineRule="auto" w:before="1" w:after="0"/>
        <w:ind w:left="2060" w:right="1696" w:hanging="360"/>
        <w:jc w:val="left"/>
        <w:rPr>
          <w:sz w:val="20"/>
        </w:rPr>
      </w:pPr>
      <w:r>
        <w:rPr>
          <w:sz w:val="20"/>
        </w:rPr>
        <w:t>Trent Maria, MD, MPH. (2013, april 4). Pelvic inflammatory disease. Pediatrics in Review Vol.34 No.4.</w:t>
      </w:r>
      <w:r>
        <w:rPr>
          <w:spacing w:val="-1"/>
          <w:sz w:val="20"/>
        </w:rPr>
        <w:t> </w:t>
      </w:r>
      <w:r>
        <w:rPr>
          <w:sz w:val="20"/>
        </w:rPr>
        <w:t>163-172.</w:t>
      </w:r>
    </w:p>
    <w:p>
      <w:pPr>
        <w:pStyle w:val="ListParagraph"/>
        <w:numPr>
          <w:ilvl w:val="0"/>
          <w:numId w:val="9"/>
        </w:numPr>
        <w:tabs>
          <w:tab w:pos="2060" w:val="left" w:leader="none"/>
          <w:tab w:pos="2061" w:val="left" w:leader="none"/>
        </w:tabs>
        <w:spacing w:line="240" w:lineRule="auto" w:before="0" w:after="0"/>
        <w:ind w:left="2060" w:right="1706" w:hanging="360"/>
        <w:jc w:val="left"/>
        <w:rPr>
          <w:sz w:val="20"/>
        </w:rPr>
      </w:pPr>
      <w:r>
        <w:rPr>
          <w:sz w:val="20"/>
        </w:rPr>
        <w:t>Hernández Durán Daisy; Díaz Mitjans Orlando. (2010).Enfermedad inflamatoria pélvica y adolescencia. Revista Cubana de Obstetricia y Ginecología. 36(4)613-631</w:t>
      </w:r>
      <w:r>
        <w:rPr>
          <w:spacing w:val="-23"/>
          <w:sz w:val="20"/>
        </w:rPr>
        <w:t> </w:t>
      </w:r>
      <w:hyperlink r:id="rId41">
        <w:r>
          <w:rPr>
            <w:sz w:val="20"/>
          </w:rPr>
          <w:t>http://scielo.sld.cu.</w:t>
        </w:r>
      </w:hyperlink>
    </w:p>
    <w:p>
      <w:pPr>
        <w:pStyle w:val="ListParagraph"/>
        <w:numPr>
          <w:ilvl w:val="0"/>
          <w:numId w:val="9"/>
        </w:numPr>
        <w:tabs>
          <w:tab w:pos="2060" w:val="left" w:leader="none"/>
          <w:tab w:pos="2061" w:val="left" w:leader="none"/>
          <w:tab w:pos="3283" w:val="left" w:leader="none"/>
          <w:tab w:pos="3678" w:val="left" w:leader="none"/>
          <w:tab w:pos="4530" w:val="left" w:leader="none"/>
          <w:tab w:pos="4901" w:val="left" w:leader="none"/>
          <w:tab w:pos="5676" w:val="left" w:leader="none"/>
          <w:tab w:pos="6080" w:val="left" w:leader="none"/>
          <w:tab w:pos="6931" w:val="left" w:leader="none"/>
          <w:tab w:pos="7910" w:val="left" w:leader="none"/>
          <w:tab w:pos="9160" w:val="left" w:leader="none"/>
          <w:tab w:pos="9464" w:val="left" w:leader="none"/>
        </w:tabs>
        <w:spacing w:line="240" w:lineRule="auto" w:before="0" w:after="0"/>
        <w:ind w:left="2060" w:right="1707" w:hanging="360"/>
        <w:jc w:val="left"/>
        <w:rPr>
          <w:sz w:val="20"/>
        </w:rPr>
      </w:pPr>
      <w:r>
        <w:rPr>
          <w:sz w:val="20"/>
        </w:rPr>
        <w:t>DeCherney</w:t>
        <w:tab/>
        <w:t>A,</w:t>
        <w:tab/>
        <w:t>Nathan</w:t>
        <w:tab/>
        <w:t>L,</w:t>
        <w:tab/>
        <w:t>Laufer</w:t>
        <w:tab/>
        <w:t>N,</w:t>
        <w:tab/>
        <w:t>Roman</w:t>
        <w:tab/>
        <w:t>A.(2013)</w:t>
        <w:tab/>
        <w:t>Diagnóstico</w:t>
        <w:tab/>
        <w:t>y</w:t>
        <w:tab/>
      </w:r>
      <w:r>
        <w:rPr>
          <w:spacing w:val="-1"/>
          <w:sz w:val="20"/>
        </w:rPr>
        <w:t>Tratamiento </w:t>
      </w:r>
      <w:r>
        <w:rPr>
          <w:sz w:val="20"/>
        </w:rPr>
        <w:t>Ginecoobstétrico,11a edición, México, Editorial Mc Graw</w:t>
      </w:r>
      <w:r>
        <w:rPr>
          <w:spacing w:val="-8"/>
          <w:sz w:val="20"/>
        </w:rPr>
        <w:t> </w:t>
      </w:r>
      <w:r>
        <w:rPr>
          <w:sz w:val="20"/>
        </w:rPr>
        <w:t>Hill.721-723.</w:t>
      </w:r>
    </w:p>
    <w:p>
      <w:pPr>
        <w:spacing w:after="0" w:line="240" w:lineRule="auto"/>
        <w:jc w:val="left"/>
        <w:rPr>
          <w:sz w:val="20"/>
        </w:rPr>
        <w:sectPr>
          <w:pgSz w:w="12240" w:h="15840"/>
          <w:pgMar w:header="723" w:footer="872" w:top="940" w:bottom="1060" w:left="0" w:right="0"/>
        </w:sectPr>
      </w:pPr>
    </w:p>
    <w:p>
      <w:pPr>
        <w:pStyle w:val="BodyText"/>
        <w:rPr>
          <w:sz w:val="20"/>
        </w:rPr>
      </w:pPr>
    </w:p>
    <w:p>
      <w:pPr>
        <w:pStyle w:val="BodyText"/>
        <w:spacing w:before="5"/>
        <w:rPr>
          <w:sz w:val="21"/>
        </w:rPr>
      </w:pPr>
    </w:p>
    <w:p>
      <w:pPr>
        <w:pStyle w:val="ListParagraph"/>
        <w:numPr>
          <w:ilvl w:val="0"/>
          <w:numId w:val="9"/>
        </w:numPr>
        <w:tabs>
          <w:tab w:pos="2060" w:val="left" w:leader="none"/>
          <w:tab w:pos="2061" w:val="left" w:leader="none"/>
        </w:tabs>
        <w:spacing w:line="240" w:lineRule="auto" w:before="0" w:after="0"/>
        <w:ind w:left="2060" w:right="1696" w:hanging="360"/>
        <w:jc w:val="left"/>
        <w:rPr>
          <w:sz w:val="20"/>
        </w:rPr>
      </w:pPr>
      <w:r>
        <w:rPr>
          <w:sz w:val="20"/>
        </w:rPr>
        <w:t>Fritz M, Speroff L.(2012).Endocrinología Ginecológica Clínica y Esterilidad.8ª edición. Cap 22 y 25.909-948,</w:t>
      </w:r>
      <w:r>
        <w:rPr>
          <w:spacing w:val="-1"/>
          <w:sz w:val="20"/>
        </w:rPr>
        <w:t> </w:t>
      </w:r>
      <w:r>
        <w:rPr>
          <w:sz w:val="20"/>
        </w:rPr>
        <w:t>1095-1120.</w:t>
      </w:r>
    </w:p>
    <w:p>
      <w:pPr>
        <w:pStyle w:val="ListParagraph"/>
        <w:numPr>
          <w:ilvl w:val="0"/>
          <w:numId w:val="9"/>
        </w:numPr>
        <w:tabs>
          <w:tab w:pos="2060" w:val="left" w:leader="none"/>
          <w:tab w:pos="2061" w:val="left" w:leader="none"/>
        </w:tabs>
        <w:spacing w:line="237" w:lineRule="auto" w:before="2" w:after="0"/>
        <w:ind w:left="2060" w:right="1712" w:hanging="360"/>
        <w:jc w:val="left"/>
        <w:rPr>
          <w:sz w:val="20"/>
        </w:rPr>
      </w:pPr>
      <w:r>
        <w:rPr>
          <w:sz w:val="20"/>
        </w:rPr>
        <w:t>Vargas Celaya Diego.(2014).Enfermedad Pélvica Inflamatoria. Revista Médica de Costa Rica y Centroamerica LXXI (612).</w:t>
      </w:r>
      <w:r>
        <w:rPr>
          <w:spacing w:val="-5"/>
          <w:sz w:val="20"/>
        </w:rPr>
        <w:t> </w:t>
      </w:r>
      <w:r>
        <w:rPr>
          <w:sz w:val="20"/>
        </w:rPr>
        <w:t>719-722.</w:t>
      </w:r>
    </w:p>
    <w:p>
      <w:pPr>
        <w:pStyle w:val="ListParagraph"/>
        <w:numPr>
          <w:ilvl w:val="0"/>
          <w:numId w:val="9"/>
        </w:numPr>
        <w:tabs>
          <w:tab w:pos="2060" w:val="left" w:leader="none"/>
          <w:tab w:pos="2061" w:val="left" w:leader="none"/>
        </w:tabs>
        <w:spacing w:line="244" w:lineRule="exact" w:before="0" w:after="0"/>
        <w:ind w:left="2060" w:right="0" w:hanging="360"/>
        <w:jc w:val="left"/>
        <w:rPr>
          <w:sz w:val="20"/>
        </w:rPr>
      </w:pPr>
      <w:r>
        <w:rPr>
          <w:sz w:val="20"/>
        </w:rPr>
        <w:t>Ross Jonathan.(2010). Pelvic inflammatory disease. Elseiver Ltd. Medicine 38:5, 255-259.</w:t>
      </w:r>
    </w:p>
    <w:p>
      <w:pPr>
        <w:pStyle w:val="ListParagraph"/>
        <w:numPr>
          <w:ilvl w:val="0"/>
          <w:numId w:val="9"/>
        </w:numPr>
        <w:tabs>
          <w:tab w:pos="2060" w:val="left" w:leader="none"/>
          <w:tab w:pos="2061" w:val="left" w:leader="none"/>
        </w:tabs>
        <w:spacing w:line="240" w:lineRule="auto" w:before="0" w:after="0"/>
        <w:ind w:left="2060" w:right="1708" w:hanging="360"/>
        <w:jc w:val="left"/>
        <w:rPr>
          <w:sz w:val="20"/>
        </w:rPr>
      </w:pPr>
      <w:r>
        <w:rPr>
          <w:sz w:val="20"/>
        </w:rPr>
        <w:t>Barrantes Rodriguez Silvia.(2015).Enfermedad Pélvica Inflamatoria Revista Médica de Costa Rica y Centroamerica LXXII (614).</w:t>
      </w:r>
      <w:r>
        <w:rPr>
          <w:spacing w:val="-4"/>
          <w:sz w:val="20"/>
        </w:rPr>
        <w:t> </w:t>
      </w:r>
      <w:r>
        <w:rPr>
          <w:sz w:val="20"/>
        </w:rPr>
        <w:t>105-109.</w:t>
      </w:r>
    </w:p>
    <w:p>
      <w:pPr>
        <w:pStyle w:val="ListParagraph"/>
        <w:numPr>
          <w:ilvl w:val="0"/>
          <w:numId w:val="9"/>
        </w:numPr>
        <w:tabs>
          <w:tab w:pos="2060" w:val="left" w:leader="none"/>
          <w:tab w:pos="2061" w:val="left" w:leader="none"/>
        </w:tabs>
        <w:spacing w:line="240" w:lineRule="auto" w:before="0" w:after="0"/>
        <w:ind w:left="2060" w:right="1696" w:hanging="360"/>
        <w:jc w:val="left"/>
        <w:rPr>
          <w:sz w:val="20"/>
        </w:rPr>
      </w:pPr>
      <w:r>
        <w:rPr>
          <w:sz w:val="20"/>
        </w:rPr>
        <w:t>Llorente D., Cedeño S., Fuentes P., Guzmán J., López D. (2008). Enfermedad inflamatoria pélvica tumoral en el adolecente. iMedPub Journals, ciudad Habana, Cuba. Pág.</w:t>
      </w:r>
      <w:r>
        <w:rPr>
          <w:spacing w:val="-16"/>
          <w:sz w:val="20"/>
        </w:rPr>
        <w:t> </w:t>
      </w:r>
      <w:r>
        <w:rPr>
          <w:sz w:val="20"/>
        </w:rPr>
        <w:t>1-6.</w:t>
      </w:r>
    </w:p>
    <w:p>
      <w:pPr>
        <w:pStyle w:val="BodyText"/>
      </w:pPr>
    </w:p>
    <w:p>
      <w:pPr>
        <w:pStyle w:val="BodyText"/>
        <w:spacing w:before="2"/>
        <w:rPr>
          <w:sz w:val="21"/>
        </w:rPr>
      </w:pPr>
    </w:p>
    <w:p>
      <w:pPr>
        <w:tabs>
          <w:tab w:pos="7310" w:val="left" w:leader="none"/>
        </w:tabs>
        <w:spacing w:before="0"/>
        <w:ind w:left="1700" w:right="0" w:firstLine="0"/>
        <w:jc w:val="left"/>
        <w:rPr>
          <w:sz w:val="20"/>
        </w:rPr>
      </w:pPr>
      <w:r>
        <w:rPr>
          <w:sz w:val="20"/>
        </w:rPr>
        <w:t>Recepción: 02 Octubre</w:t>
      </w:r>
      <w:r>
        <w:rPr>
          <w:spacing w:val="-4"/>
          <w:sz w:val="20"/>
        </w:rPr>
        <w:t> </w:t>
      </w:r>
      <w:r>
        <w:rPr>
          <w:sz w:val="20"/>
        </w:rPr>
        <w:t>de</w:t>
      </w:r>
      <w:r>
        <w:rPr>
          <w:spacing w:val="-1"/>
          <w:sz w:val="20"/>
        </w:rPr>
        <w:t> </w:t>
      </w:r>
      <w:r>
        <w:rPr>
          <w:sz w:val="20"/>
        </w:rPr>
        <w:t>2016</w:t>
        <w:tab/>
        <w:t>Aprobación:10 Noviembre de</w:t>
      </w:r>
      <w:r>
        <w:rPr>
          <w:spacing w:val="2"/>
          <w:sz w:val="20"/>
        </w:rPr>
        <w:t> </w:t>
      </w:r>
      <w:r>
        <w:rPr>
          <w:sz w:val="20"/>
        </w:rPr>
        <w:t>2016</w:t>
      </w:r>
    </w:p>
    <w:p>
      <w:pPr>
        <w:spacing w:after="0"/>
        <w:jc w:val="left"/>
        <w:rPr>
          <w:sz w:val="20"/>
        </w:rPr>
        <w:sectPr>
          <w:footerReference w:type="default" r:id="rId42"/>
          <w:footerReference w:type="even" r:id="rId43"/>
          <w:pgSz w:w="12240" w:h="15840"/>
          <w:pgMar w:footer="864" w:header="723" w:top="920" w:bottom="1060" w:left="0" w:right="0"/>
          <w:pgNumType w:start="9"/>
        </w:sectPr>
      </w:pPr>
    </w:p>
    <w:p>
      <w:pPr>
        <w:pStyle w:val="Heading3"/>
        <w:spacing w:after="60"/>
        <w:ind w:left="5670"/>
        <w:jc w:val="left"/>
      </w:pPr>
      <w:r>
        <w:rPr/>
        <w:t>SARCOMAS UTERINOS</w:t>
      </w:r>
    </w:p>
    <w:p>
      <w:pPr>
        <w:pStyle w:val="BodyText"/>
        <w:ind w:left="1444"/>
        <w:rPr>
          <w:sz w:val="20"/>
        </w:rPr>
      </w:pPr>
      <w:r>
        <w:rPr>
          <w:sz w:val="20"/>
        </w:rPr>
        <w:pict>
          <v:group style="width:469.1pt;height:285.75pt;mso-position-horizontal-relative:char;mso-position-vertical-relative:line" coordorigin="0,0" coordsize="9382,5715">
            <v:shape style="position:absolute;left:2051;top:854;width:7260;height:4860" type="#_x0000_t75" stroked="false">
              <v:imagedata r:id="rId45" o:title=""/>
            </v:shape>
            <v:shape style="position:absolute;left:0;top:0;width:2048;height:5704" type="#_x0000_t75" stroked="false">
              <v:imagedata r:id="rId46" o:title=""/>
            </v:shape>
            <v:shape style="position:absolute;left:160;top:0;width:1742;height:179" type="#_x0000_t202" filled="false" stroked="false">
              <v:textbox inset="0,0,0,0">
                <w:txbxContent>
                  <w:p>
                    <w:pPr>
                      <w:spacing w:line="179" w:lineRule="exact" w:before="0"/>
                      <w:ind w:left="0" w:right="0" w:firstLine="0"/>
                      <w:jc w:val="left"/>
                      <w:rPr>
                        <w:sz w:val="16"/>
                      </w:rPr>
                    </w:pPr>
                    <w:r>
                      <w:rPr>
                        <w:sz w:val="16"/>
                      </w:rPr>
                      <w:t>Revista Médica Sinergia</w:t>
                    </w:r>
                  </w:p>
                </w:txbxContent>
              </v:textbox>
              <w10:wrap type="none"/>
            </v:shape>
            <v:shape style="position:absolute;left:4698;top:1;width:2234;height:246" type="#_x0000_t202" filled="false" stroked="false">
              <v:textbox inset="0,0,0,0">
                <w:txbxContent>
                  <w:p>
                    <w:pPr>
                      <w:spacing w:line="246" w:lineRule="exact" w:before="0"/>
                      <w:ind w:left="0" w:right="0" w:firstLine="0"/>
                      <w:jc w:val="left"/>
                      <w:rPr>
                        <w:sz w:val="22"/>
                      </w:rPr>
                    </w:pPr>
                    <w:r>
                      <w:rPr>
                        <w:sz w:val="20"/>
                      </w:rPr>
                      <w:t>(UTERINE SARCOMAS</w:t>
                    </w:r>
                    <w:r>
                      <w:rPr>
                        <w:sz w:val="22"/>
                      </w:rPr>
                      <w:t>)</w:t>
                    </w:r>
                  </w:p>
                </w:txbxContent>
              </v:textbox>
              <w10:wrap type="none"/>
            </v:shape>
            <v:shape style="position:absolute;left:56;top:327;width:9325;height:2893" type="#_x0000_t202" filled="false" stroked="false">
              <v:textbox inset="0,0,0,0">
                <w:txbxContent>
                  <w:p>
                    <w:pPr>
                      <w:tabs>
                        <w:tab w:pos="7094" w:val="left" w:leader="none"/>
                      </w:tabs>
                      <w:spacing w:line="266" w:lineRule="exact" w:before="0"/>
                      <w:ind w:left="371" w:right="0" w:firstLine="0"/>
                      <w:jc w:val="left"/>
                      <w:rPr>
                        <w:sz w:val="22"/>
                      </w:rPr>
                    </w:pPr>
                    <w:r>
                      <w:rPr>
                        <w:sz w:val="16"/>
                      </w:rPr>
                      <w:t>ISSN</w:t>
                    </w:r>
                    <w:r>
                      <w:rPr>
                        <w:spacing w:val="-2"/>
                        <w:sz w:val="16"/>
                      </w:rPr>
                      <w:t> </w:t>
                    </w:r>
                    <w:r>
                      <w:rPr>
                        <w:sz w:val="16"/>
                      </w:rPr>
                      <w:t>2215-4523</w:t>
                      <w:tab/>
                    </w:r>
                    <w:r>
                      <w:rPr>
                        <w:i/>
                        <w:sz w:val="24"/>
                      </w:rPr>
                      <w:t>* </w:t>
                    </w:r>
                    <w:r>
                      <w:rPr>
                        <w:sz w:val="22"/>
                      </w:rPr>
                      <w:t>Andrés Zamora</w:t>
                    </w:r>
                    <w:r>
                      <w:rPr>
                        <w:spacing w:val="-24"/>
                        <w:sz w:val="22"/>
                      </w:rPr>
                      <w:t> </w:t>
                    </w:r>
                    <w:r>
                      <w:rPr>
                        <w:sz w:val="22"/>
                      </w:rPr>
                      <w:t>Volio</w:t>
                    </w:r>
                  </w:p>
                  <w:p>
                    <w:pPr>
                      <w:spacing w:line="254" w:lineRule="auto" w:before="0"/>
                      <w:ind w:left="0" w:right="7175" w:firstLine="480"/>
                      <w:jc w:val="left"/>
                      <w:rPr>
                        <w:sz w:val="16"/>
                      </w:rPr>
                    </w:pPr>
                    <w:r>
                      <w:rPr>
                        <w:sz w:val="16"/>
                      </w:rPr>
                      <w:t>Vol.1 Num:12 Diciembre 2016 pp:10 -14</w:t>
                    </w:r>
                  </w:p>
                  <w:p>
                    <w:pPr>
                      <w:spacing w:line="203" w:lineRule="exact" w:before="2"/>
                      <w:ind w:left="2148" w:right="0" w:firstLine="0"/>
                      <w:jc w:val="left"/>
                      <w:rPr>
                        <w:sz w:val="22"/>
                      </w:rPr>
                    </w:pPr>
                    <w:r>
                      <w:rPr>
                        <w:sz w:val="22"/>
                      </w:rPr>
                      <w:t>RESUMEN</w:t>
                    </w:r>
                  </w:p>
                  <w:p>
                    <w:pPr>
                      <w:spacing w:line="276" w:lineRule="auto" w:before="38"/>
                      <w:ind w:left="2148" w:right="215" w:firstLine="0"/>
                      <w:jc w:val="both"/>
                      <w:rPr>
                        <w:sz w:val="22"/>
                      </w:rPr>
                    </w:pPr>
                    <w:r>
                      <w:rPr>
                        <w:sz w:val="22"/>
                      </w:rPr>
                      <w:t>Los sarcomas uterinos son tumores de origen mesodérmico,el 2% al 6% son malignas. Los factores riesgo son exposicion a radiacion previa, tamoxifeno, uso de estrogenos, obesidad.</w:t>
                    </w:r>
                  </w:p>
                  <w:p>
                    <w:pPr>
                      <w:spacing w:line="240" w:lineRule="auto" w:before="6"/>
                      <w:rPr>
                        <w:b/>
                        <w:sz w:val="25"/>
                      </w:rPr>
                    </w:pPr>
                  </w:p>
                  <w:p>
                    <w:pPr>
                      <w:spacing w:before="0"/>
                      <w:ind w:left="2148" w:right="0" w:firstLine="0"/>
                      <w:jc w:val="left"/>
                      <w:rPr>
                        <w:sz w:val="22"/>
                      </w:rPr>
                    </w:pPr>
                    <w:r>
                      <w:rPr>
                        <w:sz w:val="22"/>
                      </w:rPr>
                      <w:t>DESCRIPTORES</w:t>
                    </w:r>
                  </w:p>
                  <w:p>
                    <w:pPr>
                      <w:tabs>
                        <w:tab w:pos="3619" w:val="left" w:leader="none"/>
                        <w:tab w:pos="4723" w:val="left" w:leader="none"/>
                        <w:tab w:pos="5714" w:val="left" w:leader="none"/>
                        <w:tab w:pos="7149" w:val="left" w:leader="none"/>
                        <w:tab w:pos="8153" w:val="left" w:leader="none"/>
                      </w:tabs>
                      <w:spacing w:line="290" w:lineRule="atLeast" w:before="2"/>
                      <w:ind w:left="2148" w:right="217" w:firstLine="0"/>
                      <w:jc w:val="left"/>
                      <w:rPr>
                        <w:sz w:val="22"/>
                      </w:rPr>
                    </w:pPr>
                    <w:r>
                      <w:rPr>
                        <w:sz w:val="22"/>
                      </w:rPr>
                      <w:t>Tamoxifeno,</w:t>
                      <w:tab/>
                      <w:t>sarcoma</w:t>
                      <w:tab/>
                      <w:t>uterino,</w:t>
                      <w:tab/>
                      <w:t>enfermedad</w:t>
                      <w:tab/>
                      <w:t>pélvica,</w:t>
                      <w:tab/>
                    </w:r>
                    <w:r>
                      <w:rPr>
                        <w:spacing w:val="-1"/>
                        <w:sz w:val="22"/>
                      </w:rPr>
                      <w:t>radiación, </w:t>
                    </w:r>
                    <w:r>
                      <w:rPr>
                        <w:sz w:val="22"/>
                      </w:rPr>
                      <w:t>leiomiosarcoma</w:t>
                    </w:r>
                  </w:p>
                </w:txbxContent>
              </v:textbox>
              <w10:wrap type="none"/>
            </v:shape>
            <v:shape style="position:absolute;left:0;top:4552;width:1774;height:776" type="#_x0000_t202" filled="false" stroked="false">
              <v:textbox inset="0,0,0,0">
                <w:txbxContent>
                  <w:p>
                    <w:pPr>
                      <w:spacing w:line="259" w:lineRule="auto" w:before="0"/>
                      <w:ind w:left="0" w:right="18" w:firstLine="0"/>
                      <w:jc w:val="left"/>
                      <w:rPr>
                        <w:sz w:val="16"/>
                      </w:rPr>
                    </w:pPr>
                    <w:r>
                      <w:rPr>
                        <w:sz w:val="16"/>
                      </w:rPr>
                      <w:t>*Médico General. Universidad de Ciencias Médicas (UCIMED). San José- Costa Rica.</w:t>
                    </w:r>
                  </w:p>
                </w:txbxContent>
              </v:textbox>
              <w10:wrap type="none"/>
            </v:shape>
            <v:shape style="position:absolute;left:2205;top:3558;width:6974;height:1118" type="#_x0000_t202" filled="false" stroked="false">
              <v:textbox inset="0,0,0,0">
                <w:txbxContent>
                  <w:p>
                    <w:pPr>
                      <w:spacing w:line="246" w:lineRule="exact" w:before="0"/>
                      <w:ind w:left="0" w:right="0" w:firstLine="0"/>
                      <w:jc w:val="left"/>
                      <w:rPr>
                        <w:sz w:val="22"/>
                      </w:rPr>
                    </w:pPr>
                    <w:r>
                      <w:rPr>
                        <w:sz w:val="22"/>
                      </w:rPr>
                      <w:t>SUMMARY</w:t>
                    </w:r>
                  </w:p>
                  <w:p>
                    <w:pPr>
                      <w:spacing w:line="273" w:lineRule="auto" w:before="39"/>
                      <w:ind w:left="0" w:right="0" w:firstLine="0"/>
                      <w:jc w:val="left"/>
                      <w:rPr>
                        <w:sz w:val="22"/>
                      </w:rPr>
                    </w:pPr>
                    <w:r>
                      <w:rPr>
                        <w:sz w:val="22"/>
                      </w:rPr>
                      <w:t>Uterine sarcomas are tumors of mesodermal origin, 2% to 6% are malignant. The risk factors are exposure to previous radiation,</w:t>
                    </w:r>
                  </w:p>
                  <w:p>
                    <w:pPr>
                      <w:spacing w:before="4"/>
                      <w:ind w:left="0" w:right="0" w:firstLine="0"/>
                      <w:jc w:val="left"/>
                      <w:rPr>
                        <w:sz w:val="22"/>
                      </w:rPr>
                    </w:pPr>
                    <w:r>
                      <w:rPr>
                        <w:sz w:val="22"/>
                      </w:rPr>
                      <w:t>tamoxifen, estrogen use, obesity.</w:t>
                    </w:r>
                  </w:p>
                </w:txbxContent>
              </v:textbox>
              <w10:wrap type="none"/>
            </v:shape>
            <v:shape style="position:absolute;left:2205;top:5011;width:6941;height:538" type="#_x0000_t202" filled="false" stroked="false">
              <v:textbox inset="0,0,0,0">
                <w:txbxContent>
                  <w:p>
                    <w:pPr>
                      <w:spacing w:line="246" w:lineRule="exact" w:before="0"/>
                      <w:ind w:left="0" w:right="0" w:firstLine="0"/>
                      <w:jc w:val="left"/>
                      <w:rPr>
                        <w:sz w:val="22"/>
                      </w:rPr>
                    </w:pPr>
                    <w:r>
                      <w:rPr>
                        <w:sz w:val="22"/>
                      </w:rPr>
                      <w:t>KEYWORDS</w:t>
                    </w:r>
                  </w:p>
                  <w:p>
                    <w:pPr>
                      <w:spacing w:before="39"/>
                      <w:ind w:left="0" w:right="0" w:firstLine="0"/>
                      <w:jc w:val="left"/>
                      <w:rPr>
                        <w:sz w:val="22"/>
                      </w:rPr>
                    </w:pPr>
                    <w:r>
                      <w:rPr>
                        <w:sz w:val="22"/>
                      </w:rPr>
                      <w:t>Tamoxifen, uterine sarcoma, pelvic disease, radiation, leiomyosarcoma</w:t>
                    </w:r>
                  </w:p>
                </w:txbxContent>
              </v:textbox>
              <w10:wrap type="none"/>
            </v:shape>
          </v:group>
        </w:pict>
      </w:r>
      <w:r>
        <w:rPr>
          <w:sz w:val="20"/>
        </w:rPr>
      </w:r>
    </w:p>
    <w:p>
      <w:pPr>
        <w:spacing w:after="0"/>
        <w:rPr>
          <w:sz w:val="20"/>
        </w:rPr>
        <w:sectPr>
          <w:headerReference w:type="even" r:id="rId44"/>
          <w:pgSz w:w="12240" w:h="15840"/>
          <w:pgMar w:header="0" w:footer="872" w:top="1360" w:bottom="1060" w:left="0" w:right="0"/>
        </w:sectPr>
      </w:pPr>
    </w:p>
    <w:p>
      <w:pPr>
        <w:pStyle w:val="BodyText"/>
        <w:rPr>
          <w:b/>
          <w:sz w:val="26"/>
        </w:rPr>
      </w:pPr>
    </w:p>
    <w:p>
      <w:pPr>
        <w:pStyle w:val="Heading4"/>
        <w:spacing w:before="213"/>
      </w:pPr>
      <w:r>
        <w:rPr/>
        <w:t>INTRODUCCION</w:t>
      </w:r>
    </w:p>
    <w:p>
      <w:pPr>
        <w:pStyle w:val="BodyText"/>
        <w:spacing w:before="5"/>
        <w:rPr>
          <w:b/>
          <w:sz w:val="21"/>
        </w:rPr>
      </w:pPr>
    </w:p>
    <w:p>
      <w:pPr>
        <w:pStyle w:val="BodyText"/>
        <w:spacing w:line="276" w:lineRule="auto"/>
        <w:ind w:left="1440"/>
        <w:jc w:val="both"/>
      </w:pPr>
      <w:r>
        <w:rPr/>
        <w:t>Estos tumores usualmente surgen a partir del tejido uterino, sin embargo puede aparecer en el ovario, trompas de Falopio, cérvix, peritoneo u ocasionalmente de un pólipo endometrial benigno. Son  en general, </w:t>
      </w:r>
      <w:r>
        <w:rPr>
          <w:spacing w:val="1"/>
        </w:rPr>
        <w:t>el </w:t>
      </w:r>
      <w:r>
        <w:rPr/>
        <w:t>grupo de tumores uterinos más malignos, y se diferencian del cáncer de endometrio tanto en su diagnóstico como en su comportamiento clínico, patrón de diseminación y su</w:t>
      </w:r>
      <w:r>
        <w:rPr>
          <w:spacing w:val="-6"/>
        </w:rPr>
        <w:t> </w:t>
      </w:r>
      <w:r>
        <w:rPr/>
        <w:t>tratamiento.</w:t>
      </w:r>
    </w:p>
    <w:p>
      <w:pPr>
        <w:pStyle w:val="BodyText"/>
        <w:spacing w:line="276" w:lineRule="auto" w:before="202"/>
        <w:ind w:left="1440" w:right="1"/>
        <w:jc w:val="both"/>
      </w:pPr>
      <w:r>
        <w:rPr/>
        <w:t>El factor etiológico más comúnmente asociado a la aparición de sarcomas uterinos es la exposición previa a radiación pélvica, tanto por carcinomas del cuello uterino como por otras condiciones benignas.</w:t>
      </w:r>
    </w:p>
    <w:p>
      <w:pPr>
        <w:pStyle w:val="BodyText"/>
        <w:spacing w:line="276" w:lineRule="auto" w:before="198"/>
        <w:ind w:left="1440" w:right="1"/>
        <w:jc w:val="both"/>
      </w:pPr>
      <w:r>
        <w:rPr/>
        <w:t>Adicionalmente, otros factores de riesgo descritos en la literatura son el uso de</w:t>
      </w:r>
    </w:p>
    <w:p>
      <w:pPr>
        <w:pStyle w:val="BodyText"/>
        <w:spacing w:line="276" w:lineRule="auto" w:before="63"/>
        <w:ind w:left="681" w:right="1432"/>
        <w:jc w:val="both"/>
      </w:pPr>
      <w:r>
        <w:rPr/>
        <w:br w:type="column"/>
      </w:r>
      <w:r>
        <w:rPr/>
        <w:t>Tamoxifeno, estrógenos exógenos y la obesidad, aunque ha sido sugerido que la nuliparidad igualmente podría ser otro factor de riesgo. Las variantes histológicas más habituales son el sarcoma estromal endometrial, el leiomiosarcoma, el carcinosarcoma (tumor de Müller mixto maligno) de tipo homólogo (compuesto de tejido propio del útero) o heterólogo (compuesto de tejido extrauterino) y menos comúnmente, el adenosarcoma.</w:t>
      </w:r>
    </w:p>
    <w:p>
      <w:pPr>
        <w:pStyle w:val="Heading4"/>
        <w:spacing w:before="200"/>
        <w:ind w:left="681"/>
      </w:pPr>
      <w:r>
        <w:rPr/>
        <w:t>EPIDEMIOLOGIA</w:t>
      </w:r>
    </w:p>
    <w:p>
      <w:pPr>
        <w:pStyle w:val="BodyText"/>
        <w:spacing w:before="1"/>
        <w:rPr>
          <w:b/>
          <w:sz w:val="21"/>
        </w:rPr>
      </w:pPr>
    </w:p>
    <w:p>
      <w:pPr>
        <w:pStyle w:val="BodyText"/>
        <w:spacing w:line="276" w:lineRule="auto"/>
        <w:ind w:left="681" w:right="1436"/>
        <w:jc w:val="both"/>
      </w:pPr>
      <w:r>
        <w:rPr/>
        <w:t>La incidencia de los sarcomas uterinos varía entre 0.5-3.3 casos por cada 100000 mujeres por año. En general, el leiomiosarcoma y el carcinosarcoma en conjunto son responsables de un 40% de los casos, seguidos del sarcoma estromal endometrial (15%) y de otros sarcomas (5%), aunque en las publicaciones más recientes predomina </w:t>
      </w:r>
      <w:r>
        <w:rPr>
          <w:spacing w:val="-3"/>
        </w:rPr>
        <w:t>la </w:t>
      </w:r>
      <w:r>
        <w:rPr/>
        <w:t>variante de carcinosarcoma.</w:t>
      </w:r>
    </w:p>
    <w:p>
      <w:pPr>
        <w:spacing w:after="0" w:line="276" w:lineRule="auto"/>
        <w:jc w:val="both"/>
        <w:sectPr>
          <w:type w:val="continuous"/>
          <w:pgSz w:w="12240" w:h="15840"/>
          <w:pgMar w:top="1500" w:bottom="0" w:left="0" w:right="0"/>
          <w:cols w:num="2" w:equalWidth="0">
            <w:col w:w="5761" w:space="40"/>
            <w:col w:w="6439"/>
          </w:cols>
        </w:sectPr>
      </w:pPr>
    </w:p>
    <w:p>
      <w:pPr>
        <w:pStyle w:val="BodyText"/>
        <w:spacing w:before="8"/>
        <w:rPr>
          <w:sz w:val="13"/>
        </w:rPr>
      </w:pPr>
    </w:p>
    <w:p>
      <w:pPr>
        <w:spacing w:after="0"/>
        <w:rPr>
          <w:sz w:val="13"/>
        </w:rPr>
        <w:sectPr>
          <w:headerReference w:type="default" r:id="rId47"/>
          <w:headerReference w:type="even" r:id="rId48"/>
          <w:footerReference w:type="default" r:id="rId49"/>
          <w:footerReference w:type="even" r:id="rId50"/>
          <w:pgSz w:w="12240" w:h="15840"/>
          <w:pgMar w:header="963" w:footer="882" w:top="1180" w:bottom="1080" w:left="0" w:right="0"/>
          <w:pgNumType w:start="11"/>
        </w:sectPr>
      </w:pPr>
    </w:p>
    <w:p>
      <w:pPr>
        <w:pStyle w:val="BodyText"/>
        <w:spacing w:line="276" w:lineRule="auto" w:before="93"/>
        <w:ind w:left="1440"/>
        <w:jc w:val="both"/>
      </w:pPr>
      <w:r>
        <w:rPr/>
        <w:t>El leiomiosarcoma corresponde a aproximadamente un 1% de todas las enfermedades malignas del útero y el sarcoma estromal endometrial a un 0.2-1%. Suelen presentarse en mujeres postmenopáusicas, con una edad promedio de 55-58 años y en general poseen un pronóstico pobre, con una sobrevida global de 2 a 5 años de aproximadamente un 50%, incluso cuando son detectados en estadios</w:t>
      </w:r>
      <w:r>
        <w:rPr>
          <w:spacing w:val="-1"/>
        </w:rPr>
        <w:t> </w:t>
      </w:r>
      <w:r>
        <w:rPr/>
        <w:t>tempranos.</w:t>
      </w:r>
    </w:p>
    <w:p>
      <w:pPr>
        <w:pStyle w:val="Heading4"/>
        <w:spacing w:before="199"/>
        <w:ind w:left="1500"/>
        <w:jc w:val="both"/>
      </w:pPr>
      <w:r>
        <w:rPr/>
        <w:t>PRESENTACION CLINICA</w:t>
      </w:r>
    </w:p>
    <w:p>
      <w:pPr>
        <w:pStyle w:val="BodyText"/>
        <w:spacing w:before="1"/>
        <w:rPr>
          <w:b/>
          <w:sz w:val="21"/>
        </w:rPr>
      </w:pPr>
    </w:p>
    <w:p>
      <w:pPr>
        <w:pStyle w:val="BodyText"/>
        <w:spacing w:line="276" w:lineRule="auto"/>
        <w:ind w:left="1440"/>
        <w:jc w:val="both"/>
      </w:pPr>
      <w:r>
        <w:rPr>
          <w:b/>
          <w:i/>
        </w:rPr>
        <w:t>Tumores del estroma endometrial</w:t>
      </w:r>
      <w:r>
        <w:rPr/>
        <w:t>: aparecen sobre todo en mujeres perimenopáusicas entre los 45 y los 50 años de edad y cerca de un tercio de los casos en mujeres posmenopáusicas, sin existir relación entre </w:t>
      </w:r>
      <w:r>
        <w:rPr>
          <w:spacing w:val="-3"/>
        </w:rPr>
        <w:t>la</w:t>
      </w:r>
      <w:r>
        <w:rPr>
          <w:spacing w:val="55"/>
        </w:rPr>
        <w:t> </w:t>
      </w:r>
      <w:r>
        <w:rPr/>
        <w:t>paridad, enfermedades asociadas o </w:t>
      </w:r>
      <w:r>
        <w:rPr>
          <w:spacing w:val="-3"/>
        </w:rPr>
        <w:t>la </w:t>
      </w:r>
      <w:r>
        <w:rPr/>
        <w:t>radioterapia pélvica previa, aunque son raros en mujeres de raza</w:t>
      </w:r>
      <w:r>
        <w:rPr>
          <w:spacing w:val="-5"/>
        </w:rPr>
        <w:t> </w:t>
      </w:r>
      <w:r>
        <w:rPr/>
        <w:t>negra.</w:t>
      </w:r>
    </w:p>
    <w:p>
      <w:pPr>
        <w:pStyle w:val="BodyText"/>
        <w:spacing w:line="276" w:lineRule="auto" w:before="2"/>
        <w:ind w:left="1440" w:right="2"/>
        <w:jc w:val="both"/>
      </w:pPr>
      <w:r>
        <w:rPr/>
        <w:t>El síntoma más frecuente es </w:t>
      </w:r>
      <w:r>
        <w:rPr>
          <w:spacing w:val="-3"/>
        </w:rPr>
        <w:t>la </w:t>
      </w:r>
      <w:r>
        <w:rPr/>
        <w:t>metrorragia anómala, siendo menos frecuentes el dolor y </w:t>
      </w:r>
      <w:r>
        <w:rPr>
          <w:spacing w:val="-3"/>
        </w:rPr>
        <w:t>la </w:t>
      </w:r>
      <w:r>
        <w:rPr/>
        <w:t>presión abdominal provocados por una tumoración pélvica en crecimiento, y algunas pacientes son inclusive asintomáticas. La exploración pélvica suele revelar un crecimiento uterino irregular, a veces asociado a </w:t>
      </w:r>
      <w:r>
        <w:rPr>
          <w:spacing w:val="-3"/>
        </w:rPr>
        <w:t>la </w:t>
      </w:r>
      <w:r>
        <w:rPr/>
        <w:t>induración de los parametrios de consistencia</w:t>
      </w:r>
      <w:r>
        <w:rPr>
          <w:spacing w:val="-3"/>
        </w:rPr>
        <w:t> </w:t>
      </w:r>
      <w:r>
        <w:rPr/>
        <w:t>gomosa.</w:t>
      </w:r>
    </w:p>
    <w:p>
      <w:pPr>
        <w:pStyle w:val="BodyText"/>
        <w:spacing w:line="276" w:lineRule="auto" w:before="202"/>
        <w:ind w:left="1440"/>
        <w:jc w:val="both"/>
      </w:pPr>
      <w:r>
        <w:rPr>
          <w:b/>
          <w:i/>
        </w:rPr>
        <w:t>Leiomiosarcoma: </w:t>
      </w:r>
      <w:r>
        <w:rPr>
          <w:spacing w:val="-3"/>
        </w:rPr>
        <w:t>la </w:t>
      </w:r>
      <w:r>
        <w:rPr/>
        <w:t>media de edad de las mujeres (de 43 a 53 años) es algo menor que para otros sarcomas uterinos. Al igual que los sarcomas del estroma endometrial, no tiene ninguna relación con </w:t>
      </w:r>
      <w:r>
        <w:rPr>
          <w:spacing w:val="-3"/>
        </w:rPr>
        <w:t>la </w:t>
      </w:r>
      <w:r>
        <w:rPr/>
        <w:t>paridad sin embargo, las mujeres de raza negra tienen una mayor incidencia y peor  pronóstico. Los síntomas iniciales son usualmente de corta duración y no específicos de </w:t>
      </w:r>
      <w:r>
        <w:rPr>
          <w:spacing w:val="-3"/>
        </w:rPr>
        <w:t>la </w:t>
      </w:r>
      <w:r>
        <w:rPr/>
        <w:t>enfermedad, como por ejemplo </w:t>
      </w:r>
      <w:r>
        <w:rPr>
          <w:spacing w:val="-3"/>
        </w:rPr>
        <w:t>la </w:t>
      </w:r>
      <w:r>
        <w:rPr/>
        <w:t>hemorragia vaginal, </w:t>
      </w:r>
      <w:r>
        <w:rPr>
          <w:spacing w:val="1"/>
        </w:rPr>
        <w:t>el </w:t>
      </w:r>
      <w:r>
        <w:rPr/>
        <w:t>dolor o </w:t>
      </w:r>
      <w:r>
        <w:rPr>
          <w:spacing w:val="-3"/>
        </w:rPr>
        <w:t>la </w:t>
      </w:r>
      <w:r>
        <w:rPr/>
        <w:t>presión pélvica y el descubrimiento de</w:t>
      </w:r>
      <w:r>
        <w:rPr>
          <w:spacing w:val="10"/>
        </w:rPr>
        <w:t> </w:t>
      </w:r>
      <w:r>
        <w:rPr/>
        <w:t>una</w:t>
      </w:r>
    </w:p>
    <w:p>
      <w:pPr>
        <w:pStyle w:val="BodyText"/>
        <w:spacing w:line="276" w:lineRule="auto" w:before="93"/>
        <w:ind w:left="678" w:right="1435"/>
        <w:jc w:val="both"/>
      </w:pPr>
      <w:r>
        <w:rPr/>
        <w:br w:type="column"/>
      </w:r>
      <w:r>
        <w:rPr/>
        <w:t>tumoración abdominopélvica. El hallazgo físico principal es la tumoración pélvica. El diagnóstico debe sospecharse si un dolor pélvico intenso se acompaña de una tumoración de este tipo, sobre todo en una mujer posmenopáusica.</w:t>
      </w:r>
    </w:p>
    <w:p>
      <w:pPr>
        <w:pStyle w:val="BodyText"/>
        <w:spacing w:line="276" w:lineRule="auto" w:before="197"/>
        <w:ind w:left="678" w:right="1435"/>
        <w:jc w:val="both"/>
      </w:pPr>
      <w:r>
        <w:rPr>
          <w:b/>
          <w:i/>
        </w:rPr>
        <w:t>Carcinosarcoma: </w:t>
      </w:r>
      <w:r>
        <w:rPr/>
        <w:t>casi todos estos tumores aparecen tras </w:t>
      </w:r>
      <w:r>
        <w:rPr>
          <w:spacing w:val="-3"/>
        </w:rPr>
        <w:t>la </w:t>
      </w:r>
      <w:r>
        <w:rPr/>
        <w:t>menopausia, con una media de edad de 62 años. La incidencia  es mayor en las mujeres de raza negra y con frecuencia se encuentran en asociación con otras enfermedades médicas, como obesidad, diabetes mellitus e hipertensión. El síntoma de presentación más frecuente es el sangrado postmenopáusico, que aparece en el 80% al 90% de los casos, con otros síntomas menos frecuentes como </w:t>
      </w:r>
      <w:r>
        <w:rPr>
          <w:spacing w:val="-3"/>
        </w:rPr>
        <w:t>lo </w:t>
      </w:r>
      <w:r>
        <w:rPr/>
        <w:t>son </w:t>
      </w:r>
      <w:r>
        <w:rPr>
          <w:spacing w:val="-3"/>
        </w:rPr>
        <w:t>la </w:t>
      </w:r>
      <w:r>
        <w:rPr/>
        <w:t>secreción vaginal, el dolor abdominal o pélvico, </w:t>
      </w:r>
      <w:r>
        <w:rPr>
          <w:spacing w:val="-3"/>
        </w:rPr>
        <w:t>la </w:t>
      </w:r>
      <w:r>
        <w:rPr/>
        <w:t>pérdida de peso y </w:t>
      </w:r>
      <w:r>
        <w:rPr>
          <w:spacing w:val="-3"/>
        </w:rPr>
        <w:t>la </w:t>
      </w:r>
      <w:r>
        <w:rPr/>
        <w:t>salida de tejido fuera de </w:t>
      </w:r>
      <w:r>
        <w:rPr>
          <w:spacing w:val="-3"/>
        </w:rPr>
        <w:t>la </w:t>
      </w:r>
      <w:r>
        <w:rPr/>
        <w:t>vagina. En </w:t>
      </w:r>
      <w:r>
        <w:rPr>
          <w:spacing w:val="-3"/>
        </w:rPr>
        <w:t>la </w:t>
      </w:r>
      <w:r>
        <w:rPr/>
        <w:t>exploración física, se encuentra un útero aumentado de tamaño en el 50% al 95% de las pacientes, y puede observarse una tumoración polipoide dentro del canal endocervical o saliendo de éste hasta en el 50% de las</w:t>
      </w:r>
      <w:r>
        <w:rPr>
          <w:spacing w:val="-2"/>
        </w:rPr>
        <w:t> </w:t>
      </w:r>
      <w:r>
        <w:rPr/>
        <w:t>pacientes.</w:t>
      </w:r>
    </w:p>
    <w:p>
      <w:pPr>
        <w:pStyle w:val="BodyText"/>
        <w:spacing w:line="276" w:lineRule="auto" w:before="201"/>
        <w:ind w:left="678" w:right="1434"/>
        <w:jc w:val="both"/>
      </w:pPr>
      <w:r>
        <w:rPr>
          <w:b/>
          <w:i/>
        </w:rPr>
        <w:t>Adenosarcoma: </w:t>
      </w:r>
      <w:r>
        <w:rPr/>
        <w:t>la mayoría de las pacientes se presenta con sangrado vaginal posmenopáusico.</w:t>
      </w:r>
    </w:p>
    <w:p>
      <w:pPr>
        <w:pStyle w:val="Heading4"/>
        <w:spacing w:line="278" w:lineRule="auto" w:before="198"/>
        <w:ind w:left="678" w:right="1440"/>
        <w:jc w:val="both"/>
      </w:pPr>
      <w:r>
        <w:rPr/>
        <w:t>DIAGNÓSTICO, VALORACIÓN Y ESTADIAJE</w:t>
      </w:r>
    </w:p>
    <w:p>
      <w:pPr>
        <w:pStyle w:val="BodyText"/>
        <w:spacing w:line="276" w:lineRule="auto" w:before="199"/>
        <w:ind w:left="678" w:right="1433"/>
        <w:jc w:val="both"/>
      </w:pPr>
      <w:r>
        <w:rPr/>
        <w:t>Normalmente puede establecerse mediante </w:t>
      </w:r>
      <w:r>
        <w:rPr>
          <w:spacing w:val="-3"/>
        </w:rPr>
        <w:t>la </w:t>
      </w:r>
      <w:r>
        <w:rPr/>
        <w:t>biopsia de endometrio, sin embargo, en ciertas ocasiones el diagnóstico preoperatorio no es preciso, como por ejemplo el diagnóstico de mioma uterino en caso de tumores del estroma endometrial. La biopsia de endometrio puede únicamente establecer el diagnóstico hasta en un tercio de los casos de leiomiosarcoma cuando </w:t>
      </w:r>
      <w:r>
        <w:rPr>
          <w:spacing w:val="-3"/>
        </w:rPr>
        <w:t>la </w:t>
      </w:r>
      <w:r>
        <w:rPr/>
        <w:t>lesión se</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8"/>
        <w:rPr>
          <w:sz w:val="13"/>
        </w:rPr>
      </w:pPr>
    </w:p>
    <w:p>
      <w:pPr>
        <w:spacing w:after="0"/>
        <w:rPr>
          <w:sz w:val="13"/>
        </w:rPr>
        <w:sectPr>
          <w:pgSz w:w="12240" w:h="15840"/>
          <w:pgMar w:header="963" w:footer="872" w:top="1180" w:bottom="1060" w:left="0" w:right="0"/>
        </w:sectPr>
      </w:pPr>
    </w:p>
    <w:p>
      <w:pPr>
        <w:pStyle w:val="BodyText"/>
        <w:spacing w:line="259" w:lineRule="auto" w:before="93"/>
        <w:ind w:left="1440" w:right="41"/>
        <w:jc w:val="both"/>
      </w:pPr>
      <w:r>
        <w:rPr/>
        <w:t>encuentra submucosa, sin embargo, en la mayoría de los casos no se puede establecer un diagnóstico preoperatorio.</w:t>
      </w:r>
    </w:p>
    <w:p>
      <w:pPr>
        <w:pStyle w:val="BodyText"/>
        <w:spacing w:line="259" w:lineRule="auto" w:before="158"/>
        <w:ind w:left="1440" w:right="35"/>
        <w:jc w:val="both"/>
      </w:pPr>
      <w:r>
        <w:rPr/>
        <w:t>En el caso de un carcinosarcoma, el diagnóstico puede establecerse mediante </w:t>
      </w:r>
      <w:r>
        <w:rPr>
          <w:spacing w:val="-3"/>
        </w:rPr>
        <w:t>la </w:t>
      </w:r>
      <w:r>
        <w:rPr/>
        <w:t>biopsia de </w:t>
      </w:r>
      <w:r>
        <w:rPr>
          <w:spacing w:val="-3"/>
        </w:rPr>
        <w:t>la </w:t>
      </w:r>
      <w:r>
        <w:rPr/>
        <w:t>tumoración endocervical o un legrado endometrial. La resonancia magnética nuclear es ventajoso para </w:t>
      </w:r>
      <w:r>
        <w:rPr>
          <w:spacing w:val="-3"/>
        </w:rPr>
        <w:t>la </w:t>
      </w:r>
      <w:r>
        <w:rPr/>
        <w:t>detección y caracterización de las lesiones, al igual que valoración del estadiaje de las mismas. Aunque ciertos hallazgos radiológicos se pueden traslapar entre las diferentes variantes, ciertas características han sido descritas que podrían contribuir a reducir las posibilidades de diagnósticos diferenciales y guiar hacia un tratamiento más adecuado. La elevación preoperatoria de los niveles séricos de CA-125 en caso de carcinosarcomas funciona como marcador de enfermedad extrauterina e invasión miometrial profunda y su elevación posoperatoria es un factor pronóstico independiente para una supervivencia reservada. El estadiaje varía según </w:t>
      </w:r>
      <w:r>
        <w:rPr>
          <w:spacing w:val="-3"/>
        </w:rPr>
        <w:t>la </w:t>
      </w:r>
      <w:r>
        <w:rPr/>
        <w:t>estirpe</w:t>
      </w:r>
      <w:r>
        <w:rPr>
          <w:spacing w:val="-1"/>
        </w:rPr>
        <w:t> </w:t>
      </w:r>
      <w:r>
        <w:rPr/>
        <w:t>histológico.</w:t>
      </w:r>
    </w:p>
    <w:p>
      <w:pPr>
        <w:pStyle w:val="BodyText"/>
        <w:rPr>
          <w:sz w:val="14"/>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1"/>
      </w:tblGrid>
      <w:tr>
        <w:trPr>
          <w:trHeight w:val="682" w:hRule="atLeast"/>
        </w:trPr>
        <w:tc>
          <w:tcPr>
            <w:tcW w:w="4461" w:type="dxa"/>
          </w:tcPr>
          <w:p>
            <w:pPr>
              <w:pStyle w:val="TableParagraph"/>
              <w:tabs>
                <w:tab w:pos="1743" w:val="left" w:leader="none"/>
              </w:tabs>
              <w:spacing w:line="256" w:lineRule="auto"/>
              <w:ind w:right="99"/>
              <w:rPr>
                <w:i/>
                <w:sz w:val="20"/>
              </w:rPr>
            </w:pPr>
            <w:r>
              <w:rPr>
                <w:sz w:val="22"/>
              </w:rPr>
              <w:t>Cuadro </w:t>
            </w:r>
            <w:r>
              <w:rPr>
                <w:spacing w:val="13"/>
                <w:sz w:val="22"/>
              </w:rPr>
              <w:t> </w:t>
            </w:r>
            <w:r>
              <w:rPr>
                <w:sz w:val="22"/>
              </w:rPr>
              <w:t>32-1.</w:t>
              <w:tab/>
            </w:r>
            <w:r>
              <w:rPr>
                <w:i/>
                <w:sz w:val="20"/>
              </w:rPr>
              <w:t>Estadiaje de Sarcomas del </w:t>
            </w:r>
            <w:r>
              <w:rPr>
                <w:i/>
                <w:sz w:val="20"/>
              </w:rPr>
              <w:t>estroma endometrial y</w:t>
            </w:r>
            <w:r>
              <w:rPr>
                <w:i/>
                <w:spacing w:val="-5"/>
                <w:sz w:val="20"/>
              </w:rPr>
              <w:t> </w:t>
            </w:r>
            <w:r>
              <w:rPr>
                <w:i/>
                <w:sz w:val="20"/>
              </w:rPr>
              <w:t>adenosarcomas.</w:t>
            </w:r>
          </w:p>
        </w:tc>
      </w:tr>
      <w:tr>
        <w:trPr>
          <w:trHeight w:val="1093" w:hRule="atLeast"/>
        </w:trPr>
        <w:tc>
          <w:tcPr>
            <w:tcW w:w="4461" w:type="dxa"/>
          </w:tcPr>
          <w:p>
            <w:pPr>
              <w:pStyle w:val="TableParagraph"/>
              <w:rPr>
                <w:sz w:val="20"/>
              </w:rPr>
            </w:pPr>
            <w:r>
              <w:rPr>
                <w:sz w:val="22"/>
              </w:rPr>
              <w:t>Estadio I: </w:t>
            </w:r>
            <w:r>
              <w:rPr>
                <w:sz w:val="20"/>
              </w:rPr>
              <w:t>se limita al cuerpo uterino.</w:t>
            </w:r>
          </w:p>
          <w:p>
            <w:pPr>
              <w:pStyle w:val="TableParagraph"/>
              <w:spacing w:before="18"/>
              <w:rPr>
                <w:sz w:val="20"/>
              </w:rPr>
            </w:pPr>
            <w:r>
              <w:rPr>
                <w:sz w:val="22"/>
              </w:rPr>
              <w:t>IA: </w:t>
            </w:r>
            <w:r>
              <w:rPr>
                <w:sz w:val="20"/>
              </w:rPr>
              <w:t>tumor limitado al endometrio.</w:t>
            </w:r>
          </w:p>
          <w:p>
            <w:pPr>
              <w:pStyle w:val="TableParagraph"/>
              <w:spacing w:before="18"/>
              <w:rPr>
                <w:sz w:val="20"/>
              </w:rPr>
            </w:pPr>
            <w:r>
              <w:rPr>
                <w:sz w:val="22"/>
              </w:rPr>
              <w:t>IB: </w:t>
            </w:r>
            <w:r>
              <w:rPr>
                <w:sz w:val="20"/>
              </w:rPr>
              <w:t>invasión a menos del 50% del miometrio.</w:t>
            </w:r>
          </w:p>
          <w:p>
            <w:pPr>
              <w:pStyle w:val="TableParagraph"/>
              <w:spacing w:before="18"/>
              <w:rPr>
                <w:sz w:val="20"/>
              </w:rPr>
            </w:pPr>
            <w:r>
              <w:rPr>
                <w:sz w:val="22"/>
              </w:rPr>
              <w:t>IC: </w:t>
            </w:r>
            <w:r>
              <w:rPr>
                <w:sz w:val="20"/>
              </w:rPr>
              <w:t>invasión a más del 50% del miometrio</w:t>
            </w:r>
          </w:p>
        </w:tc>
      </w:tr>
      <w:tr>
        <w:trPr>
          <w:trHeight w:val="1474" w:hRule="atLeast"/>
        </w:trPr>
        <w:tc>
          <w:tcPr>
            <w:tcW w:w="4461" w:type="dxa"/>
          </w:tcPr>
          <w:p>
            <w:pPr>
              <w:pStyle w:val="TableParagraph"/>
              <w:spacing w:line="259" w:lineRule="auto"/>
              <w:ind w:right="98"/>
              <w:jc w:val="both"/>
              <w:rPr>
                <w:sz w:val="20"/>
              </w:rPr>
            </w:pPr>
            <w:r>
              <w:rPr>
                <w:sz w:val="22"/>
              </w:rPr>
              <w:t>Estadio II: </w:t>
            </w:r>
            <w:r>
              <w:rPr>
                <w:sz w:val="20"/>
              </w:rPr>
              <w:t>ha complicado el cuerpo y cuello uterino pero no se ha extendido afuera del útero.</w:t>
            </w:r>
          </w:p>
          <w:p>
            <w:pPr>
              <w:pStyle w:val="TableParagraph"/>
              <w:spacing w:before="5"/>
              <w:jc w:val="both"/>
              <w:rPr>
                <w:sz w:val="20"/>
              </w:rPr>
            </w:pPr>
            <w:r>
              <w:rPr>
                <w:sz w:val="22"/>
              </w:rPr>
              <w:t>IIA:</w:t>
            </w:r>
            <w:r>
              <w:rPr>
                <w:sz w:val="20"/>
              </w:rPr>
              <w:t>complicación glandular endocervical.</w:t>
            </w:r>
          </w:p>
          <w:p>
            <w:pPr>
              <w:pStyle w:val="TableParagraph"/>
              <w:spacing w:before="23"/>
              <w:jc w:val="both"/>
              <w:rPr>
                <w:sz w:val="20"/>
              </w:rPr>
            </w:pPr>
            <w:r>
              <w:rPr>
                <w:sz w:val="22"/>
              </w:rPr>
              <w:t>IIB: </w:t>
            </w:r>
            <w:r>
              <w:rPr>
                <w:sz w:val="20"/>
              </w:rPr>
              <w:t>invasión estromal cervical.</w:t>
            </w:r>
          </w:p>
        </w:tc>
      </w:tr>
      <w:tr>
        <w:trPr>
          <w:trHeight w:val="1590" w:hRule="atLeast"/>
        </w:trPr>
        <w:tc>
          <w:tcPr>
            <w:tcW w:w="4461" w:type="dxa"/>
          </w:tcPr>
          <w:p>
            <w:pPr>
              <w:pStyle w:val="TableParagraph"/>
              <w:spacing w:line="261" w:lineRule="auto"/>
              <w:rPr>
                <w:sz w:val="20"/>
              </w:rPr>
            </w:pPr>
            <w:r>
              <w:rPr>
                <w:sz w:val="22"/>
              </w:rPr>
              <w:t>Estadio III: </w:t>
            </w:r>
            <w:r>
              <w:rPr>
                <w:sz w:val="20"/>
              </w:rPr>
              <w:t>extensión fuera del útero pero limitada a la pelvis verdadera.</w:t>
            </w:r>
          </w:p>
          <w:p>
            <w:pPr>
              <w:pStyle w:val="TableParagraph"/>
              <w:spacing w:line="252" w:lineRule="exact" w:before="3"/>
              <w:rPr>
                <w:sz w:val="20"/>
              </w:rPr>
            </w:pPr>
            <w:r>
              <w:rPr>
                <w:sz w:val="22"/>
              </w:rPr>
              <w:t>IIIA: </w:t>
            </w:r>
            <w:r>
              <w:rPr>
                <w:sz w:val="20"/>
              </w:rPr>
              <w:t>invade serosa o anexos o citología</w:t>
            </w:r>
          </w:p>
          <w:p>
            <w:pPr>
              <w:pStyle w:val="TableParagraph"/>
              <w:spacing w:before="18"/>
              <w:rPr>
                <w:sz w:val="22"/>
              </w:rPr>
            </w:pPr>
            <w:r>
              <w:rPr>
                <w:sz w:val="22"/>
              </w:rPr>
              <w:t>peritoneal positiva.</w:t>
            </w:r>
          </w:p>
          <w:p>
            <w:pPr>
              <w:pStyle w:val="TableParagraph"/>
              <w:spacing w:line="250" w:lineRule="atLeast" w:before="18"/>
              <w:ind w:right="99"/>
              <w:rPr>
                <w:sz w:val="20"/>
              </w:rPr>
            </w:pPr>
            <w:r>
              <w:rPr>
                <w:sz w:val="22"/>
              </w:rPr>
              <w:t>IIIB: </w:t>
            </w:r>
            <w:r>
              <w:rPr>
                <w:sz w:val="20"/>
              </w:rPr>
              <w:t>metástasis a ganglios linfáticos pélvicos o para-aórticos.</w:t>
            </w:r>
          </w:p>
        </w:tc>
      </w:tr>
      <w:tr>
        <w:trPr>
          <w:trHeight w:val="677" w:hRule="atLeast"/>
        </w:trPr>
        <w:tc>
          <w:tcPr>
            <w:tcW w:w="4461" w:type="dxa"/>
          </w:tcPr>
          <w:p>
            <w:pPr>
              <w:pStyle w:val="TableParagraph"/>
              <w:spacing w:line="256" w:lineRule="auto"/>
              <w:rPr>
                <w:sz w:val="20"/>
              </w:rPr>
            </w:pPr>
            <w:r>
              <w:rPr>
                <w:sz w:val="22"/>
              </w:rPr>
              <w:t>Estadio IV: </w:t>
            </w:r>
            <w:r>
              <w:rPr>
                <w:sz w:val="20"/>
              </w:rPr>
              <w:t>complicación a la vejiga o mucosa intestinal o metástasis a sitios distantes.</w:t>
            </w:r>
          </w:p>
        </w:tc>
      </w:tr>
    </w:tbl>
    <w:p>
      <w:pPr>
        <w:pStyle w:val="BodyText"/>
        <w:spacing w:before="4"/>
        <w:rPr>
          <w:sz w:val="8"/>
        </w:rPr>
      </w:pPr>
      <w:r>
        <w:rPr/>
        <w:br w:type="column"/>
      </w:r>
      <w:r>
        <w:rPr>
          <w:sz w:val="8"/>
        </w:rPr>
      </w: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2"/>
      </w:tblGrid>
      <w:tr>
        <w:trPr>
          <w:trHeight w:val="953" w:hRule="atLeast"/>
        </w:trPr>
        <w:tc>
          <w:tcPr>
            <w:tcW w:w="4462" w:type="dxa"/>
          </w:tcPr>
          <w:p>
            <w:pPr>
              <w:pStyle w:val="TableParagraph"/>
              <w:spacing w:line="256" w:lineRule="auto"/>
              <w:ind w:right="100"/>
              <w:jc w:val="both"/>
              <w:rPr>
                <w:sz w:val="20"/>
              </w:rPr>
            </w:pPr>
            <w:r>
              <w:rPr>
                <w:sz w:val="22"/>
              </w:rPr>
              <w:t>IVA: </w:t>
            </w:r>
            <w:r>
              <w:rPr>
                <w:sz w:val="20"/>
              </w:rPr>
              <w:t>invasión de la vejiga o mucosa intestinal. </w:t>
            </w:r>
            <w:r>
              <w:rPr>
                <w:sz w:val="22"/>
              </w:rPr>
              <w:t>IVB: </w:t>
            </w:r>
            <w:r>
              <w:rPr>
                <w:sz w:val="20"/>
              </w:rPr>
              <w:t>metástasis distantes, incluido ganglios linfáticos intraabdominales o inguinales</w:t>
            </w:r>
          </w:p>
        </w:tc>
      </w:tr>
    </w:tbl>
    <w:p>
      <w:pPr>
        <w:pStyle w:val="BodyText"/>
        <w:rPr>
          <w:sz w:val="24"/>
        </w:rPr>
      </w:pPr>
    </w:p>
    <w:p>
      <w:pPr>
        <w:pStyle w:val="BodyText"/>
        <w:spacing w:line="259" w:lineRule="auto" w:before="158"/>
        <w:ind w:left="640" w:right="1433"/>
        <w:jc w:val="both"/>
      </w:pPr>
      <w:r>
        <w:rPr/>
        <w:t>En cuanto a los carcinosarcomas, se utiliza el mismo estadiaje que para los tumores del cuerpo uterino de tipo histológico endometrioide. En el caso de los leiomiosarcomas se utiliza el estadiaje establecido por la FIGO en el año 2009</w:t>
      </w:r>
    </w:p>
    <w:p>
      <w:pPr>
        <w:pStyle w:val="BodyText"/>
        <w:rPr>
          <w:sz w:val="14"/>
        </w:rPr>
      </w:pPr>
    </w:p>
    <w:tbl>
      <w:tblPr>
        <w:tblW w:w="0" w:type="auto"/>
        <w:jc w:val="left"/>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62"/>
      </w:tblGrid>
      <w:tr>
        <w:trPr>
          <w:trHeight w:val="434" w:hRule="atLeast"/>
        </w:trPr>
        <w:tc>
          <w:tcPr>
            <w:tcW w:w="4462" w:type="dxa"/>
          </w:tcPr>
          <w:p>
            <w:pPr>
              <w:pStyle w:val="TableParagraph"/>
              <w:rPr>
                <w:i/>
                <w:sz w:val="20"/>
              </w:rPr>
            </w:pPr>
            <w:r>
              <w:rPr>
                <w:sz w:val="22"/>
              </w:rPr>
              <w:t>Cuadro 32-2. </w:t>
            </w:r>
            <w:r>
              <w:rPr>
                <w:i/>
                <w:sz w:val="20"/>
              </w:rPr>
              <w:t>Estadiaje – Leiomiosarcomas.</w:t>
            </w:r>
          </w:p>
        </w:tc>
      </w:tr>
      <w:tr>
        <w:trPr>
          <w:trHeight w:val="978" w:hRule="atLeast"/>
        </w:trPr>
        <w:tc>
          <w:tcPr>
            <w:tcW w:w="4462" w:type="dxa"/>
          </w:tcPr>
          <w:p>
            <w:pPr>
              <w:pStyle w:val="TableParagraph"/>
              <w:spacing w:line="256" w:lineRule="auto" w:before="1"/>
              <w:ind w:right="1006"/>
              <w:rPr>
                <w:sz w:val="20"/>
              </w:rPr>
            </w:pPr>
            <w:r>
              <w:rPr>
                <w:sz w:val="22"/>
              </w:rPr>
              <w:t>Estadio I: </w:t>
            </w:r>
            <w:r>
              <w:rPr>
                <w:sz w:val="20"/>
              </w:rPr>
              <w:t>se limita al cuerpo uterino</w:t>
            </w:r>
            <w:r>
              <w:rPr>
                <w:sz w:val="22"/>
              </w:rPr>
              <w:t>. IA: </w:t>
            </w:r>
            <w:r>
              <w:rPr>
                <w:sz w:val="20"/>
              </w:rPr>
              <w:t>tumor menor a 5cm.</w:t>
            </w:r>
          </w:p>
          <w:p>
            <w:pPr>
              <w:pStyle w:val="TableParagraph"/>
              <w:spacing w:before="2"/>
              <w:rPr>
                <w:sz w:val="20"/>
              </w:rPr>
            </w:pPr>
            <w:r>
              <w:rPr>
                <w:sz w:val="22"/>
              </w:rPr>
              <w:t>IB: </w:t>
            </w:r>
            <w:r>
              <w:rPr>
                <w:sz w:val="20"/>
              </w:rPr>
              <w:t>tumor mayor a 5cm.</w:t>
            </w:r>
          </w:p>
        </w:tc>
      </w:tr>
      <w:tr>
        <w:trPr>
          <w:trHeight w:val="1230" w:hRule="atLeast"/>
        </w:trPr>
        <w:tc>
          <w:tcPr>
            <w:tcW w:w="4462" w:type="dxa"/>
          </w:tcPr>
          <w:p>
            <w:pPr>
              <w:pStyle w:val="TableParagraph"/>
              <w:rPr>
                <w:sz w:val="20"/>
              </w:rPr>
            </w:pPr>
            <w:r>
              <w:rPr>
                <w:sz w:val="22"/>
              </w:rPr>
              <w:t>Estadio II: </w:t>
            </w:r>
            <w:r>
              <w:rPr>
                <w:sz w:val="20"/>
              </w:rPr>
              <w:t>tumor extendido a la pelvis.</w:t>
            </w:r>
          </w:p>
          <w:p>
            <w:pPr>
              <w:pStyle w:val="TableParagraph"/>
              <w:spacing w:before="18"/>
              <w:rPr>
                <w:sz w:val="20"/>
              </w:rPr>
            </w:pPr>
            <w:r>
              <w:rPr>
                <w:sz w:val="22"/>
              </w:rPr>
              <w:t>IIA: </w:t>
            </w:r>
            <w:r>
              <w:rPr>
                <w:sz w:val="20"/>
              </w:rPr>
              <w:t>afección anexial.</w:t>
            </w:r>
          </w:p>
          <w:p>
            <w:pPr>
              <w:pStyle w:val="TableParagraph"/>
              <w:tabs>
                <w:tab w:pos="695" w:val="left" w:leader="none"/>
                <w:tab w:pos="1462" w:val="left" w:leader="none"/>
                <w:tab w:pos="2584" w:val="left" w:leader="none"/>
                <w:tab w:pos="2996" w:val="left" w:leader="none"/>
                <w:tab w:pos="3727" w:val="left" w:leader="none"/>
              </w:tabs>
              <w:spacing w:line="261" w:lineRule="auto" w:before="18"/>
              <w:ind w:right="104"/>
              <w:rPr>
                <w:sz w:val="20"/>
              </w:rPr>
            </w:pPr>
            <w:r>
              <w:rPr>
                <w:sz w:val="22"/>
              </w:rPr>
              <w:t>IIB:</w:t>
              <w:tab/>
            </w:r>
            <w:r>
              <w:rPr>
                <w:sz w:val="20"/>
              </w:rPr>
              <w:t>tumor</w:t>
              <w:tab/>
              <w:t>extendido</w:t>
              <w:tab/>
              <w:t>al</w:t>
              <w:tab/>
              <w:t>tejido</w:t>
              <w:tab/>
            </w:r>
            <w:r>
              <w:rPr>
                <w:spacing w:val="-1"/>
                <w:sz w:val="20"/>
              </w:rPr>
              <w:t>pélvico </w:t>
            </w:r>
            <w:r>
              <w:rPr>
                <w:sz w:val="20"/>
              </w:rPr>
              <w:t>extrauterino.</w:t>
            </w:r>
          </w:p>
        </w:tc>
      </w:tr>
      <w:tr>
        <w:trPr>
          <w:trHeight w:val="1746" w:hRule="atLeast"/>
        </w:trPr>
        <w:tc>
          <w:tcPr>
            <w:tcW w:w="4462" w:type="dxa"/>
          </w:tcPr>
          <w:p>
            <w:pPr>
              <w:pStyle w:val="TableParagraph"/>
              <w:spacing w:line="256" w:lineRule="auto"/>
              <w:rPr>
                <w:sz w:val="20"/>
              </w:rPr>
            </w:pPr>
            <w:r>
              <w:rPr>
                <w:sz w:val="22"/>
              </w:rPr>
              <w:t>Estadio III: </w:t>
            </w:r>
            <w:r>
              <w:rPr>
                <w:sz w:val="20"/>
              </w:rPr>
              <w:t>tumor que invade los tejidos abdominales.</w:t>
            </w:r>
          </w:p>
          <w:p>
            <w:pPr>
              <w:pStyle w:val="TableParagraph"/>
              <w:spacing w:before="7"/>
              <w:rPr>
                <w:sz w:val="20"/>
              </w:rPr>
            </w:pPr>
            <w:r>
              <w:rPr>
                <w:sz w:val="22"/>
              </w:rPr>
              <w:t>IIIA: </w:t>
            </w:r>
            <w:r>
              <w:rPr>
                <w:sz w:val="20"/>
              </w:rPr>
              <w:t>una localización única.</w:t>
            </w:r>
          </w:p>
          <w:p>
            <w:pPr>
              <w:pStyle w:val="TableParagraph"/>
              <w:spacing w:before="23"/>
              <w:rPr>
                <w:sz w:val="20"/>
              </w:rPr>
            </w:pPr>
            <w:r>
              <w:rPr>
                <w:sz w:val="22"/>
              </w:rPr>
              <w:t>IIIB: </w:t>
            </w:r>
            <w:r>
              <w:rPr>
                <w:sz w:val="20"/>
              </w:rPr>
              <w:t>más de una localización.</w:t>
            </w:r>
          </w:p>
          <w:p>
            <w:pPr>
              <w:pStyle w:val="TableParagraph"/>
              <w:tabs>
                <w:tab w:pos="1714" w:val="left" w:leader="none"/>
                <w:tab w:pos="2074" w:val="left" w:leader="none"/>
                <w:tab w:pos="2581" w:val="left" w:leader="none"/>
                <w:tab w:pos="3572" w:val="left" w:leader="none"/>
              </w:tabs>
              <w:spacing w:line="256" w:lineRule="auto" w:before="19"/>
              <w:ind w:right="102"/>
              <w:rPr>
                <w:sz w:val="20"/>
              </w:rPr>
            </w:pPr>
            <w:r>
              <w:rPr>
                <w:sz w:val="22"/>
              </w:rPr>
              <w:t>IIIC:</w:t>
            </w:r>
            <w:r>
              <w:rPr>
                <w:sz w:val="20"/>
              </w:rPr>
              <w:t>metástasis</w:t>
              <w:tab/>
              <w:t>a</w:t>
              <w:tab/>
              <w:t>los</w:t>
              <w:tab/>
              <w:t>ganglios</w:t>
              <w:tab/>
            </w:r>
            <w:r>
              <w:rPr>
                <w:spacing w:val="-1"/>
                <w:sz w:val="20"/>
              </w:rPr>
              <w:t>linfáticos </w:t>
            </w:r>
            <w:r>
              <w:rPr>
                <w:sz w:val="20"/>
              </w:rPr>
              <w:t>pélvicos y/o para-aórticos.</w:t>
            </w:r>
          </w:p>
        </w:tc>
      </w:tr>
      <w:tr>
        <w:trPr>
          <w:trHeight w:val="1162" w:hRule="atLeast"/>
        </w:trPr>
        <w:tc>
          <w:tcPr>
            <w:tcW w:w="4462" w:type="dxa"/>
          </w:tcPr>
          <w:p>
            <w:pPr>
              <w:pStyle w:val="TableParagraph"/>
              <w:spacing w:line="273" w:lineRule="auto"/>
              <w:ind w:right="253"/>
              <w:rPr>
                <w:sz w:val="22"/>
              </w:rPr>
            </w:pPr>
            <w:r>
              <w:rPr>
                <w:sz w:val="22"/>
              </w:rPr>
              <w:t>Estadio IV: </w:t>
            </w:r>
            <w:r>
              <w:rPr>
                <w:sz w:val="20"/>
              </w:rPr>
              <w:t>complicación a la vejiga o recto o metástasis a sitios distantes</w:t>
            </w:r>
            <w:r>
              <w:rPr>
                <w:sz w:val="22"/>
              </w:rPr>
              <w:t>.</w:t>
            </w:r>
          </w:p>
          <w:p>
            <w:pPr>
              <w:pStyle w:val="TableParagraph"/>
              <w:spacing w:before="4"/>
              <w:rPr>
                <w:sz w:val="20"/>
              </w:rPr>
            </w:pPr>
            <w:r>
              <w:rPr>
                <w:sz w:val="22"/>
              </w:rPr>
              <w:t>IVA: </w:t>
            </w:r>
            <w:r>
              <w:rPr>
                <w:sz w:val="20"/>
              </w:rPr>
              <w:t>invasión de la vejiga o recto.</w:t>
            </w:r>
          </w:p>
          <w:p>
            <w:pPr>
              <w:pStyle w:val="TableParagraph"/>
              <w:spacing w:before="39"/>
              <w:rPr>
                <w:sz w:val="22"/>
              </w:rPr>
            </w:pPr>
            <w:r>
              <w:rPr>
                <w:sz w:val="22"/>
              </w:rPr>
              <w:t>IVB: </w:t>
            </w:r>
            <w:r>
              <w:rPr>
                <w:sz w:val="20"/>
              </w:rPr>
              <w:t>metástasis distantes</w:t>
            </w:r>
            <w:r>
              <w:rPr>
                <w:sz w:val="22"/>
              </w:rPr>
              <w:t>.</w:t>
            </w:r>
          </w:p>
        </w:tc>
      </w:tr>
    </w:tbl>
    <w:p>
      <w:pPr>
        <w:pStyle w:val="BodyText"/>
        <w:rPr>
          <w:sz w:val="24"/>
        </w:rPr>
      </w:pPr>
    </w:p>
    <w:p>
      <w:pPr>
        <w:pStyle w:val="Heading4"/>
        <w:spacing w:before="155"/>
        <w:ind w:left="640"/>
      </w:pPr>
      <w:r>
        <w:rPr/>
        <w:t>TRATAMIENTO</w:t>
      </w:r>
    </w:p>
    <w:p>
      <w:pPr>
        <w:pStyle w:val="BodyText"/>
        <w:spacing w:before="5"/>
        <w:rPr>
          <w:b/>
          <w:sz w:val="21"/>
        </w:rPr>
      </w:pPr>
    </w:p>
    <w:p>
      <w:pPr>
        <w:pStyle w:val="BodyText"/>
        <w:spacing w:line="276" w:lineRule="auto"/>
        <w:ind w:left="640" w:right="1436" w:firstLine="60"/>
        <w:jc w:val="both"/>
      </w:pPr>
      <w:r>
        <w:rPr/>
        <w:t>Las recurrencias aparecen en más de </w:t>
      </w:r>
      <w:r>
        <w:rPr>
          <w:spacing w:val="-3"/>
        </w:rPr>
        <w:t>la </w:t>
      </w:r>
      <w:r>
        <w:rPr/>
        <w:t>mitad de los sarcomas uterinos, incluso cuando </w:t>
      </w:r>
      <w:r>
        <w:rPr>
          <w:spacing w:val="-3"/>
        </w:rPr>
        <w:t>la </w:t>
      </w:r>
      <w:r>
        <w:rPr/>
        <w:t>enfermedad está aparentemente localizada en el momento del tratamiento. La principal limitación en </w:t>
      </w:r>
      <w:r>
        <w:rPr>
          <w:spacing w:val="-3"/>
        </w:rPr>
        <w:t>lo </w:t>
      </w:r>
      <w:r>
        <w:rPr/>
        <w:t>que respecta a </w:t>
      </w:r>
      <w:r>
        <w:rPr>
          <w:spacing w:val="-3"/>
        </w:rPr>
        <w:t>la </w:t>
      </w:r>
      <w:r>
        <w:rPr/>
        <w:t>curación de los sarcomas uterinos es </w:t>
      </w:r>
      <w:r>
        <w:rPr>
          <w:spacing w:val="-3"/>
        </w:rPr>
        <w:t>la </w:t>
      </w:r>
      <w:r>
        <w:rPr/>
        <w:t>diseminación a</w:t>
      </w:r>
      <w:r>
        <w:rPr>
          <w:spacing w:val="-1"/>
        </w:rPr>
        <w:t> </w:t>
      </w:r>
      <w:r>
        <w:rPr/>
        <w:t>distancia.</w:t>
      </w:r>
    </w:p>
    <w:p>
      <w:pPr>
        <w:pStyle w:val="BodyText"/>
        <w:spacing w:line="276" w:lineRule="auto" w:before="201"/>
        <w:ind w:left="640" w:right="1437"/>
        <w:jc w:val="both"/>
      </w:pPr>
      <w:r>
        <w:rPr/>
        <w:t>El tratamiento de la mayoría de los sarcomas en estadio I y II debe incluir la histerectomía, la ovariosalpingectomía</w:t>
      </w:r>
    </w:p>
    <w:p>
      <w:pPr>
        <w:spacing w:after="0" w:line="276" w:lineRule="auto"/>
        <w:jc w:val="both"/>
        <w:sectPr>
          <w:type w:val="continuous"/>
          <w:pgSz w:w="12240" w:h="15840"/>
          <w:pgMar w:top="1500" w:bottom="0" w:left="0" w:right="0"/>
          <w:cols w:num="2" w:equalWidth="0">
            <w:col w:w="5802" w:space="40"/>
            <w:col w:w="6398"/>
          </w:cols>
        </w:sectPr>
      </w:pPr>
    </w:p>
    <w:p>
      <w:pPr>
        <w:pStyle w:val="BodyText"/>
        <w:spacing w:before="8"/>
        <w:rPr>
          <w:sz w:val="13"/>
        </w:rPr>
      </w:pPr>
    </w:p>
    <w:p>
      <w:pPr>
        <w:spacing w:after="0"/>
        <w:rPr>
          <w:sz w:val="13"/>
        </w:rPr>
        <w:sectPr>
          <w:pgSz w:w="12240" w:h="15840"/>
          <w:pgMar w:header="963" w:footer="882" w:top="1180" w:bottom="1080" w:left="0" w:right="0"/>
        </w:sectPr>
      </w:pPr>
    </w:p>
    <w:p>
      <w:pPr>
        <w:pStyle w:val="BodyText"/>
        <w:spacing w:line="278" w:lineRule="auto" w:before="93"/>
        <w:ind w:left="1440" w:right="2"/>
        <w:jc w:val="both"/>
      </w:pPr>
      <w:r>
        <w:rPr/>
        <w:t>bilateral y el tratamiento de ganglios linfáticos mediante radioterapia o cirugía.</w:t>
      </w:r>
    </w:p>
    <w:p>
      <w:pPr>
        <w:pStyle w:val="BodyText"/>
        <w:tabs>
          <w:tab w:pos="5513" w:val="left" w:leader="none"/>
        </w:tabs>
        <w:spacing w:line="276" w:lineRule="auto" w:before="154"/>
        <w:ind w:left="1440"/>
        <w:jc w:val="both"/>
      </w:pPr>
      <w:r>
        <w:rPr/>
        <w:t>Debe de considerarse el uso de </w:t>
      </w:r>
      <w:r>
        <w:rPr>
          <w:spacing w:val="-3"/>
        </w:rPr>
        <w:t>la </w:t>
      </w:r>
      <w:r>
        <w:rPr/>
        <w:t>quimioterapia adyuvante para reducir </w:t>
      </w:r>
      <w:r>
        <w:rPr>
          <w:spacing w:val="-3"/>
        </w:rPr>
        <w:t>la </w:t>
      </w:r>
      <w:r>
        <w:rPr/>
        <w:t>incidencia de metástasis a distancia. En el caso de estadio III, </w:t>
      </w:r>
      <w:r>
        <w:rPr>
          <w:spacing w:val="-3"/>
        </w:rPr>
        <w:t>la </w:t>
      </w:r>
      <w:r>
        <w:rPr/>
        <w:t>mejor terapia es un abordaje agresivo que incluya cirugía, radioterapia    </w:t>
      </w:r>
      <w:r>
        <w:rPr>
          <w:spacing w:val="42"/>
        </w:rPr>
        <w:t> </w:t>
      </w:r>
      <w:r>
        <w:rPr/>
        <w:t>y    </w:t>
      </w:r>
      <w:r>
        <w:rPr>
          <w:spacing w:val="40"/>
        </w:rPr>
        <w:t> </w:t>
      </w:r>
      <w:r>
        <w:rPr/>
        <w:t>quimioterapia.</w:t>
        <w:tab/>
        <w:t>La enfermedad en estadio IV debe tratarse con quimioterapia</w:t>
      </w:r>
      <w:r>
        <w:rPr>
          <w:spacing w:val="-1"/>
        </w:rPr>
        <w:t> </w:t>
      </w:r>
      <w:r>
        <w:rPr/>
        <w:t>combinada.</w:t>
      </w:r>
    </w:p>
    <w:p>
      <w:pPr>
        <w:pStyle w:val="BodyText"/>
        <w:spacing w:line="276" w:lineRule="auto" w:before="157"/>
        <w:ind w:left="1440" w:right="1"/>
        <w:jc w:val="both"/>
      </w:pPr>
      <w:r>
        <w:rPr>
          <w:b/>
          <w:i/>
        </w:rPr>
        <w:t>Cirugía: </w:t>
      </w:r>
      <w:r>
        <w:rPr/>
        <w:t>no debe aplazarse la cirugía utilizando primero la radioterapia o la quimioterapia. La histerectomía abdominal total con resección de la totalidad del tumor detectable macroscópicamente es la intervención estándar y también debe realizarse la ovariosalpingectomía bilateral en todas las pacientes, excepto en las premenopáusicas con diagnóstico de leiomiosarcoma.</w:t>
      </w:r>
    </w:p>
    <w:p>
      <w:pPr>
        <w:pStyle w:val="BodyText"/>
        <w:spacing w:line="276" w:lineRule="auto" w:before="201"/>
        <w:ind w:left="1440" w:right="1"/>
        <w:jc w:val="both"/>
      </w:pPr>
      <w:r>
        <w:rPr/>
        <w:t>En caso de sarcomas del estroma endometrial, las metástasis también son candidatas a resección quirúrgica en ciertos casos. En el caso de un leiomiosarcoma, la linfadenectomía pélvica y peri-aórtica no se indica de forma rutinaria.</w:t>
      </w:r>
    </w:p>
    <w:p>
      <w:pPr>
        <w:pStyle w:val="BodyText"/>
        <w:spacing w:line="276" w:lineRule="auto" w:before="201"/>
        <w:ind w:left="1440"/>
        <w:jc w:val="both"/>
      </w:pPr>
      <w:r>
        <w:rPr>
          <w:b/>
          <w:i/>
        </w:rPr>
        <w:t>Radioterapia: </w:t>
      </w:r>
      <w:r>
        <w:rPr>
          <w:spacing w:val="-3"/>
        </w:rPr>
        <w:t>la </w:t>
      </w:r>
      <w:r>
        <w:rPr/>
        <w:t>radioterapia adyuvante preoperatoria o postoperatoria puede ser útil en disminuir las recurrencias pélvicas y, por </w:t>
      </w:r>
      <w:r>
        <w:rPr>
          <w:spacing w:val="-3"/>
        </w:rPr>
        <w:t>lo </w:t>
      </w:r>
      <w:r>
        <w:rPr/>
        <w:t>tanto, incrementando </w:t>
      </w:r>
      <w:r>
        <w:rPr>
          <w:spacing w:val="-3"/>
        </w:rPr>
        <w:t>la </w:t>
      </w:r>
      <w:r>
        <w:rPr/>
        <w:t>calidad de vida en las pacientes con sarcomas del estroma endometrial y carcinosarcomas, pero no así en caso de</w:t>
      </w:r>
      <w:r>
        <w:rPr>
          <w:spacing w:val="-15"/>
        </w:rPr>
        <w:t> </w:t>
      </w:r>
      <w:r>
        <w:rPr/>
        <w:t>leiomiosarcomas.</w:t>
      </w:r>
    </w:p>
    <w:p>
      <w:pPr>
        <w:pStyle w:val="BodyText"/>
        <w:spacing w:line="276" w:lineRule="auto" w:before="201"/>
        <w:ind w:left="1440" w:right="2"/>
        <w:jc w:val="both"/>
      </w:pPr>
      <w:r>
        <w:rPr/>
        <w:t>Aun así, </w:t>
      </w:r>
      <w:r>
        <w:rPr>
          <w:spacing w:val="-3"/>
        </w:rPr>
        <w:t>la </w:t>
      </w:r>
      <w:r>
        <w:rPr/>
        <w:t>radioterapia no ha mostrado una mejoría en </w:t>
      </w:r>
      <w:r>
        <w:rPr>
          <w:spacing w:val="-3"/>
        </w:rPr>
        <w:t>la </w:t>
      </w:r>
      <w:r>
        <w:rPr/>
        <w:t>supervivencia a largo plazo. La radioterapia no está indicada en caso de una resección completa de un leiomiosarcoma en estadio I o</w:t>
      </w:r>
      <w:r>
        <w:rPr>
          <w:spacing w:val="-10"/>
        </w:rPr>
        <w:t> </w:t>
      </w:r>
      <w:r>
        <w:rPr/>
        <w:t>II.</w:t>
      </w:r>
    </w:p>
    <w:p>
      <w:pPr>
        <w:pStyle w:val="BodyText"/>
        <w:spacing w:line="276" w:lineRule="auto" w:before="201"/>
        <w:ind w:left="1440"/>
        <w:jc w:val="both"/>
      </w:pPr>
      <w:r>
        <w:rPr>
          <w:b/>
          <w:i/>
        </w:rPr>
        <w:t>Quimioterapia: </w:t>
      </w:r>
      <w:r>
        <w:rPr/>
        <w:t>varias sustancias quimioterapéuticas tienen actividad en los</w:t>
      </w:r>
    </w:p>
    <w:p>
      <w:pPr>
        <w:pStyle w:val="BodyText"/>
        <w:spacing w:line="276" w:lineRule="auto" w:before="93"/>
        <w:ind w:left="678" w:right="1435"/>
        <w:jc w:val="both"/>
      </w:pPr>
      <w:r>
        <w:rPr/>
        <w:br w:type="column"/>
      </w:r>
      <w:r>
        <w:rPr/>
        <w:t>sarcomas, incluyendo </w:t>
      </w:r>
      <w:r>
        <w:rPr>
          <w:spacing w:val="-3"/>
        </w:rPr>
        <w:t>la </w:t>
      </w:r>
      <w:r>
        <w:rPr/>
        <w:t>vincristina, </w:t>
      </w:r>
      <w:r>
        <w:rPr>
          <w:spacing w:val="-3"/>
        </w:rPr>
        <w:t>la </w:t>
      </w:r>
      <w:r>
        <w:rPr/>
        <w:t>actinomicina D, </w:t>
      </w:r>
      <w:r>
        <w:rPr>
          <w:spacing w:val="-3"/>
        </w:rPr>
        <w:t>la </w:t>
      </w:r>
      <w:r>
        <w:rPr/>
        <w:t>ciclofosfamida, </w:t>
      </w:r>
      <w:r>
        <w:rPr>
          <w:spacing w:val="-3"/>
        </w:rPr>
        <w:t>la </w:t>
      </w:r>
      <w:r>
        <w:rPr/>
        <w:t>doxorubicina, </w:t>
      </w:r>
      <w:r>
        <w:rPr>
          <w:spacing w:val="-3"/>
        </w:rPr>
        <w:t>la </w:t>
      </w:r>
      <w:r>
        <w:rPr/>
        <w:t>dacarbazina, el cisplatino, </w:t>
      </w:r>
      <w:r>
        <w:rPr>
          <w:spacing w:val="-3"/>
        </w:rPr>
        <w:t>la </w:t>
      </w:r>
      <w:r>
        <w:rPr/>
        <w:t>ifosfamida, el paclitaxel, </w:t>
      </w:r>
      <w:r>
        <w:rPr>
          <w:spacing w:val="-3"/>
        </w:rPr>
        <w:t>la </w:t>
      </w:r>
      <w:r>
        <w:rPr/>
        <w:t>gemcitabina y </w:t>
      </w:r>
      <w:r>
        <w:rPr>
          <w:spacing w:val="-3"/>
        </w:rPr>
        <w:t>la </w:t>
      </w:r>
      <w:r>
        <w:rPr/>
        <w:t>doxorubicina</w:t>
      </w:r>
      <w:r>
        <w:rPr>
          <w:spacing w:val="1"/>
        </w:rPr>
        <w:t> </w:t>
      </w:r>
      <w:r>
        <w:rPr/>
        <w:t>liposómica.</w:t>
      </w:r>
    </w:p>
    <w:p>
      <w:pPr>
        <w:pStyle w:val="BodyText"/>
        <w:spacing w:line="276" w:lineRule="auto" w:before="202"/>
        <w:ind w:left="678" w:right="1434"/>
        <w:jc w:val="both"/>
      </w:pPr>
      <w:r>
        <w:rPr>
          <w:b/>
          <w:i/>
        </w:rPr>
        <w:t>Tratamiento adyuvante</w:t>
      </w:r>
      <w:r>
        <w:rPr/>
        <w:t>: </w:t>
      </w:r>
      <w:r>
        <w:rPr>
          <w:spacing w:val="-3"/>
        </w:rPr>
        <w:t>la </w:t>
      </w:r>
      <w:r>
        <w:rPr/>
        <w:t>mayoría de las publicaciones a </w:t>
      </w:r>
      <w:r>
        <w:rPr>
          <w:spacing w:val="-3"/>
        </w:rPr>
        <w:t>la </w:t>
      </w:r>
      <w:r>
        <w:rPr/>
        <w:t>fecha no han demostrado una mejoría clara de </w:t>
      </w:r>
      <w:r>
        <w:rPr>
          <w:spacing w:val="-3"/>
        </w:rPr>
        <w:t>la </w:t>
      </w:r>
      <w:r>
        <w:rPr/>
        <w:t>supervivencia mediante </w:t>
      </w:r>
      <w:r>
        <w:rPr>
          <w:spacing w:val="-3"/>
        </w:rPr>
        <w:t>la </w:t>
      </w:r>
      <w:r>
        <w:rPr/>
        <w:t>adición de quimioterapia posquirúrgica adyuvante en el sarcoma uterino precoz. Para los tumores del sarcoma estromal endometrial, el tratamiento consiste de resección quirúrgica, radioterapia y</w:t>
      </w:r>
      <w:r>
        <w:rPr>
          <w:spacing w:val="-8"/>
        </w:rPr>
        <w:t> </w:t>
      </w:r>
      <w:r>
        <w:rPr/>
        <w:t>quimioterapia.</w:t>
      </w:r>
    </w:p>
    <w:p>
      <w:pPr>
        <w:pStyle w:val="Heading4"/>
        <w:tabs>
          <w:tab w:pos="3729" w:val="left" w:leader="none"/>
        </w:tabs>
        <w:spacing w:line="278" w:lineRule="auto" w:before="195"/>
        <w:ind w:left="678" w:right="1443"/>
        <w:jc w:val="both"/>
      </w:pPr>
      <w:r>
        <w:rPr/>
        <w:t>DISEMINACIÓN</w:t>
        <w:tab/>
      </w:r>
      <w:r>
        <w:rPr>
          <w:spacing w:val="-1"/>
        </w:rPr>
        <w:t>TUMORAL, </w:t>
      </w:r>
      <w:r>
        <w:rPr/>
        <w:t>RECURRENCIA Y</w:t>
      </w:r>
      <w:r>
        <w:rPr>
          <w:spacing w:val="-6"/>
        </w:rPr>
        <w:t> </w:t>
      </w:r>
      <w:r>
        <w:rPr/>
        <w:t>PRONÓSTICO</w:t>
      </w:r>
    </w:p>
    <w:p>
      <w:pPr>
        <w:pStyle w:val="BodyText"/>
        <w:spacing w:line="276" w:lineRule="auto" w:before="199"/>
        <w:ind w:left="678" w:right="1435"/>
        <w:jc w:val="both"/>
      </w:pPr>
      <w:r>
        <w:rPr/>
        <w:t>Acorde a las diferentes variantes histopatológicas, se pueden encontrar diferentes características de diseminación, recurrencia y pronóstico:</w:t>
      </w:r>
    </w:p>
    <w:p>
      <w:pPr>
        <w:pStyle w:val="BodyText"/>
        <w:spacing w:line="276" w:lineRule="auto" w:before="201"/>
        <w:ind w:left="678" w:right="1432"/>
        <w:jc w:val="both"/>
      </w:pPr>
      <w:r>
        <w:rPr>
          <w:b/>
          <w:i/>
        </w:rPr>
        <w:t>Sarcoma del estroma endometrial</w:t>
      </w:r>
      <w:r>
        <w:rPr/>
        <w:t>: se encuentra extendido fuera del útero en el 40% de los casos al momento del diagnóstico, pero </w:t>
      </w:r>
      <w:r>
        <w:rPr>
          <w:spacing w:val="-3"/>
        </w:rPr>
        <w:t>la</w:t>
      </w:r>
      <w:r>
        <w:rPr>
          <w:spacing w:val="55"/>
        </w:rPr>
        <w:t> </w:t>
      </w:r>
      <w:r>
        <w:rPr/>
        <w:t>diseminación extrauterina está limitada a </w:t>
      </w:r>
      <w:r>
        <w:rPr>
          <w:spacing w:val="-3"/>
        </w:rPr>
        <w:t>la </w:t>
      </w:r>
      <w:r>
        <w:rPr/>
        <w:t>pelvis en dos tercios de los casos. Son poco frecuentes las metástasis abdominales superiores, pulmonares y a ganglios linfáticos, sin embargo, las metástasis a distancia pueden aparecer inclusive hasta 20 años después del diagnóstico inicial.</w:t>
      </w:r>
    </w:p>
    <w:p>
      <w:pPr>
        <w:pStyle w:val="BodyText"/>
        <w:spacing w:line="276" w:lineRule="auto" w:before="201"/>
        <w:ind w:left="678" w:right="1435"/>
        <w:jc w:val="both"/>
      </w:pPr>
      <w:r>
        <w:rPr/>
        <w:t>Las recurrencias aparecen en </w:t>
      </w:r>
      <w:r>
        <w:rPr>
          <w:spacing w:val="-3"/>
        </w:rPr>
        <w:t>la </w:t>
      </w:r>
      <w:r>
        <w:rPr/>
        <w:t>casi </w:t>
      </w:r>
      <w:r>
        <w:rPr>
          <w:spacing w:val="-3"/>
        </w:rPr>
        <w:t>la </w:t>
      </w:r>
      <w:r>
        <w:rPr/>
        <w:t>mitad de los casos con una media de intervalo de 5 años tras el tratamiento inicial, es decir, aparecen de forma tardía, y es más frecuente </w:t>
      </w:r>
      <w:r>
        <w:rPr>
          <w:spacing w:val="-3"/>
        </w:rPr>
        <w:t>la </w:t>
      </w:r>
      <w:r>
        <w:rPr/>
        <w:t>recurrencia local que las metástasis a distancia.</w:t>
      </w:r>
      <w:r>
        <w:rPr>
          <w:spacing w:val="53"/>
        </w:rPr>
        <w:t> </w:t>
      </w:r>
      <w:r>
        <w:rPr/>
        <w:t>.</w:t>
      </w:r>
    </w:p>
    <w:p>
      <w:pPr>
        <w:pStyle w:val="BodyText"/>
        <w:spacing w:line="276" w:lineRule="auto" w:before="197"/>
        <w:ind w:left="678" w:right="1441"/>
        <w:jc w:val="both"/>
      </w:pPr>
      <w:r>
        <w:rPr/>
        <w:t>Una supervivencia a largo plazo y la curación no son raras incluso tras la aparición de enfermedad metastásica o</w:t>
      </w:r>
    </w:p>
    <w:p>
      <w:pPr>
        <w:spacing w:after="0" w:line="276" w:lineRule="auto"/>
        <w:jc w:val="both"/>
        <w:sectPr>
          <w:type w:val="continuous"/>
          <w:pgSz w:w="12240" w:h="15840"/>
          <w:pgMar w:top="1500" w:bottom="0" w:left="0" w:right="0"/>
          <w:cols w:num="2" w:equalWidth="0">
            <w:col w:w="5764" w:space="40"/>
            <w:col w:w="6436"/>
          </w:cols>
        </w:sectPr>
      </w:pPr>
    </w:p>
    <w:p>
      <w:pPr>
        <w:pStyle w:val="BodyText"/>
        <w:spacing w:before="8"/>
        <w:rPr>
          <w:sz w:val="13"/>
        </w:rPr>
      </w:pPr>
    </w:p>
    <w:p>
      <w:pPr>
        <w:spacing w:after="0"/>
        <w:rPr>
          <w:sz w:val="13"/>
        </w:rPr>
        <w:sectPr>
          <w:pgSz w:w="12240" w:h="15840"/>
          <w:pgMar w:header="963" w:footer="872" w:top="1180" w:bottom="1060" w:left="0" w:right="0"/>
        </w:sectPr>
      </w:pPr>
    </w:p>
    <w:p>
      <w:pPr>
        <w:pStyle w:val="BodyText"/>
        <w:spacing w:line="259" w:lineRule="auto" w:before="93"/>
        <w:ind w:left="1440"/>
        <w:jc w:val="both"/>
      </w:pPr>
      <w:r>
        <w:rPr/>
        <w:t>recurrente, aunque la supervivencia libre de enfermedad a los 5 años es cerca de un 25% en el caso de un sarcoma estromal endometrial de alto grado.</w:t>
      </w:r>
    </w:p>
    <w:p>
      <w:pPr>
        <w:pStyle w:val="BodyText"/>
        <w:spacing w:line="259" w:lineRule="auto" w:before="158"/>
        <w:ind w:left="1440"/>
        <w:jc w:val="both"/>
      </w:pPr>
      <w:r>
        <w:rPr>
          <w:b/>
          <w:i/>
        </w:rPr>
        <w:t>Leiomiosarcoma: </w:t>
      </w:r>
      <w:r>
        <w:rPr/>
        <w:t>el patrón de diseminación es hacia el miometrio, los vasos sanguíneos y los vasos linfáticos pélvicos, las estructuras pélvicas contiguas, el abdomen y a distancia a los pulmones (lo más frecuente).</w:t>
      </w:r>
    </w:p>
    <w:p>
      <w:pPr>
        <w:pStyle w:val="BodyText"/>
        <w:spacing w:line="259" w:lineRule="auto" w:before="162"/>
        <w:ind w:left="1440" w:right="1"/>
        <w:jc w:val="both"/>
      </w:pPr>
      <w:r>
        <w:rPr/>
        <w:t>Los tumores con márgenes infiltrantes o extensión más </w:t>
      </w:r>
      <w:r>
        <w:rPr>
          <w:spacing w:val="-3"/>
        </w:rPr>
        <w:t>allá </w:t>
      </w:r>
      <w:r>
        <w:rPr/>
        <w:t>del útero se asocian a un peor pronóstico, mientras que los menores a 5cm, que se originan de miomas o con márgenes desplazantes, se asocian a una mayor supervivencia. Los índices de supervivencia oscilan entre el 20% y </w:t>
      </w:r>
      <w:r>
        <w:rPr>
          <w:spacing w:val="1"/>
        </w:rPr>
        <w:t>el </w:t>
      </w:r>
      <w:r>
        <w:rPr/>
        <w:t>63% (media del</w:t>
      </w:r>
      <w:r>
        <w:rPr>
          <w:spacing w:val="-7"/>
        </w:rPr>
        <w:t> </w:t>
      </w:r>
      <w:r>
        <w:rPr/>
        <w:t>47%).</w:t>
      </w:r>
    </w:p>
    <w:p>
      <w:pPr>
        <w:pStyle w:val="BodyText"/>
        <w:spacing w:line="259" w:lineRule="auto" w:before="163"/>
        <w:ind w:left="1440"/>
        <w:jc w:val="both"/>
      </w:pPr>
      <w:r>
        <w:rPr>
          <w:b/>
          <w:i/>
        </w:rPr>
        <w:t>Carcinosarcoma</w:t>
      </w:r>
      <w:r>
        <w:rPr/>
        <w:t>: los sitios de diseminación más frecuentes son </w:t>
      </w:r>
      <w:r>
        <w:rPr>
          <w:spacing w:val="-3"/>
        </w:rPr>
        <w:t>la </w:t>
      </w:r>
      <w:r>
        <w:rPr/>
        <w:t>pelvis, los ganglios linfáticos, </w:t>
      </w:r>
      <w:r>
        <w:rPr>
          <w:spacing w:val="-3"/>
        </w:rPr>
        <w:t>la </w:t>
      </w:r>
      <w:r>
        <w:rPr/>
        <w:t>cavidad</w:t>
      </w:r>
      <w:r>
        <w:rPr>
          <w:spacing w:val="21"/>
        </w:rPr>
        <w:t> </w:t>
      </w:r>
      <w:r>
        <w:rPr/>
        <w:t>peritoneal,</w:t>
      </w:r>
    </w:p>
    <w:p>
      <w:pPr>
        <w:pStyle w:val="BodyText"/>
        <w:tabs>
          <w:tab w:pos="4496" w:val="left" w:leader="none"/>
        </w:tabs>
        <w:spacing w:line="259" w:lineRule="auto" w:before="93"/>
        <w:ind w:left="679" w:right="1432"/>
        <w:jc w:val="both"/>
      </w:pPr>
      <w:r>
        <w:rPr/>
        <w:br w:type="column"/>
      </w:r>
      <w:r>
        <w:rPr/>
        <w:t>los pulmones y el hígado. Característicamente, los carcinomas se diseminan por vía linfática hacia los nódulos linfáticos, mientras que los sarcomas frecuentemente producen metástasis a cavidad peritoneal o vía hematógena a los pulmones </w:t>
      </w:r>
      <w:r>
        <w:rPr>
          <w:spacing w:val="-3"/>
        </w:rPr>
        <w:t>(la </w:t>
      </w:r>
      <w:r>
        <w:rPr/>
        <w:t>metástasis linfática en los sarcomas es muy poco común), por </w:t>
      </w:r>
      <w:r>
        <w:rPr>
          <w:spacing w:val="-3"/>
        </w:rPr>
        <w:t>lo </w:t>
      </w:r>
      <w:r>
        <w:rPr/>
        <w:t>cual el componente carcinomatoso es predominantemente responsable de </w:t>
      </w:r>
      <w:r>
        <w:rPr>
          <w:spacing w:val="-3"/>
        </w:rPr>
        <w:t>la </w:t>
      </w:r>
      <w:r>
        <w:rPr/>
        <w:t>mayoría de las metástasis. El factor aislado más importante que influye en el pronóstico es </w:t>
      </w:r>
      <w:r>
        <w:rPr>
          <w:spacing w:val="-3"/>
        </w:rPr>
        <w:t>la </w:t>
      </w:r>
      <w:r>
        <w:rPr/>
        <w:t>extensión del tumor en el momento del tratamiento inicial. Por desgracia, </w:t>
      </w:r>
      <w:r>
        <w:rPr>
          <w:spacing w:val="-3"/>
        </w:rPr>
        <w:t>la </w:t>
      </w:r>
      <w:r>
        <w:rPr/>
        <w:t>enfermedad está extendida fuera del útero en un 40% a un 60% de los casos al momento del diagnóstico. En general, el índice de supervivencia a los 5 años en pacientes con carcinosarcoma es del 20% al</w:t>
        <w:tab/>
        <w:t>30%.</w:t>
      </w:r>
    </w:p>
    <w:p>
      <w:pPr>
        <w:spacing w:after="0" w:line="259"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spacing w:before="10"/>
        <w:rPr>
          <w:sz w:val="16"/>
        </w:rPr>
      </w:pPr>
    </w:p>
    <w:p>
      <w:pPr>
        <w:pStyle w:val="Heading4"/>
        <w:spacing w:before="92"/>
      </w:pPr>
      <w:r>
        <w:rPr/>
        <w:t>BIBLIOGRAFIA</w:t>
      </w:r>
    </w:p>
    <w:p>
      <w:pPr>
        <w:pStyle w:val="BodyText"/>
        <w:spacing w:before="9"/>
        <w:rPr>
          <w:b/>
          <w:sz w:val="20"/>
        </w:rPr>
      </w:pPr>
    </w:p>
    <w:p>
      <w:pPr>
        <w:pStyle w:val="ListParagraph"/>
        <w:numPr>
          <w:ilvl w:val="0"/>
          <w:numId w:val="10"/>
        </w:numPr>
        <w:tabs>
          <w:tab w:pos="1800" w:val="left" w:leader="none"/>
          <w:tab w:pos="1801" w:val="left" w:leader="none"/>
        </w:tabs>
        <w:spacing w:line="271" w:lineRule="auto" w:before="1" w:after="0"/>
        <w:ind w:left="1800" w:right="1867" w:hanging="360"/>
        <w:jc w:val="left"/>
        <w:rPr>
          <w:sz w:val="20"/>
        </w:rPr>
      </w:pPr>
      <w:r>
        <w:rPr>
          <w:sz w:val="20"/>
        </w:rPr>
        <w:t>Singh, R. (2014) Review literature on uterine carcinosarcoma. Journal of Cancer Research and Therapeutics, 10(3),</w:t>
      </w:r>
      <w:r>
        <w:rPr>
          <w:spacing w:val="-1"/>
          <w:sz w:val="20"/>
        </w:rPr>
        <w:t> </w:t>
      </w:r>
      <w:r>
        <w:rPr>
          <w:sz w:val="20"/>
        </w:rPr>
        <w:t>461-468.</w:t>
      </w:r>
    </w:p>
    <w:p>
      <w:pPr>
        <w:pStyle w:val="ListParagraph"/>
        <w:numPr>
          <w:ilvl w:val="0"/>
          <w:numId w:val="10"/>
        </w:numPr>
        <w:tabs>
          <w:tab w:pos="1800" w:val="left" w:leader="none"/>
          <w:tab w:pos="1801" w:val="left" w:leader="none"/>
        </w:tabs>
        <w:spacing w:line="271" w:lineRule="auto" w:before="7" w:after="0"/>
        <w:ind w:left="1800" w:right="1503" w:hanging="360"/>
        <w:jc w:val="left"/>
        <w:rPr>
          <w:sz w:val="20"/>
        </w:rPr>
      </w:pPr>
      <w:r>
        <w:rPr>
          <w:sz w:val="20"/>
        </w:rPr>
        <w:t>El-Khalfaoui, K. et al. (2014) Current and future options in the management and treatment of uterine sarcoma. Therapeutic Advances in Medical Oncology, 6(1),</w:t>
      </w:r>
      <w:r>
        <w:rPr>
          <w:spacing w:val="-2"/>
          <w:sz w:val="20"/>
        </w:rPr>
        <w:t> </w:t>
      </w:r>
      <w:r>
        <w:rPr>
          <w:sz w:val="20"/>
        </w:rPr>
        <w:t>21-28.</w:t>
      </w:r>
    </w:p>
    <w:p>
      <w:pPr>
        <w:pStyle w:val="ListParagraph"/>
        <w:numPr>
          <w:ilvl w:val="0"/>
          <w:numId w:val="10"/>
        </w:numPr>
        <w:tabs>
          <w:tab w:pos="1800" w:val="left" w:leader="none"/>
          <w:tab w:pos="1801" w:val="left" w:leader="none"/>
        </w:tabs>
        <w:spacing w:line="276" w:lineRule="auto" w:before="2" w:after="0"/>
        <w:ind w:left="1800" w:right="2371" w:hanging="360"/>
        <w:jc w:val="left"/>
        <w:rPr>
          <w:sz w:val="20"/>
        </w:rPr>
      </w:pPr>
      <w:r>
        <w:rPr>
          <w:sz w:val="20"/>
        </w:rPr>
        <w:t>Santos, P., Cunha, T. M. (2015) Uterine sarcomas: clinical presentation and MRI features. Diagnostic and Interventional Radiology, 21(1),</w:t>
      </w:r>
      <w:r>
        <w:rPr>
          <w:spacing w:val="0"/>
          <w:sz w:val="20"/>
        </w:rPr>
        <w:t> </w:t>
      </w:r>
      <w:r>
        <w:rPr>
          <w:sz w:val="20"/>
        </w:rPr>
        <w:t>4-9.</w:t>
      </w:r>
    </w:p>
    <w:p>
      <w:pPr>
        <w:pStyle w:val="ListParagraph"/>
        <w:numPr>
          <w:ilvl w:val="0"/>
          <w:numId w:val="10"/>
        </w:numPr>
        <w:tabs>
          <w:tab w:pos="1800" w:val="left" w:leader="none"/>
          <w:tab w:pos="1801" w:val="left" w:leader="none"/>
        </w:tabs>
        <w:spacing w:line="271" w:lineRule="auto" w:before="0" w:after="0"/>
        <w:ind w:left="1800" w:right="1463" w:hanging="360"/>
        <w:jc w:val="left"/>
        <w:rPr>
          <w:sz w:val="20"/>
        </w:rPr>
      </w:pPr>
      <w:r>
        <w:rPr>
          <w:sz w:val="20"/>
        </w:rPr>
        <w:t>Medina A., D. et al. (2013). Fundamentos prácticos de Ginecología general y oncológica. San José, Costa Rica: Editorial Nacional de Salud y Seguridad Social (EDNASSS). Págs.</w:t>
      </w:r>
      <w:r>
        <w:rPr>
          <w:spacing w:val="-7"/>
          <w:sz w:val="20"/>
        </w:rPr>
        <w:t> </w:t>
      </w:r>
      <w:r>
        <w:rPr>
          <w:sz w:val="20"/>
        </w:rPr>
        <w:t>150-154.</w:t>
      </w:r>
    </w:p>
    <w:p>
      <w:pPr>
        <w:pStyle w:val="ListParagraph"/>
        <w:numPr>
          <w:ilvl w:val="0"/>
          <w:numId w:val="10"/>
        </w:numPr>
        <w:tabs>
          <w:tab w:pos="1800" w:val="left" w:leader="none"/>
          <w:tab w:pos="1801" w:val="left" w:leader="none"/>
        </w:tabs>
        <w:spacing w:line="276" w:lineRule="auto" w:before="5" w:after="0"/>
        <w:ind w:left="1800" w:right="1714" w:hanging="360"/>
        <w:jc w:val="left"/>
        <w:rPr>
          <w:sz w:val="20"/>
        </w:rPr>
      </w:pPr>
      <w:r>
        <w:rPr>
          <w:sz w:val="20"/>
        </w:rPr>
        <w:t>Berek, J. S. (Ed). (2012). Berek y Novak: Ginecología. Barcelona, España: Lippincott, Williams</w:t>
      </w:r>
      <w:r>
        <w:rPr>
          <w:spacing w:val="-33"/>
          <w:sz w:val="20"/>
        </w:rPr>
        <w:t> </w:t>
      </w:r>
      <w:r>
        <w:rPr>
          <w:sz w:val="20"/>
        </w:rPr>
        <w:t>&amp; Wilkins. Págs.1287-1294.</w:t>
      </w:r>
    </w:p>
    <w:p>
      <w:pPr>
        <w:tabs>
          <w:tab w:pos="7606" w:val="left" w:leader="none"/>
        </w:tabs>
        <w:spacing w:before="159"/>
        <w:ind w:left="1440" w:right="0" w:firstLine="0"/>
        <w:jc w:val="left"/>
        <w:rPr>
          <w:sz w:val="20"/>
        </w:rPr>
      </w:pPr>
      <w:r>
        <w:rPr>
          <w:sz w:val="20"/>
        </w:rPr>
        <w:t>Recepción: 30 Octubre</w:t>
      </w:r>
      <w:r>
        <w:rPr>
          <w:spacing w:val="-4"/>
          <w:sz w:val="20"/>
        </w:rPr>
        <w:t> </w:t>
      </w:r>
      <w:r>
        <w:rPr>
          <w:sz w:val="20"/>
        </w:rPr>
        <w:t>de</w:t>
      </w:r>
      <w:r>
        <w:rPr>
          <w:spacing w:val="-1"/>
          <w:sz w:val="20"/>
        </w:rPr>
        <w:t> </w:t>
      </w:r>
      <w:r>
        <w:rPr>
          <w:sz w:val="20"/>
        </w:rPr>
        <w:t>2016</w:t>
        <w:tab/>
        <w:t>Aprobación: 10 Noviembre de</w:t>
      </w:r>
      <w:r>
        <w:rPr>
          <w:spacing w:val="-3"/>
          <w:sz w:val="20"/>
        </w:rPr>
        <w:t> </w:t>
      </w:r>
      <w:r>
        <w:rPr>
          <w:sz w:val="20"/>
        </w:rPr>
        <w:t>2016</w:t>
      </w:r>
    </w:p>
    <w:p>
      <w:pPr>
        <w:spacing w:after="0"/>
        <w:jc w:val="left"/>
        <w:rPr>
          <w:sz w:val="20"/>
        </w:rPr>
        <w:sectPr>
          <w:type w:val="continuous"/>
          <w:pgSz w:w="12240" w:h="15840"/>
          <w:pgMar w:top="1500" w:bottom="0" w:left="0" w:right="0"/>
        </w:sectPr>
      </w:pPr>
    </w:p>
    <w:p>
      <w:pPr>
        <w:pStyle w:val="Heading3"/>
        <w:spacing w:line="276" w:lineRule="auto"/>
        <w:ind w:left="3822" w:right="1574"/>
      </w:pPr>
      <w:r>
        <w:rPr/>
        <w:pict>
          <v:group style="position:absolute;margin-left:72.199997pt;margin-top:4.179631pt;width:103.1pt;height:445.05pt;mso-position-horizontal-relative:page;mso-position-vertical-relative:paragraph;z-index:1696" coordorigin="1444,84" coordsize="2062,8901">
            <v:shape style="position:absolute;left:1444;top:84;width:2060;height:8900" type="#_x0000_t75" stroked="false">
              <v:imagedata r:id="rId54" o:title=""/>
            </v:shape>
            <v:shape style="position:absolute;left:1532;top:83;width:1901;height:975" type="#_x0000_t202" filled="false" stroked="false">
              <v:textbox inset="0,0,0,0">
                <w:txbxContent>
                  <w:p>
                    <w:pPr>
                      <w:spacing w:line="179" w:lineRule="exact" w:before="0"/>
                      <w:ind w:left="80" w:right="0" w:firstLine="0"/>
                      <w:jc w:val="left"/>
                      <w:rPr>
                        <w:sz w:val="16"/>
                      </w:rPr>
                    </w:pPr>
                    <w:r>
                      <w:rPr>
                        <w:sz w:val="16"/>
                      </w:rPr>
                      <w:t>Revista Médica Sinergia</w:t>
                    </w:r>
                  </w:p>
                  <w:p>
                    <w:pPr>
                      <w:spacing w:line="240" w:lineRule="auto" w:before="9"/>
                      <w:rPr>
                        <w:sz w:val="18"/>
                      </w:rPr>
                    </w:pPr>
                  </w:p>
                  <w:p>
                    <w:pPr>
                      <w:spacing w:before="0"/>
                      <w:ind w:left="348" w:right="0" w:firstLine="0"/>
                      <w:jc w:val="left"/>
                      <w:rPr>
                        <w:sz w:val="16"/>
                      </w:rPr>
                    </w:pPr>
                    <w:r>
                      <w:rPr>
                        <w:sz w:val="16"/>
                      </w:rPr>
                      <w:t>ISSN 2215-4523</w:t>
                    </w:r>
                  </w:p>
                  <w:p>
                    <w:pPr>
                      <w:spacing w:line="261" w:lineRule="auto" w:before="12"/>
                      <w:ind w:left="0" w:right="0" w:firstLine="456"/>
                      <w:jc w:val="left"/>
                      <w:rPr>
                        <w:sz w:val="16"/>
                      </w:rPr>
                    </w:pPr>
                    <w:r>
                      <w:rPr>
                        <w:sz w:val="16"/>
                      </w:rPr>
                      <w:t>Vol.1 Num:12 Diciembre 2016 pp:15-20</w:t>
                    </w:r>
                  </w:p>
                </w:txbxContent>
              </v:textbox>
              <w10:wrap type="none"/>
            </v:shape>
            <v:shape style="position:absolute;left:1444;top:7905;width:2061;height:775" type="#_x0000_t202" filled="false" stroked="false">
              <v:textbox inset="0,0,0,0">
                <w:txbxContent>
                  <w:p>
                    <w:pPr>
                      <w:spacing w:line="259" w:lineRule="auto" w:before="0"/>
                      <w:ind w:left="0" w:right="-5" w:firstLine="0"/>
                      <w:jc w:val="left"/>
                      <w:rPr>
                        <w:sz w:val="16"/>
                      </w:rPr>
                    </w:pPr>
                    <w:r>
                      <w:rPr>
                        <w:sz w:val="16"/>
                      </w:rPr>
                      <w:t>*Médico General. Universidad de Iberoamérica (UNIBE). San José - Costa Rica</w:t>
                    </w:r>
                  </w:p>
                </w:txbxContent>
              </v:textbox>
              <w10:wrap type="none"/>
            </v:shape>
            <w10:wrap type="none"/>
          </v:group>
        </w:pict>
      </w:r>
      <w:r>
        <w:rPr/>
        <w:t>TERAPIA DE REEMPLAZO HORMONAL EN RELACION A LA ENFERMEDAD DE ALZHEIMER</w:t>
      </w:r>
    </w:p>
    <w:p>
      <w:pPr>
        <w:spacing w:line="276" w:lineRule="auto" w:before="2"/>
        <w:ind w:left="3832" w:right="1574" w:firstLine="0"/>
        <w:jc w:val="center"/>
        <w:rPr>
          <w:sz w:val="20"/>
        </w:rPr>
      </w:pPr>
      <w:r>
        <w:rPr>
          <w:sz w:val="20"/>
        </w:rPr>
        <w:t>(HORMONAL REPLACEMENT THERAPY IN RELATION TO ALZHEIMER'S DISEASE)</w:t>
      </w:r>
    </w:p>
    <w:p>
      <w:pPr>
        <w:pStyle w:val="BodyText"/>
        <w:rPr>
          <w:sz w:val="21"/>
        </w:rPr>
      </w:pPr>
    </w:p>
    <w:p>
      <w:pPr>
        <w:pStyle w:val="BodyText"/>
        <w:ind w:right="1435"/>
        <w:jc w:val="right"/>
      </w:pPr>
      <w:r>
        <w:rPr/>
        <w:t>* Kenneth Bermúdez Salas</w:t>
      </w:r>
    </w:p>
    <w:p>
      <w:pPr>
        <w:pStyle w:val="BodyText"/>
        <w:spacing w:before="3"/>
        <w:rPr>
          <w:sz w:val="18"/>
        </w:rPr>
      </w:pPr>
      <w:r>
        <w:rPr/>
        <w:pict>
          <v:group style="position:absolute;margin-left:183.75pt;margin-top:12.48468pt;width:365.25pt;height:345pt;mso-position-horizontal-relative:page;mso-position-vertical-relative:paragraph;z-index:1624;mso-wrap-distance-left:0;mso-wrap-distance-right:0" coordorigin="3675,250" coordsize="7305,6900">
            <v:shape style="position:absolute;left:3675;top:249;width:7305;height:6900" type="#_x0000_t75" stroked="false">
              <v:imagedata r:id="rId55" o:title=""/>
            </v:shape>
            <v:shape style="position:absolute;left:3675;top:249;width:7305;height:6900" type="#_x0000_t202" filled="false" stroked="false">
              <v:textbox inset="0,0,0,0">
                <w:txbxContent>
                  <w:p>
                    <w:pPr>
                      <w:spacing w:before="76"/>
                      <w:ind w:left="154" w:right="0" w:firstLine="0"/>
                      <w:jc w:val="left"/>
                      <w:rPr>
                        <w:sz w:val="22"/>
                      </w:rPr>
                    </w:pPr>
                    <w:r>
                      <w:rPr>
                        <w:sz w:val="22"/>
                      </w:rPr>
                      <w:t>RESUMEN</w:t>
                    </w:r>
                  </w:p>
                  <w:p>
                    <w:pPr>
                      <w:spacing w:line="276" w:lineRule="auto" w:before="38"/>
                      <w:ind w:left="154" w:right="142" w:firstLine="0"/>
                      <w:jc w:val="both"/>
                      <w:rPr>
                        <w:sz w:val="22"/>
                      </w:rPr>
                    </w:pPr>
                    <w:r>
                      <w:rPr>
                        <w:sz w:val="22"/>
                      </w:rPr>
                      <w:t>La menopausia es una etapa natural en la que no existe una receta o protocolo para establecer la indicación de la terapia de estrógeno. El estudio KEEPS enfatiza la necesidad de terapia de reemplazo hormonal. Es una decisión exclusiva entre el médico y el paciente, por lo que es de vital importancia como médico considerar sus implicaciones para la salud de forma individualizada.</w:t>
                    </w:r>
                  </w:p>
                  <w:p>
                    <w:pPr>
                      <w:spacing w:line="240" w:lineRule="auto" w:before="2"/>
                      <w:rPr>
                        <w:sz w:val="25"/>
                      </w:rPr>
                    </w:pPr>
                  </w:p>
                  <w:p>
                    <w:pPr>
                      <w:spacing w:before="0"/>
                      <w:ind w:left="154" w:right="0" w:firstLine="0"/>
                      <w:jc w:val="left"/>
                      <w:rPr>
                        <w:sz w:val="22"/>
                      </w:rPr>
                    </w:pPr>
                    <w:r>
                      <w:rPr>
                        <w:sz w:val="22"/>
                      </w:rPr>
                      <w:t>DESCRIPTORES</w:t>
                    </w:r>
                  </w:p>
                  <w:p>
                    <w:pPr>
                      <w:tabs>
                        <w:tab w:pos="1313" w:val="left" w:leader="none"/>
                        <w:tab w:pos="1977" w:val="left" w:leader="none"/>
                        <w:tab w:pos="3416" w:val="left" w:leader="none"/>
                        <w:tab w:pos="4803" w:val="left" w:leader="none"/>
                        <w:tab w:pos="6261" w:val="left" w:leader="none"/>
                      </w:tabs>
                      <w:spacing w:line="276" w:lineRule="auto" w:before="38"/>
                      <w:ind w:left="154" w:right="145" w:firstLine="0"/>
                      <w:jc w:val="left"/>
                      <w:rPr>
                        <w:sz w:val="22"/>
                      </w:rPr>
                    </w:pPr>
                    <w:r>
                      <w:rPr>
                        <w:sz w:val="22"/>
                      </w:rPr>
                      <w:t>Terapia</w:t>
                      <w:tab/>
                      <w:t>de</w:t>
                      <w:tab/>
                      <w:t>reemplazo</w:t>
                      <w:tab/>
                      <w:t>hormonal,</w:t>
                      <w:tab/>
                      <w:t>estrógeno,</w:t>
                      <w:tab/>
                      <w:t>estradiol, neurotransmisores,</w:t>
                    </w:r>
                    <w:r>
                      <w:rPr>
                        <w:spacing w:val="-4"/>
                        <w:sz w:val="22"/>
                      </w:rPr>
                      <w:t> </w:t>
                    </w:r>
                    <w:r>
                      <w:rPr>
                        <w:sz w:val="22"/>
                      </w:rPr>
                      <w:t>alzheimer.</w:t>
                    </w:r>
                  </w:p>
                  <w:p>
                    <w:pPr>
                      <w:spacing w:line="240" w:lineRule="auto" w:before="2"/>
                      <w:rPr>
                        <w:sz w:val="25"/>
                      </w:rPr>
                    </w:pPr>
                  </w:p>
                  <w:p>
                    <w:pPr>
                      <w:spacing w:before="0"/>
                      <w:ind w:left="154" w:right="0" w:firstLine="0"/>
                      <w:jc w:val="left"/>
                      <w:rPr>
                        <w:sz w:val="22"/>
                      </w:rPr>
                    </w:pPr>
                    <w:r>
                      <w:rPr>
                        <w:sz w:val="22"/>
                      </w:rPr>
                      <w:t>SUMMARY</w:t>
                    </w:r>
                  </w:p>
                  <w:p>
                    <w:pPr>
                      <w:spacing w:line="276" w:lineRule="auto" w:before="38"/>
                      <w:ind w:left="154" w:right="145" w:firstLine="0"/>
                      <w:jc w:val="both"/>
                      <w:rPr>
                        <w:sz w:val="22"/>
                      </w:rPr>
                    </w:pPr>
                    <w:r>
                      <w:rPr>
                        <w:sz w:val="22"/>
                      </w:rPr>
                      <w:t>Menopause is a natural stage where there is no recipe or protocol to establish the indication of estrogen therapy. The KEEPS study emphasizes the need for hormone replacement therapy. It is an exclusive decision between the doctor and the patient, so it is of vital importance as a doctor to consider their health implications in an individualized way.</w:t>
                    </w:r>
                  </w:p>
                  <w:p>
                    <w:pPr>
                      <w:spacing w:line="240" w:lineRule="auto" w:before="6"/>
                      <w:rPr>
                        <w:sz w:val="25"/>
                      </w:rPr>
                    </w:pPr>
                  </w:p>
                  <w:p>
                    <w:pPr>
                      <w:spacing w:before="0"/>
                      <w:ind w:left="154" w:right="0" w:firstLine="0"/>
                      <w:jc w:val="left"/>
                      <w:rPr>
                        <w:sz w:val="22"/>
                      </w:rPr>
                    </w:pPr>
                    <w:r>
                      <w:rPr>
                        <w:sz w:val="22"/>
                      </w:rPr>
                      <w:t>KEYWORDS</w:t>
                    </w:r>
                  </w:p>
                  <w:p>
                    <w:pPr>
                      <w:spacing w:line="276" w:lineRule="auto" w:before="38"/>
                      <w:ind w:left="154" w:right="0" w:firstLine="0"/>
                      <w:jc w:val="left"/>
                      <w:rPr>
                        <w:sz w:val="22"/>
                      </w:rPr>
                    </w:pPr>
                    <w:r>
                      <w:rPr>
                        <w:sz w:val="22"/>
                      </w:rPr>
                      <w:t>Hormone replacement therapy, estrogen, estradiol, neurotransmitters, alzheimer.</w:t>
                    </w:r>
                  </w:p>
                </w:txbxContent>
              </v:textbox>
              <w10:wrap type="none"/>
            </v:shape>
            <w10:wrap type="topAndBottom"/>
          </v:group>
        </w:pict>
      </w:r>
    </w:p>
    <w:p>
      <w:pPr>
        <w:pStyle w:val="BodyText"/>
        <w:spacing w:before="2"/>
        <w:rPr>
          <w:sz w:val="16"/>
        </w:rPr>
      </w:pPr>
    </w:p>
    <w:p>
      <w:pPr>
        <w:spacing w:after="0"/>
        <w:rPr>
          <w:sz w:val="16"/>
        </w:rPr>
        <w:sectPr>
          <w:headerReference w:type="default" r:id="rId51"/>
          <w:footerReference w:type="default" r:id="rId52"/>
          <w:footerReference w:type="even" r:id="rId53"/>
          <w:pgSz w:w="12240" w:h="15840"/>
          <w:pgMar w:header="0" w:footer="882" w:top="1360" w:bottom="1080" w:left="0" w:right="0"/>
          <w:pgNumType w:start="15"/>
        </w:sectPr>
      </w:pPr>
    </w:p>
    <w:p>
      <w:pPr>
        <w:pStyle w:val="Heading4"/>
        <w:spacing w:before="92"/>
      </w:pPr>
      <w:r>
        <w:rPr/>
        <w:t>INTRODUCCION</w:t>
      </w:r>
    </w:p>
    <w:p>
      <w:pPr>
        <w:pStyle w:val="BodyText"/>
        <w:spacing w:before="1"/>
        <w:rPr>
          <w:b/>
          <w:sz w:val="21"/>
        </w:rPr>
      </w:pPr>
    </w:p>
    <w:p>
      <w:pPr>
        <w:pStyle w:val="BodyText"/>
        <w:spacing w:line="276" w:lineRule="auto"/>
        <w:ind w:left="1440" w:right="2"/>
        <w:jc w:val="both"/>
      </w:pPr>
      <w:r>
        <w:rPr/>
        <w:t>Todos los estudios hasta la fecha muestran una relación entre la terapia de reemplazo estrogénico, déficit cognitivo, y la enfermedad de Alzheimer.</w:t>
      </w:r>
    </w:p>
    <w:p>
      <w:pPr>
        <w:pStyle w:val="BodyText"/>
        <w:spacing w:line="276" w:lineRule="auto" w:before="201"/>
        <w:ind w:left="1440"/>
        <w:jc w:val="both"/>
      </w:pPr>
      <w:r>
        <w:rPr/>
        <w:t>El significado de esta relación varía de forma significativa entre los expertos, creando disparidad de criterio en cuanto al beneficio cognitivo y modulador de la enfermedad. La razón del porqué existe gran disparidad entre las ciencias básicas,</w:t>
      </w:r>
    </w:p>
    <w:p>
      <w:pPr>
        <w:pStyle w:val="BodyText"/>
        <w:tabs>
          <w:tab w:pos="1955" w:val="left" w:leader="none"/>
          <w:tab w:pos="3603" w:val="left" w:leader="none"/>
          <w:tab w:pos="4510" w:val="left" w:leader="none"/>
        </w:tabs>
        <w:spacing w:line="276" w:lineRule="auto" w:before="95"/>
        <w:ind w:left="680" w:right="1432"/>
        <w:jc w:val="both"/>
      </w:pPr>
      <w:r>
        <w:rPr/>
        <w:br w:type="column"/>
      </w:r>
      <w:r>
        <w:rPr/>
        <w:t>estudios epidemiológicos que muestran que </w:t>
      </w:r>
      <w:r>
        <w:rPr>
          <w:spacing w:val="-3"/>
        </w:rPr>
        <w:t>la </w:t>
      </w:r>
      <w:r>
        <w:rPr/>
        <w:t>terapia estrogénica puede eventualmente proteger neuronas contra daños degenerativos y así reducir el riesgo de padecer </w:t>
      </w:r>
      <w:r>
        <w:rPr>
          <w:spacing w:val="-3"/>
        </w:rPr>
        <w:t>la </w:t>
      </w:r>
      <w:r>
        <w:rPr/>
        <w:t>enfermedad de Alzheimer, y estudios que muestran que </w:t>
      </w:r>
      <w:r>
        <w:rPr>
          <w:spacing w:val="-3"/>
        </w:rPr>
        <w:t>la </w:t>
      </w:r>
      <w:r>
        <w:rPr/>
        <w:t>terapia de reemplazo hormonal no tiene ningún beneficio e incluso podría llegar a tener un efecto</w:t>
        <w:tab/>
        <w:t>deletéreo,</w:t>
        <w:tab/>
        <w:t>se</w:t>
        <w:tab/>
        <w:t>debe fundamentalmente a las características propias de </w:t>
      </w:r>
      <w:r>
        <w:rPr>
          <w:spacing w:val="-3"/>
        </w:rPr>
        <w:t>la </w:t>
      </w:r>
      <w:r>
        <w:rPr/>
        <w:t>terapia estrogénica en cuestión.</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6"/>
        <w:rPr>
          <w:sz w:val="11"/>
        </w:rPr>
      </w:pPr>
    </w:p>
    <w:p>
      <w:pPr>
        <w:spacing w:after="0"/>
        <w:rPr>
          <w:sz w:val="11"/>
        </w:rPr>
        <w:sectPr>
          <w:headerReference w:type="even" r:id="rId56"/>
          <w:headerReference w:type="default" r:id="rId57"/>
          <w:pgSz w:w="12240" w:h="15840"/>
          <w:pgMar w:header="723" w:footer="872" w:top="1200" w:bottom="1060" w:left="0" w:right="0"/>
        </w:sectPr>
      </w:pPr>
    </w:p>
    <w:p>
      <w:pPr>
        <w:pStyle w:val="Heading4"/>
        <w:spacing w:before="92"/>
        <w:jc w:val="both"/>
      </w:pPr>
      <w:r>
        <w:rPr/>
        <w:t>DISCUSION</w:t>
      </w:r>
    </w:p>
    <w:p>
      <w:pPr>
        <w:pStyle w:val="BodyText"/>
        <w:spacing w:line="276" w:lineRule="auto" w:before="182"/>
        <w:ind w:left="1440" w:right="4"/>
        <w:jc w:val="both"/>
      </w:pPr>
      <w:r>
        <w:rPr/>
        <w:t>El tipo de estrógeno, el uso de progestina, el momento de inicio de </w:t>
      </w:r>
      <w:r>
        <w:rPr>
          <w:spacing w:val="-3"/>
        </w:rPr>
        <w:t>la </w:t>
      </w:r>
      <w:r>
        <w:rPr/>
        <w:t>terapia estrogénica, y el método de administración, asociados a las manifestaciones clínicas de </w:t>
      </w:r>
      <w:r>
        <w:rPr>
          <w:spacing w:val="-3"/>
        </w:rPr>
        <w:t>la </w:t>
      </w:r>
      <w:r>
        <w:rPr/>
        <w:t>paciente son características claves que pueden explicar </w:t>
      </w:r>
      <w:r>
        <w:rPr>
          <w:spacing w:val="-3"/>
        </w:rPr>
        <w:t>la </w:t>
      </w:r>
      <w:r>
        <w:rPr/>
        <w:t>variabilidad de resultados entre los diferentes estudios, y por </w:t>
      </w:r>
      <w:r>
        <w:rPr>
          <w:spacing w:val="-3"/>
        </w:rPr>
        <w:t>lo </w:t>
      </w:r>
      <w:r>
        <w:rPr/>
        <w:t>tanto cambiar </w:t>
      </w:r>
      <w:r>
        <w:rPr>
          <w:spacing w:val="-3"/>
        </w:rPr>
        <w:t>la </w:t>
      </w:r>
      <w:r>
        <w:rPr/>
        <w:t>perspectiva de </w:t>
      </w:r>
      <w:r>
        <w:rPr>
          <w:spacing w:val="-3"/>
        </w:rPr>
        <w:t>la </w:t>
      </w:r>
      <w:r>
        <w:rPr/>
        <w:t>terapia.</w:t>
      </w:r>
    </w:p>
    <w:p>
      <w:pPr>
        <w:pStyle w:val="Heading6"/>
        <w:spacing w:before="201"/>
        <w:rPr>
          <w:i/>
        </w:rPr>
      </w:pPr>
      <w:r>
        <w:rPr>
          <w:i/>
        </w:rPr>
        <w:t>Inicio de la terapia como prevención</w:t>
      </w:r>
    </w:p>
    <w:p>
      <w:pPr>
        <w:pStyle w:val="BodyText"/>
        <w:spacing w:before="8"/>
        <w:rPr>
          <w:b/>
          <w:i/>
          <w:sz w:val="20"/>
        </w:rPr>
      </w:pPr>
    </w:p>
    <w:p>
      <w:pPr>
        <w:pStyle w:val="BodyText"/>
        <w:spacing w:line="276" w:lineRule="auto" w:before="1"/>
        <w:ind w:left="1440" w:right="4"/>
        <w:jc w:val="both"/>
      </w:pPr>
      <w:r>
        <w:rPr/>
        <w:t>Gran cantidad de evidencia demuestra que </w:t>
      </w:r>
      <w:r>
        <w:rPr>
          <w:spacing w:val="-3"/>
        </w:rPr>
        <w:t>la </w:t>
      </w:r>
      <w:r>
        <w:rPr/>
        <w:t>patología de </w:t>
      </w:r>
      <w:r>
        <w:rPr>
          <w:spacing w:val="-3"/>
        </w:rPr>
        <w:t>la </w:t>
      </w:r>
      <w:r>
        <w:rPr/>
        <w:t>enfermedad de Alzheimer (AD) empieza décadas antes del inicio de los síntomas que </w:t>
      </w:r>
      <w:r>
        <w:rPr>
          <w:spacing w:val="-3"/>
        </w:rPr>
        <w:t>la </w:t>
      </w:r>
      <w:r>
        <w:rPr/>
        <w:t>caracterizan, dando así una irreversible perdida neuronal desde el momento del diagnóstico. Esto hace que </w:t>
      </w:r>
      <w:r>
        <w:rPr>
          <w:spacing w:val="-3"/>
        </w:rPr>
        <w:t>la </w:t>
      </w:r>
      <w:r>
        <w:rPr/>
        <w:t>detección e intervención temprana durante el periodo prodrómico de </w:t>
      </w:r>
      <w:r>
        <w:rPr>
          <w:spacing w:val="-3"/>
        </w:rPr>
        <w:t>la </w:t>
      </w:r>
      <w:r>
        <w:rPr/>
        <w:t>enfermedad, sea una de las importantes características a tomar en cuenta antes de iniciar </w:t>
      </w:r>
      <w:r>
        <w:rPr>
          <w:spacing w:val="-3"/>
        </w:rPr>
        <w:t>la </w:t>
      </w:r>
      <w:r>
        <w:rPr/>
        <w:t>terapia hormonal.</w:t>
      </w:r>
    </w:p>
    <w:p>
      <w:pPr>
        <w:pStyle w:val="BodyText"/>
        <w:spacing w:line="276" w:lineRule="auto" w:before="202"/>
        <w:ind w:left="1440"/>
        <w:jc w:val="both"/>
      </w:pPr>
      <w:r>
        <w:rPr/>
        <w:t>Neurotransmisores influenciados por estrógenos tales como </w:t>
      </w:r>
      <w:r>
        <w:rPr>
          <w:spacing w:val="-3"/>
        </w:rPr>
        <w:t>la </w:t>
      </w:r>
      <w:r>
        <w:rPr/>
        <w:t>acetilcolina, serotonina, dopamina y norepinefrina están íntimamente relacionados con </w:t>
      </w:r>
      <w:r>
        <w:rPr>
          <w:spacing w:val="-3"/>
        </w:rPr>
        <w:t>la </w:t>
      </w:r>
      <w:r>
        <w:rPr/>
        <w:t>afectación cognitiva evidente en AD. El sistema colinérgico, cuya acción es modulada por estrógenos, y que está involucrado en las funciones de atención, memoria y aprendizaje, se encuentra principalmente en el proencéfalo basal, área que presenta cambios patológicos tempranos en</w:t>
      </w:r>
      <w:r>
        <w:rPr>
          <w:spacing w:val="-6"/>
        </w:rPr>
        <w:t> </w:t>
      </w:r>
      <w:r>
        <w:rPr/>
        <w:t>AD.</w:t>
      </w:r>
    </w:p>
    <w:p>
      <w:pPr>
        <w:pStyle w:val="BodyText"/>
        <w:spacing w:line="276" w:lineRule="auto" w:before="202"/>
        <w:ind w:left="1440" w:right="2"/>
        <w:jc w:val="both"/>
      </w:pPr>
      <w:r>
        <w:rPr/>
        <w:t>A pesar que los diferentes estudios aun no detallan con exactitud el punto exacto en el que los cambios neuropatológicos se empiezan a dar, existe una gran cantidad de evidencia que implica </w:t>
      </w:r>
      <w:r>
        <w:rPr>
          <w:spacing w:val="-3"/>
        </w:rPr>
        <w:t>la </w:t>
      </w:r>
      <w:r>
        <w:rPr/>
        <w:t>caída drástica de niveles estrogénicos durante </w:t>
      </w:r>
      <w:r>
        <w:rPr>
          <w:spacing w:val="-3"/>
        </w:rPr>
        <w:t>la </w:t>
      </w:r>
      <w:r>
        <w:rPr/>
        <w:t>transición menopáusica con un elevado riesgo de pérdida cognitiva y</w:t>
      </w:r>
      <w:r>
        <w:rPr>
          <w:spacing w:val="7"/>
        </w:rPr>
        <w:t> </w:t>
      </w:r>
      <w:r>
        <w:rPr/>
        <w:t>subsecuente</w:t>
      </w:r>
    </w:p>
    <w:p>
      <w:pPr>
        <w:pStyle w:val="BodyText"/>
        <w:spacing w:line="276" w:lineRule="auto" w:before="94"/>
        <w:ind w:left="674" w:right="1435"/>
        <w:jc w:val="both"/>
      </w:pPr>
      <w:r>
        <w:rPr/>
        <w:br w:type="column"/>
      </w:r>
      <w:r>
        <w:rPr/>
        <w:t>enfermedad de Alzheimer en mujeres. Estudios observacionales y retrospectivos son consistentes con resultados beneficiosos en mujeres que iniciaron la terapia durante este periodo de transición.</w:t>
      </w:r>
    </w:p>
    <w:p>
      <w:pPr>
        <w:pStyle w:val="BodyText"/>
        <w:spacing w:line="276" w:lineRule="auto" w:before="202"/>
        <w:ind w:left="674" w:right="1435"/>
        <w:jc w:val="both"/>
      </w:pPr>
      <w:r>
        <w:rPr/>
        <w:t>Mucha de la controversia existente basada en resultados negativos derivados fundamentalmente de estudios como el Women’s Health Initiative Memory Study (WHIMS) y un sub-estudio del Women’s health Initiative Study (WHI), reportaron un aumento de riesgo para desarrollar demencia y perdida cognitiva asociada a la terapia estrogénica, sin embargo también han sido desacreditados por muchos investigadores, en parte por la edad avanzada de las participantes del estudio, dando la posibilidad de que ya se encontraran más allá del periodo temprano para prevenir la enfermedad.</w:t>
      </w:r>
    </w:p>
    <w:p>
      <w:pPr>
        <w:pStyle w:val="BodyText"/>
        <w:tabs>
          <w:tab w:pos="2645" w:val="left" w:leader="none"/>
          <w:tab w:pos="4284" w:val="left" w:leader="none"/>
        </w:tabs>
        <w:spacing w:line="276" w:lineRule="auto" w:before="202"/>
        <w:ind w:left="674" w:right="1436"/>
        <w:jc w:val="both"/>
      </w:pPr>
      <w:r>
        <w:rPr/>
        <w:t>Estos estudios realizados por </w:t>
      </w:r>
      <w:r>
        <w:rPr>
          <w:spacing w:val="-3"/>
        </w:rPr>
        <w:t>la </w:t>
      </w:r>
      <w:r>
        <w:rPr/>
        <w:t>WHIMS incluyeron mujeres de 65 años de edad o mayores, con posibles cambios degenerativos en </w:t>
      </w:r>
      <w:r>
        <w:rPr>
          <w:spacing w:val="-3"/>
        </w:rPr>
        <w:t>la </w:t>
      </w:r>
      <w:r>
        <w:rPr/>
        <w:t>arquitectura neural, que ante </w:t>
      </w:r>
      <w:r>
        <w:rPr>
          <w:spacing w:val="-3"/>
        </w:rPr>
        <w:t>la </w:t>
      </w:r>
      <w:r>
        <w:rPr/>
        <w:t>exposición a estrógenos exógenos presentaron</w:t>
        <w:tab/>
        <w:t>mayores</w:t>
        <w:tab/>
      </w:r>
      <w:r>
        <w:rPr>
          <w:spacing w:val="-1"/>
        </w:rPr>
        <w:t>efectos </w:t>
      </w:r>
      <w:r>
        <w:rPr/>
        <w:t>degenerativos.</w:t>
      </w:r>
    </w:p>
    <w:p>
      <w:pPr>
        <w:pStyle w:val="BodyText"/>
        <w:spacing w:line="276" w:lineRule="auto" w:before="202"/>
        <w:ind w:left="674" w:right="1431"/>
        <w:jc w:val="both"/>
      </w:pPr>
      <w:r>
        <w:rPr/>
        <w:t>Así mismo, Daniel JM y colaboradores corroboraron en su hipótesis que </w:t>
      </w:r>
      <w:r>
        <w:rPr>
          <w:spacing w:val="-3"/>
        </w:rPr>
        <w:t>la </w:t>
      </w:r>
      <w:r>
        <w:rPr/>
        <w:t>respuesta al estrógeno es desfavorable si es iniciado después de un periodo prolongado de privación ovárica hormonal, siendo esto consistente con las características de </w:t>
      </w:r>
      <w:r>
        <w:rPr>
          <w:spacing w:val="-3"/>
        </w:rPr>
        <w:t>la </w:t>
      </w:r>
      <w:r>
        <w:rPr/>
        <w:t>mayoría de mujeres tomadas en cuenta en los ensayos. Erickson y colaboradores demostraron que los beneficios en el aumento de volumen hipocampal asociado a </w:t>
      </w:r>
      <w:r>
        <w:rPr>
          <w:spacing w:val="-3"/>
        </w:rPr>
        <w:t>la </w:t>
      </w:r>
      <w:r>
        <w:rPr/>
        <w:t>terapia estrogénica se evidencia solo si </w:t>
      </w:r>
      <w:r>
        <w:rPr>
          <w:spacing w:val="-3"/>
        </w:rPr>
        <w:t>la </w:t>
      </w:r>
      <w:r>
        <w:rPr/>
        <w:t>terapia se inicia dentro de un periodo de tiempo cercano al cese de </w:t>
      </w:r>
      <w:r>
        <w:rPr>
          <w:spacing w:val="-3"/>
        </w:rPr>
        <w:t>la </w:t>
      </w:r>
      <w:r>
        <w:rPr/>
        <w:t>menstruación, por </w:t>
      </w:r>
      <w:r>
        <w:rPr>
          <w:spacing w:val="-3"/>
        </w:rPr>
        <w:t>lo </w:t>
      </w:r>
      <w:r>
        <w:rPr/>
        <w:t>que </w:t>
      </w:r>
      <w:r>
        <w:rPr>
          <w:spacing w:val="-3"/>
        </w:rPr>
        <w:t>la </w:t>
      </w:r>
      <w:r>
        <w:rPr/>
        <w:t>edad de </w:t>
      </w:r>
      <w:r>
        <w:rPr>
          <w:spacing w:val="-3"/>
        </w:rPr>
        <w:t>la </w:t>
      </w:r>
      <w:r>
        <w:rPr/>
        <w:t>paciente juega un</w:t>
      </w:r>
      <w:r>
        <w:rPr>
          <w:spacing w:val="3"/>
        </w:rPr>
        <w:t> </w:t>
      </w:r>
      <w:r>
        <w:rPr/>
        <w:t>papel</w:t>
      </w:r>
    </w:p>
    <w:p>
      <w:pPr>
        <w:spacing w:after="0" w:line="276" w:lineRule="auto"/>
        <w:jc w:val="both"/>
        <w:sectPr>
          <w:type w:val="continuous"/>
          <w:pgSz w:w="12240" w:h="15840"/>
          <w:pgMar w:top="1500" w:bottom="0" w:left="0" w:right="0"/>
          <w:cols w:num="2" w:equalWidth="0">
            <w:col w:w="5768" w:space="40"/>
            <w:col w:w="6432"/>
          </w:cols>
        </w:sectPr>
      </w:pPr>
    </w:p>
    <w:p>
      <w:pPr>
        <w:pStyle w:val="BodyText"/>
        <w:spacing w:before="7"/>
        <w:rPr>
          <w:sz w:val="11"/>
        </w:rPr>
      </w:pPr>
    </w:p>
    <w:p>
      <w:pPr>
        <w:spacing w:after="0"/>
        <w:rPr>
          <w:sz w:val="11"/>
        </w:rPr>
        <w:sectPr>
          <w:pgSz w:w="12240" w:h="15840"/>
          <w:pgMar w:header="723" w:footer="882" w:top="1200" w:bottom="1080" w:left="0" w:right="0"/>
        </w:sectPr>
      </w:pPr>
    </w:p>
    <w:p>
      <w:pPr>
        <w:pStyle w:val="BodyText"/>
        <w:spacing w:line="276" w:lineRule="auto" w:before="93"/>
        <w:ind w:left="1440"/>
        <w:jc w:val="both"/>
      </w:pPr>
      <w:r>
        <w:rPr/>
        <w:t>fundamental. Por lo que empezar terapia durante este periodo pre-menopáusico tiene el potencial de retardar el inicio de la enfermedad, e incluso puede llegar a prevenirlo en un gran número de mujeres.</w:t>
      </w:r>
    </w:p>
    <w:p>
      <w:pPr>
        <w:pStyle w:val="Heading6"/>
        <w:spacing w:before="202"/>
        <w:rPr>
          <w:i/>
        </w:rPr>
      </w:pPr>
      <w:r>
        <w:rPr>
          <w:i/>
        </w:rPr>
        <w:t>Tipo de terapia</w:t>
      </w:r>
    </w:p>
    <w:p>
      <w:pPr>
        <w:pStyle w:val="BodyText"/>
        <w:spacing w:before="5"/>
        <w:rPr>
          <w:b/>
          <w:i/>
          <w:sz w:val="20"/>
        </w:rPr>
      </w:pPr>
    </w:p>
    <w:p>
      <w:pPr>
        <w:pStyle w:val="BodyText"/>
        <w:spacing w:line="276" w:lineRule="auto"/>
        <w:ind w:left="1440" w:right="1"/>
        <w:jc w:val="both"/>
      </w:pPr>
      <w:r>
        <w:rPr/>
        <w:t>Las diferencias farmacológicas entre el estradiol y los estrógenos equinos conjugados (CEE) utilizados en </w:t>
      </w:r>
      <w:r>
        <w:rPr>
          <w:spacing w:val="-3"/>
        </w:rPr>
        <w:t>la </w:t>
      </w:r>
      <w:r>
        <w:rPr/>
        <w:t>terapia, son una de las variables importantes que caracterizan </w:t>
      </w:r>
      <w:r>
        <w:rPr>
          <w:spacing w:val="-3"/>
        </w:rPr>
        <w:t>la </w:t>
      </w:r>
      <w:r>
        <w:rPr/>
        <w:t>gran disparidad de resultados entre los diferentes</w:t>
      </w:r>
      <w:r>
        <w:rPr>
          <w:spacing w:val="-8"/>
        </w:rPr>
        <w:t> </w:t>
      </w:r>
      <w:r>
        <w:rPr/>
        <w:t>estudios.</w:t>
      </w:r>
    </w:p>
    <w:p>
      <w:pPr>
        <w:pStyle w:val="BodyText"/>
        <w:spacing w:line="276" w:lineRule="auto" w:before="202"/>
        <w:ind w:left="1440" w:right="1"/>
        <w:jc w:val="both"/>
      </w:pPr>
      <w:r>
        <w:rPr/>
        <w:t>En cuatro meta-análisis analizados, además de demostrarse una significativa reducción en el riesgo de desarrollar demencia en mujeres que utilizaban terapia hormonal, también se demostró que el efecto neuroprotector del tratamiento con estradiol era superior al tratamiento con CEE, y que la adición de medroxiprogesterona (MPA) a la terapia tenía un efecto perjudicial.</w:t>
      </w:r>
    </w:p>
    <w:p>
      <w:pPr>
        <w:pStyle w:val="BodyText"/>
        <w:spacing w:line="276" w:lineRule="auto" w:before="158"/>
        <w:ind w:left="1440"/>
        <w:jc w:val="both"/>
      </w:pPr>
      <w:r>
        <w:rPr/>
        <w:t>En un meta-análisis en particular, se pudo apreciar como </w:t>
      </w:r>
      <w:r>
        <w:rPr>
          <w:spacing w:val="-3"/>
        </w:rPr>
        <w:t>la </w:t>
      </w:r>
      <w:r>
        <w:rPr/>
        <w:t>gran mayoría de los estudios con estradiol muestran un beneficio cognitivo, mientras que 5 de 20 estudios no mostraron beneficio, y ninguno mostró efecto perjudicial, en comparación a </w:t>
      </w:r>
      <w:r>
        <w:rPr>
          <w:spacing w:val="-3"/>
        </w:rPr>
        <w:t>la </w:t>
      </w:r>
      <w:r>
        <w:rPr/>
        <w:t>terapia con CEE que muestra 6 de 14 estudios con efecto beneficioso, 8 de 14 estudios sin beneficio, y 2 de 8 con efectos cognitivos perjudiciales. Ambos efectos perjudiciales fueron resultado del estudio WHIMS, donde se encontró un aumento de riesgo leve en </w:t>
      </w:r>
      <w:r>
        <w:rPr>
          <w:spacing w:val="-3"/>
        </w:rPr>
        <w:t>la </w:t>
      </w:r>
      <w:r>
        <w:rPr/>
        <w:t>alteración cognitiva y demencia en mujeres mayores de 65 años posmenopáusicas, quienes recibieron terapia hormonal con CEE y MPA. Posteriormente en el 2009, el WHIMS publica un reporte actualizado en donde concluye que los CEE como monoterapia (sin medroxiprogesterona) no tiene efecto perjudicial sobre </w:t>
      </w:r>
      <w:r>
        <w:rPr>
          <w:spacing w:val="-3"/>
        </w:rPr>
        <w:t>la </w:t>
      </w:r>
      <w:r>
        <w:rPr/>
        <w:t>memoria verbal y</w:t>
      </w:r>
      <w:r>
        <w:rPr>
          <w:spacing w:val="57"/>
        </w:rPr>
        <w:t> </w:t>
      </w:r>
      <w:r>
        <w:rPr/>
        <w:t>no</w:t>
      </w:r>
    </w:p>
    <w:p>
      <w:pPr>
        <w:pStyle w:val="BodyText"/>
        <w:spacing w:line="276" w:lineRule="auto" w:before="93"/>
        <w:ind w:left="679" w:right="1433"/>
        <w:jc w:val="both"/>
      </w:pPr>
      <w:r>
        <w:rPr/>
        <w:br w:type="column"/>
      </w:r>
      <w:r>
        <w:rPr/>
        <w:t>tienen un efecto de riesgo agregado para AD, lo que implica la adición de MPA como factor causal de resultados deletéreos. Esto posiblemente se explica por los estudios realizados por Ronald W. Irwin, Jia Yao, y Roberta Díaz Brinton en ratas ovariectomizadas con MPA, E2, E2 + MPA, o ratas con ovarios intactos como grupo control. Donde se demostró que MPA como monoterapia o MPA + E2 resultó en una disminución de niveles de proteína mitocondrial para piruvato deshidrogenasa, citocromo oxidasa y ATP sintetasa.</w:t>
      </w:r>
    </w:p>
    <w:p>
      <w:pPr>
        <w:pStyle w:val="BodyText"/>
        <w:spacing w:line="276" w:lineRule="auto" w:before="161"/>
        <w:ind w:left="679" w:right="1437"/>
        <w:jc w:val="both"/>
      </w:pPr>
      <w:r>
        <w:rPr/>
        <w:t>La MPA por sí sola mostró mejoría en </w:t>
      </w:r>
      <w:r>
        <w:rPr>
          <w:spacing w:val="-3"/>
        </w:rPr>
        <w:t>la </w:t>
      </w:r>
      <w:r>
        <w:rPr/>
        <w:t>función mitocondrial inducida por </w:t>
      </w:r>
      <w:r>
        <w:rPr>
          <w:spacing w:val="-3"/>
        </w:rPr>
        <w:t>la </w:t>
      </w:r>
      <w:r>
        <w:rPr/>
        <w:t>ovariectomía, mientras que </w:t>
      </w:r>
      <w:r>
        <w:rPr>
          <w:spacing w:val="-3"/>
        </w:rPr>
        <w:t>la </w:t>
      </w:r>
      <w:r>
        <w:rPr/>
        <w:t>coadministración de E2 y MPA exhibió moderada eficacia. Sin embargo, </w:t>
      </w:r>
      <w:r>
        <w:rPr>
          <w:spacing w:val="-3"/>
        </w:rPr>
        <w:t>la </w:t>
      </w:r>
      <w:r>
        <w:rPr/>
        <w:t>coadministración de MPA fue perjudicial para </w:t>
      </w:r>
      <w:r>
        <w:rPr>
          <w:spacing w:val="-3"/>
        </w:rPr>
        <w:t>la </w:t>
      </w:r>
      <w:r>
        <w:rPr/>
        <w:t>defensa antioxidante, concluyendo posteriormente que </w:t>
      </w:r>
      <w:r>
        <w:rPr>
          <w:spacing w:val="-3"/>
        </w:rPr>
        <w:t>la </w:t>
      </w:r>
      <w:r>
        <w:rPr/>
        <w:t>medroxiprogesterona acetato antagoniza </w:t>
      </w:r>
      <w:r>
        <w:rPr>
          <w:spacing w:val="-3"/>
        </w:rPr>
        <w:t>la </w:t>
      </w:r>
      <w:r>
        <w:rPr/>
        <w:t>regulación de </w:t>
      </w:r>
      <w:r>
        <w:rPr>
          <w:spacing w:val="-3"/>
        </w:rPr>
        <w:t>la </w:t>
      </w:r>
      <w:r>
        <w:rPr/>
        <w:t>función mitocondrial cerebral. Tonita E, Wroolie y colaboradores estudiaron las diferencias de </w:t>
      </w:r>
      <w:r>
        <w:rPr>
          <w:spacing w:val="-3"/>
        </w:rPr>
        <w:t>la </w:t>
      </w:r>
      <w:r>
        <w:rPr/>
        <w:t>memoria verbal  en mujeres posmenopáusicas recibiendo terapia hormonal con estradiol versus CEE que contienen principalmente</w:t>
      </w:r>
      <w:r>
        <w:rPr>
          <w:spacing w:val="-11"/>
        </w:rPr>
        <w:t> </w:t>
      </w:r>
      <w:r>
        <w:rPr/>
        <w:t>estrona.</w:t>
      </w:r>
    </w:p>
    <w:p>
      <w:pPr>
        <w:pStyle w:val="BodyText"/>
        <w:spacing w:line="276" w:lineRule="auto" w:before="157"/>
        <w:ind w:left="679" w:right="1434"/>
        <w:jc w:val="both"/>
      </w:pPr>
      <w:r>
        <w:rPr/>
        <w:t>Estudiaron a 68 mujeres sanas, con edades entre los 49-68 años, recibiendo tratamiento con estradiol o CEE por al menos un año y con riesgo elevado para AD. Midieron mediante exámenes neuropsicológicos la atención, memoria, memoria visual y funcionamiento ejecutivo y se concluyó que las mujeres que se encontraban recibiendo estradiol, demostraron significantemente un mejor desempeño verbal en comparación a las mujeres que recibieron CEE, todo esto sin importar la edad, el coeficiente intelectual, los años de educación, la presencia de factores de riesgo para AD, la duración endógena y exógena a exposición</w:t>
      </w:r>
    </w:p>
    <w:p>
      <w:pPr>
        <w:spacing w:after="0" w:line="276" w:lineRule="auto"/>
        <w:jc w:val="both"/>
        <w:sectPr>
          <w:type w:val="continuous"/>
          <w:pgSz w:w="12240" w:h="15840"/>
          <w:pgMar w:top="1500" w:bottom="0" w:left="0" w:right="0"/>
          <w:cols w:num="2" w:equalWidth="0">
            <w:col w:w="5763" w:space="40"/>
            <w:col w:w="6437"/>
          </w:cols>
        </w:sectPr>
      </w:pPr>
    </w:p>
    <w:p>
      <w:pPr>
        <w:pStyle w:val="BodyText"/>
        <w:spacing w:before="7"/>
        <w:rPr>
          <w:sz w:val="11"/>
        </w:rPr>
      </w:pPr>
    </w:p>
    <w:p>
      <w:pPr>
        <w:spacing w:after="0"/>
        <w:rPr>
          <w:sz w:val="11"/>
        </w:rPr>
        <w:sectPr>
          <w:pgSz w:w="12240" w:h="15840"/>
          <w:pgMar w:header="723" w:footer="872" w:top="1200" w:bottom="1060" w:left="0" w:right="0"/>
        </w:sectPr>
      </w:pPr>
    </w:p>
    <w:p>
      <w:pPr>
        <w:pStyle w:val="BodyText"/>
        <w:spacing w:line="259" w:lineRule="auto" w:before="93"/>
        <w:ind w:left="1440"/>
        <w:jc w:val="both"/>
      </w:pPr>
      <w:r>
        <w:rPr/>
        <w:t>estrogénica, el uso concomitante de progesterona o el estado quirúrgico o natural de </w:t>
      </w:r>
      <w:r>
        <w:rPr>
          <w:spacing w:val="-3"/>
        </w:rPr>
        <w:t>la </w:t>
      </w:r>
      <w:r>
        <w:rPr/>
        <w:t>menopausia. El tejido cerebral es rico en receptores para estradiol, y este es el estrógeno más abundante durante </w:t>
      </w:r>
      <w:r>
        <w:rPr>
          <w:spacing w:val="-3"/>
        </w:rPr>
        <w:t>la </w:t>
      </w:r>
      <w:r>
        <w:rPr/>
        <w:t>premenopausia. Una vez que </w:t>
      </w:r>
      <w:r>
        <w:rPr>
          <w:spacing w:val="-3"/>
        </w:rPr>
        <w:t>la </w:t>
      </w:r>
      <w:r>
        <w:rPr/>
        <w:t>paciente ingresa a </w:t>
      </w:r>
      <w:r>
        <w:rPr>
          <w:spacing w:val="-3"/>
        </w:rPr>
        <w:t>la </w:t>
      </w:r>
      <w:r>
        <w:rPr/>
        <w:t>menopausia, los niveles de estradiol disminuyen de forma precipitada aproximadamente 1/10 de </w:t>
      </w:r>
      <w:r>
        <w:rPr>
          <w:spacing w:val="-3"/>
        </w:rPr>
        <w:t>lo </w:t>
      </w:r>
      <w:r>
        <w:rPr/>
        <w:t>que se encuentran en mujeres menstruantes, mientras que los niveles de estrona disminuyen en menor grado. Es por esta razón que para mejorar las acciones de los receptores cognitivos de estradiol en el tejido cerebral, y poder asimilar de mejor forma el estado premenopáusico, el estradiol parece ser una mejor opción que los</w:t>
      </w:r>
      <w:r>
        <w:rPr>
          <w:spacing w:val="-1"/>
        </w:rPr>
        <w:t> </w:t>
      </w:r>
      <w:r>
        <w:rPr/>
        <w:t>CEE.</w:t>
      </w:r>
    </w:p>
    <w:p>
      <w:pPr>
        <w:pStyle w:val="Heading6"/>
        <w:jc w:val="left"/>
        <w:rPr>
          <w:i/>
        </w:rPr>
      </w:pPr>
      <w:r>
        <w:rPr>
          <w:i/>
        </w:rPr>
        <w:t>Administración</w:t>
      </w:r>
    </w:p>
    <w:p>
      <w:pPr>
        <w:pStyle w:val="BodyText"/>
        <w:spacing w:line="276" w:lineRule="auto" w:before="194"/>
        <w:ind w:left="1440"/>
        <w:jc w:val="both"/>
      </w:pPr>
      <w:r>
        <w:rPr/>
        <w:t>Estudios demuestran que el estradiol aplicado de forma transdérmica ofrece ventajas sobre el estradiol oral o los CEE. La administración transdérmica evita el efecto nocivo del metabolismo de primer paso, que incluye aumento de niveles de estrona en relación a estradiol, menores niveles de estradiol, y aumento en marcadores procoagulantes e inflamatorios. Decensi y colaboradores demostraron que </w:t>
      </w:r>
      <w:r>
        <w:rPr>
          <w:spacing w:val="-3"/>
        </w:rPr>
        <w:t>la </w:t>
      </w:r>
      <w:r>
        <w:rPr/>
        <w:t>terapia oral, ya sea con CEE o estradiol oral, causan elevación plasmática de los niveles de proteína C-reactiva (PCR), mientras que las mujeres que utilizaban estradiol transdérmico no elevaron niveles de PCR.</w:t>
      </w:r>
    </w:p>
    <w:p>
      <w:pPr>
        <w:pStyle w:val="BodyText"/>
        <w:spacing w:line="276" w:lineRule="auto" w:before="161"/>
        <w:ind w:left="1440"/>
        <w:jc w:val="both"/>
      </w:pPr>
      <w:r>
        <w:rPr/>
        <w:t>La importancia de esto radica en </w:t>
      </w:r>
      <w:r>
        <w:rPr>
          <w:spacing w:val="-3"/>
        </w:rPr>
        <w:t>la </w:t>
      </w:r>
      <w:r>
        <w:rPr/>
        <w:t>teoría de que </w:t>
      </w:r>
      <w:r>
        <w:rPr>
          <w:spacing w:val="-3"/>
        </w:rPr>
        <w:t>la </w:t>
      </w:r>
      <w:r>
        <w:rPr/>
        <w:t>inflamación juega un papel significativo en el desarrollo de AD. Estudios realizados por Karantzoulis y colaboradores concluyeron que pacientes afectados por demencia presentan niveles mucho mayores de PCR en relación a los grupos control. </w:t>
      </w:r>
      <w:r>
        <w:rPr>
          <w:spacing w:val="1"/>
        </w:rPr>
        <w:t>El </w:t>
      </w:r>
      <w:r>
        <w:rPr/>
        <w:t>estradiol oral causa un aumento de los factores de</w:t>
      </w:r>
      <w:r>
        <w:rPr>
          <w:spacing w:val="47"/>
        </w:rPr>
        <w:t> </w:t>
      </w:r>
      <w:r>
        <w:rPr/>
        <w:t>coagulación,</w:t>
      </w:r>
    </w:p>
    <w:p>
      <w:pPr>
        <w:pStyle w:val="BodyText"/>
        <w:spacing w:line="276" w:lineRule="auto" w:before="93"/>
        <w:ind w:left="680" w:right="1436"/>
        <w:jc w:val="both"/>
      </w:pPr>
      <w:r>
        <w:rPr/>
        <w:br w:type="column"/>
      </w:r>
      <w:r>
        <w:rPr/>
        <w:t>incrementando </w:t>
      </w:r>
      <w:r>
        <w:rPr>
          <w:spacing w:val="-3"/>
        </w:rPr>
        <w:t>la </w:t>
      </w:r>
      <w:r>
        <w:rPr/>
        <w:t>activación de </w:t>
      </w:r>
      <w:r>
        <w:rPr>
          <w:spacing w:val="-3"/>
        </w:rPr>
        <w:t>la </w:t>
      </w:r>
      <w:r>
        <w:rPr/>
        <w:t>protrombina, disminuyendo </w:t>
      </w:r>
      <w:r>
        <w:rPr>
          <w:spacing w:val="-3"/>
        </w:rPr>
        <w:t>la </w:t>
      </w:r>
      <w:r>
        <w:rPr/>
        <w:t>actividad de </w:t>
      </w:r>
      <w:r>
        <w:rPr>
          <w:spacing w:val="-3"/>
        </w:rPr>
        <w:t>la </w:t>
      </w:r>
      <w:r>
        <w:rPr/>
        <w:t>antitrombina y disminuyendo el plasminógeno, mientras que el estradiol transdérmico no tiene efectos procoagulantes e incluso llega a disminuir los niveles de fibrinógeno. Speroff y colaboradores también agregan en su estudio observacional que el uso de estradiol transdérmico a dosis de 50 microgramos al día o menos, no incrementan el riesgo de presentar un evento cerebro vascular, al contrario del estrógeno</w:t>
      </w:r>
      <w:r>
        <w:rPr>
          <w:spacing w:val="-5"/>
        </w:rPr>
        <w:t> </w:t>
      </w:r>
      <w:r>
        <w:rPr/>
        <w:t>oral.</w:t>
      </w:r>
    </w:p>
    <w:p>
      <w:pPr>
        <w:pStyle w:val="BodyText"/>
        <w:tabs>
          <w:tab w:pos="3554" w:val="left" w:leader="none"/>
        </w:tabs>
        <w:spacing w:line="276" w:lineRule="auto" w:before="157"/>
        <w:ind w:left="680" w:right="1432"/>
        <w:jc w:val="both"/>
      </w:pPr>
      <w:r>
        <w:rPr/>
        <w:t>Se ha demostrado que el estradiol transdérmico aporta mayores niveles plasmáticos que </w:t>
      </w:r>
      <w:r>
        <w:rPr>
          <w:spacing w:val="-3"/>
        </w:rPr>
        <w:t>la </w:t>
      </w:r>
      <w:r>
        <w:rPr/>
        <w:t>terapia oral, y consecuentemente mayores niveles de estradiol se correlacionan con una mejor salud neuronal en mujeres posmenopáusicas.</w:t>
        <w:tab/>
        <w:t>Gleason y colaboradores encontraron un mejor desempeño verbal en mujeres premenopáusicas con historia familiar de AD que utilizaron estradiol tópico, en comparación a quienes utilizaron CEE o que nunca utilizaron ningún tipo de terapia. Joffe y colaboradores demostraron efectos positivos en su estudio de resonancia magnética (MRI) con mujeres recientemente menopáusicas después del uso de estradiol tópico, esto en comparación al grupo que utilizaba placebo tópico. Los estudios demostraron un aumento de </w:t>
      </w:r>
      <w:r>
        <w:rPr>
          <w:spacing w:val="-3"/>
        </w:rPr>
        <w:t>la </w:t>
      </w:r>
      <w:r>
        <w:rPr/>
        <w:t>activación de </w:t>
      </w:r>
      <w:r>
        <w:rPr>
          <w:spacing w:val="-3"/>
        </w:rPr>
        <w:t>la </w:t>
      </w:r>
      <w:r>
        <w:rPr/>
        <w:t>corteza frontal durante exámenes verbales de memoria con el uso de estradiol tópico, y no con placebo</w:t>
      </w:r>
      <w:r>
        <w:rPr>
          <w:spacing w:val="-1"/>
        </w:rPr>
        <w:t> </w:t>
      </w:r>
      <w:r>
        <w:rPr/>
        <w:t>tópico.</w:t>
      </w:r>
    </w:p>
    <w:p>
      <w:pPr>
        <w:pStyle w:val="BodyText"/>
        <w:spacing w:line="276" w:lineRule="auto" w:before="162"/>
        <w:ind w:left="680" w:right="1437"/>
        <w:jc w:val="both"/>
      </w:pPr>
      <w:r>
        <w:rPr/>
        <w:t>Por </w:t>
      </w:r>
      <w:r>
        <w:rPr>
          <w:spacing w:val="-3"/>
        </w:rPr>
        <w:t>lo </w:t>
      </w:r>
      <w:r>
        <w:rPr/>
        <w:t>tanto se concluyó que </w:t>
      </w:r>
      <w:r>
        <w:rPr>
          <w:spacing w:val="-3"/>
        </w:rPr>
        <w:t>la </w:t>
      </w:r>
      <w:r>
        <w:rPr/>
        <w:t>memoria y  </w:t>
      </w:r>
      <w:r>
        <w:rPr>
          <w:spacing w:val="-3"/>
        </w:rPr>
        <w:t>la </w:t>
      </w:r>
      <w:r>
        <w:rPr/>
        <w:t>función ejecutiva precedente de </w:t>
      </w:r>
      <w:r>
        <w:rPr>
          <w:spacing w:val="-3"/>
        </w:rPr>
        <w:t>la </w:t>
      </w:r>
      <w:r>
        <w:rPr/>
        <w:t>corteza frontal mejoraron con el uso de estradiol tópico. El estudio KEEPS (Kronos Early Estrogen Prevention Study) y</w:t>
      </w:r>
      <w:r>
        <w:rPr>
          <w:spacing w:val="-16"/>
        </w:rPr>
        <w:t> </w:t>
      </w:r>
      <w:r>
        <w:rPr/>
        <w:t>KEEPS</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7"/>
        <w:rPr>
          <w:sz w:val="11"/>
        </w:rPr>
      </w:pPr>
    </w:p>
    <w:p>
      <w:pPr>
        <w:spacing w:after="0"/>
        <w:rPr>
          <w:sz w:val="11"/>
        </w:rPr>
        <w:sectPr>
          <w:pgSz w:w="12240" w:h="15840"/>
          <w:pgMar w:header="723" w:footer="882" w:top="1200" w:bottom="1080" w:left="0" w:right="0"/>
        </w:sectPr>
      </w:pPr>
    </w:p>
    <w:p>
      <w:pPr>
        <w:pStyle w:val="BodyText"/>
        <w:spacing w:line="276" w:lineRule="auto" w:before="93"/>
        <w:ind w:left="1440"/>
        <w:jc w:val="both"/>
      </w:pPr>
      <w:r>
        <w:rPr/>
        <w:t>C/A (KEEPS estudio afectivo y cognitivo) son estudios longitudinales de gran escala que utilizaron estradiol transdérmico como una de sus grandes variables hormonales en la comparación entre CEE y E2.</w:t>
      </w:r>
    </w:p>
    <w:p>
      <w:pPr>
        <w:pStyle w:val="BodyText"/>
        <w:spacing w:line="276" w:lineRule="auto" w:before="162"/>
        <w:ind w:left="1440"/>
        <w:jc w:val="both"/>
      </w:pPr>
      <w:r>
        <w:rPr/>
        <w:t>Los estudios fueron publicados en el 2012 y reportaron que la administración de ambas formas de terapia a mujeres recientemente menopausias, no creo ningún efecto adverso detectable sobre la cognición. En comparación al placebo, el grupo con CEE orales mostró una tendencia de mejora en términos de depresión y ansiedad, además de la memoria asociada a información impresa. Por otro lado el grupo de estrenos tópicos demostró una tendencia adversa en la memoria de eventos pasados y su severidad. Sin embargo, ninguna de las dos terapias mostró evidencia clara de un beneficio en la cognición. Le Blanc y colaboradores, en su meta-análisis preparado para el departamento de salud y servicios humanos de los Estados Unidos, encontraron que el beneficio cognitivo a corto plazo era más probable que ocurriera en mujeres sintomáticas recibiendo estrógenos en comparación a aquellas sin síntomas, que no mostraron un beneficio mayor.</w:t>
      </w:r>
    </w:p>
    <w:p>
      <w:pPr>
        <w:pStyle w:val="BodyText"/>
        <w:spacing w:line="276" w:lineRule="auto" w:before="162"/>
        <w:ind w:left="1440" w:right="2"/>
        <w:jc w:val="both"/>
      </w:pPr>
      <w:r>
        <w:rPr/>
        <w:t>En los cuatro ensayos clínicos realizados en mujeres con síntomas somáticos, </w:t>
      </w:r>
      <w:r>
        <w:rPr>
          <w:spacing w:val="-3"/>
        </w:rPr>
        <w:t>la </w:t>
      </w:r>
      <w:r>
        <w:rPr/>
        <w:t>terapia estrogénica hormonal mejoró al menos una función cognitiva, siendo </w:t>
      </w:r>
      <w:r>
        <w:rPr>
          <w:spacing w:val="-3"/>
        </w:rPr>
        <w:t>la </w:t>
      </w:r>
      <w:r>
        <w:rPr/>
        <w:t>memoria verbal </w:t>
      </w:r>
      <w:r>
        <w:rPr>
          <w:spacing w:val="-3"/>
        </w:rPr>
        <w:t>la </w:t>
      </w:r>
      <w:r>
        <w:rPr/>
        <w:t>más consistente. También demostraron beneficio a nivel de </w:t>
      </w:r>
      <w:r>
        <w:rPr>
          <w:spacing w:val="-3"/>
        </w:rPr>
        <w:t>la </w:t>
      </w:r>
      <w:r>
        <w:rPr/>
        <w:t>vigilia, </w:t>
      </w:r>
      <w:r>
        <w:rPr>
          <w:spacing w:val="1"/>
        </w:rPr>
        <w:t>el </w:t>
      </w:r>
      <w:r>
        <w:rPr/>
        <w:t>razonamiento, y </w:t>
      </w:r>
      <w:r>
        <w:rPr>
          <w:spacing w:val="-3"/>
        </w:rPr>
        <w:t>la </w:t>
      </w:r>
      <w:r>
        <w:rPr/>
        <w:t>velocidad motora. Le Blanc y colaboradores atribuyen </w:t>
      </w:r>
      <w:r>
        <w:rPr>
          <w:spacing w:val="-3"/>
        </w:rPr>
        <w:t>la </w:t>
      </w:r>
      <w:r>
        <w:rPr/>
        <w:t>posibilidad de que el mejor desempeño se deba a que </w:t>
      </w:r>
      <w:r>
        <w:rPr>
          <w:spacing w:val="-3"/>
        </w:rPr>
        <w:t>la </w:t>
      </w:r>
      <w:r>
        <w:rPr/>
        <w:t>mayoría de los exámenes realizados son fuertemente influenciados por el nivel de atención, que a su vez es influenciado por el estado de ánimo de </w:t>
      </w:r>
      <w:r>
        <w:rPr>
          <w:spacing w:val="-3"/>
        </w:rPr>
        <w:t>la </w:t>
      </w:r>
      <w:r>
        <w:rPr/>
        <w:t>paciente, y que al recibir estrógenos</w:t>
      </w:r>
      <w:r>
        <w:rPr>
          <w:spacing w:val="42"/>
        </w:rPr>
        <w:t> </w:t>
      </w:r>
      <w:r>
        <w:rPr/>
        <w:t>y</w:t>
      </w:r>
    </w:p>
    <w:p>
      <w:pPr>
        <w:pStyle w:val="BodyText"/>
        <w:spacing w:line="276" w:lineRule="auto" w:before="93"/>
        <w:ind w:left="680" w:right="1436"/>
        <w:jc w:val="both"/>
      </w:pPr>
      <w:r>
        <w:rPr/>
        <w:br w:type="column"/>
      </w:r>
      <w:r>
        <w:rPr/>
        <w:t>disminuir los síntomas, las pacientes exhiben menor fatiga, menos síntomas vasomotores y por lo tanto mejor estado de ánimo y consecuentemente mejores resultados cognitivos.</w:t>
      </w:r>
    </w:p>
    <w:p>
      <w:pPr>
        <w:pStyle w:val="BodyText"/>
        <w:spacing w:line="276" w:lineRule="auto" w:before="162"/>
        <w:ind w:left="680" w:right="1438"/>
        <w:jc w:val="both"/>
      </w:pPr>
      <w:r>
        <w:rPr/>
        <w:t>Es importante tener en cuenta que muchos de estos síntomas son dependientes de estrógeno, y que mujeres asintomáticas posiblemente ya presentan mayores niveles estrogénicos en comparación a mujeres sintomáticas, lo que podría explicar porque no se encontró mayor incremento en el desempeño cognitivo de las mujeres asintomáticas con la administración de terapia hormonal.</w:t>
      </w:r>
    </w:p>
    <w:p>
      <w:pPr>
        <w:pStyle w:val="BodyText"/>
        <w:spacing w:line="276" w:lineRule="auto" w:before="162"/>
        <w:ind w:left="680" w:right="1434"/>
        <w:jc w:val="both"/>
      </w:pPr>
      <w:r>
        <w:rPr/>
        <w:t>En relación a </w:t>
      </w:r>
      <w:r>
        <w:rPr>
          <w:spacing w:val="-3"/>
        </w:rPr>
        <w:t>la </w:t>
      </w:r>
      <w:r>
        <w:rPr/>
        <w:t>demencia y AD, basado en </w:t>
      </w:r>
      <w:r>
        <w:rPr>
          <w:spacing w:val="-3"/>
        </w:rPr>
        <w:t>la </w:t>
      </w:r>
      <w:r>
        <w:rPr/>
        <w:t>información de 12 estudios cohorte, Le Blanc y asociados observan una disminución de riesgo para presentar demencia del 34% entre pacientes que toman terapia de reemplazo estrogénico. No hay suficiente información del uso asociado de progestinas. Aún faltan estudios que correlacionen los síntomas al efecto cognitivo a largo plazo, en especial relacionado a</w:t>
      </w:r>
      <w:r>
        <w:rPr>
          <w:spacing w:val="-1"/>
        </w:rPr>
        <w:t> </w:t>
      </w:r>
      <w:r>
        <w:rPr/>
        <w:t>AD.</w:t>
      </w:r>
    </w:p>
    <w:p>
      <w:pPr>
        <w:pStyle w:val="Heading4"/>
        <w:spacing w:before="159"/>
        <w:ind w:left="680"/>
        <w:jc w:val="both"/>
      </w:pPr>
      <w:r>
        <w:rPr/>
        <w:t>CONCLUSIONES</w:t>
      </w:r>
    </w:p>
    <w:p>
      <w:pPr>
        <w:pStyle w:val="BodyText"/>
        <w:spacing w:line="276" w:lineRule="auto" w:before="202"/>
        <w:ind w:left="680" w:right="1436"/>
        <w:jc w:val="both"/>
      </w:pPr>
      <w:r>
        <w:rPr/>
        <w:t>El estudio KEEPS hace énfasis en </w:t>
      </w:r>
      <w:r>
        <w:rPr>
          <w:spacing w:val="-3"/>
        </w:rPr>
        <w:t>la </w:t>
      </w:r>
      <w:r>
        <w:rPr/>
        <w:t>necesidad de una terapia individualizada a </w:t>
      </w:r>
      <w:r>
        <w:rPr>
          <w:spacing w:val="-3"/>
        </w:rPr>
        <w:t>la </w:t>
      </w:r>
      <w:r>
        <w:rPr/>
        <w:t>hora de tomar </w:t>
      </w:r>
      <w:r>
        <w:rPr>
          <w:spacing w:val="-3"/>
        </w:rPr>
        <w:t>la </w:t>
      </w:r>
      <w:r>
        <w:rPr/>
        <w:t>decisión de iniciar una terapia de reemplazo hormonal. La gran disparidad de resultados entre los diferentes estudios puede ser explicada por </w:t>
      </w:r>
      <w:r>
        <w:rPr>
          <w:spacing w:val="-3"/>
        </w:rPr>
        <w:t>la </w:t>
      </w:r>
      <w:r>
        <w:rPr/>
        <w:t>variabilidad de las características en </w:t>
      </w:r>
      <w:r>
        <w:rPr>
          <w:spacing w:val="-3"/>
        </w:rPr>
        <w:t>la </w:t>
      </w:r>
      <w:r>
        <w:rPr/>
        <w:t>terapia, como </w:t>
      </w:r>
      <w:r>
        <w:rPr>
          <w:spacing w:val="-3"/>
        </w:rPr>
        <w:t>lo </w:t>
      </w:r>
      <w:r>
        <w:rPr/>
        <w:t>es el momento de inicio de </w:t>
      </w:r>
      <w:r>
        <w:rPr>
          <w:spacing w:val="-3"/>
        </w:rPr>
        <w:t>la </w:t>
      </w:r>
      <w:r>
        <w:rPr/>
        <w:t>terapia de forma preventiva, el tipo de terapia, </w:t>
      </w:r>
      <w:r>
        <w:rPr>
          <w:spacing w:val="1"/>
        </w:rPr>
        <w:t>el </w:t>
      </w:r>
      <w:r>
        <w:rPr/>
        <w:t>modo de administración y </w:t>
      </w:r>
      <w:r>
        <w:rPr>
          <w:spacing w:val="-3"/>
        </w:rPr>
        <w:t>la </w:t>
      </w:r>
      <w:r>
        <w:rPr/>
        <w:t>clínica de </w:t>
      </w:r>
      <w:r>
        <w:rPr>
          <w:spacing w:val="-3"/>
        </w:rPr>
        <w:t>la</w:t>
      </w:r>
      <w:r>
        <w:rPr>
          <w:spacing w:val="-1"/>
        </w:rPr>
        <w:t> </w:t>
      </w:r>
      <w:r>
        <w:rPr/>
        <w:t>paciente.</w:t>
      </w:r>
    </w:p>
    <w:p>
      <w:pPr>
        <w:pStyle w:val="BodyText"/>
        <w:spacing w:line="276" w:lineRule="auto" w:before="157"/>
        <w:ind w:left="680" w:right="1433"/>
        <w:jc w:val="both"/>
      </w:pPr>
      <w:r>
        <w:rPr/>
        <w:t>La caída drástica de niveles estrogénicos durante la transición menopáusica está asociada con un elevado riesgo de pérdida</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7"/>
        <w:rPr>
          <w:sz w:val="11"/>
        </w:rPr>
      </w:pPr>
    </w:p>
    <w:p>
      <w:pPr>
        <w:spacing w:after="0"/>
        <w:rPr>
          <w:sz w:val="11"/>
        </w:rPr>
        <w:sectPr>
          <w:footerReference w:type="even" r:id="rId58"/>
          <w:footerReference w:type="default" r:id="rId59"/>
          <w:pgSz w:w="12240" w:h="15840"/>
          <w:pgMar w:footer="872" w:header="723" w:top="1200" w:bottom="1060" w:left="0" w:right="0"/>
          <w:pgNumType w:start="20"/>
        </w:sectPr>
      </w:pPr>
    </w:p>
    <w:p>
      <w:pPr>
        <w:pStyle w:val="BodyText"/>
        <w:spacing w:line="276" w:lineRule="auto" w:before="93"/>
        <w:ind w:left="1440"/>
        <w:jc w:val="both"/>
      </w:pPr>
      <w:r>
        <w:rPr/>
        <w:t>cognitiva y un subsecuente desarrollo de AD, sobre todo en personas predispuestas. Sin embargo, es difícil comparar estudios acerca </w:t>
      </w:r>
      <w:r>
        <w:rPr>
          <w:spacing w:val="-3"/>
        </w:rPr>
        <w:t>la </w:t>
      </w:r>
      <w:r>
        <w:rPr/>
        <w:t>terapia de reemplazo estrogénico y </w:t>
      </w:r>
      <w:r>
        <w:rPr>
          <w:spacing w:val="-3"/>
        </w:rPr>
        <w:t>la </w:t>
      </w:r>
      <w:r>
        <w:rPr/>
        <w:t>función cognitiva de forma definitiva y reportar una conclusión global, esto debido a que los estudios utilizan</w:t>
      </w:r>
      <w:r>
        <w:rPr>
          <w:spacing w:val="21"/>
        </w:rPr>
        <w:t> </w:t>
      </w:r>
      <w:r>
        <w:rPr/>
        <w:t>diferentes</w:t>
      </w:r>
    </w:p>
    <w:p>
      <w:pPr>
        <w:pStyle w:val="BodyText"/>
        <w:spacing w:line="276" w:lineRule="auto" w:before="93"/>
        <w:ind w:left="679" w:right="1435"/>
        <w:jc w:val="both"/>
      </w:pPr>
      <w:r>
        <w:rPr/>
        <w:br w:type="column"/>
      </w:r>
      <w:r>
        <w:rPr/>
        <w:t>poblaciones femeninas y reportan diferentes resultados de exámenes cognitivos, por </w:t>
      </w:r>
      <w:r>
        <w:rPr>
          <w:spacing w:val="-3"/>
        </w:rPr>
        <w:t>lo </w:t>
      </w:r>
      <w:r>
        <w:rPr/>
        <w:t>que faltan más estudios para determinar con certeza si </w:t>
      </w:r>
      <w:r>
        <w:rPr>
          <w:spacing w:val="-3"/>
        </w:rPr>
        <w:t>la </w:t>
      </w:r>
      <w:r>
        <w:rPr/>
        <w:t>terapia estrogénica tiene un efecto preventivo sobre </w:t>
      </w:r>
      <w:r>
        <w:rPr>
          <w:spacing w:val="-3"/>
        </w:rPr>
        <w:t>la </w:t>
      </w:r>
      <w:r>
        <w:rPr/>
        <w:t>patología de AD, sobre todo si interviene durante </w:t>
      </w:r>
      <w:r>
        <w:rPr>
          <w:spacing w:val="-3"/>
        </w:rPr>
        <w:t>la </w:t>
      </w:r>
      <w:r>
        <w:rPr/>
        <w:t>menopausia</w:t>
      </w:r>
      <w:r>
        <w:rPr>
          <w:spacing w:val="-5"/>
        </w:rPr>
        <w:t> </w:t>
      </w:r>
      <w:r>
        <w:rPr/>
        <w:t>temprana.</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pStyle w:val="BodyText"/>
        <w:spacing w:before="8"/>
        <w:rPr>
          <w:sz w:val="23"/>
        </w:rPr>
      </w:pPr>
    </w:p>
    <w:p>
      <w:pPr>
        <w:pStyle w:val="Heading4"/>
        <w:spacing w:before="92"/>
      </w:pPr>
      <w:r>
        <w:rPr/>
        <w:t>BIBLIOGRAFIA</w:t>
      </w:r>
    </w:p>
    <w:p>
      <w:pPr>
        <w:pStyle w:val="BodyText"/>
        <w:spacing w:before="2"/>
        <w:rPr>
          <w:b/>
          <w:sz w:val="21"/>
        </w:rPr>
      </w:pPr>
    </w:p>
    <w:p>
      <w:pPr>
        <w:pStyle w:val="ListParagraph"/>
        <w:numPr>
          <w:ilvl w:val="0"/>
          <w:numId w:val="10"/>
        </w:numPr>
        <w:tabs>
          <w:tab w:pos="1801" w:val="left" w:leader="none"/>
        </w:tabs>
        <w:spacing w:line="271" w:lineRule="auto" w:before="0" w:after="0"/>
        <w:ind w:left="1800" w:right="1453" w:hanging="360"/>
        <w:jc w:val="both"/>
        <w:rPr>
          <w:sz w:val="20"/>
        </w:rPr>
      </w:pPr>
      <w:r>
        <w:rPr>
          <w:sz w:val="20"/>
        </w:rPr>
        <w:t>Yaffe K, Sawaya G, Lieberburg I &amp; Grady </w:t>
      </w:r>
      <w:r>
        <w:rPr>
          <w:spacing w:val="-3"/>
          <w:sz w:val="20"/>
        </w:rPr>
        <w:t>D. </w:t>
      </w:r>
      <w:r>
        <w:rPr>
          <w:sz w:val="20"/>
        </w:rPr>
        <w:t>(1998) Estrogen therapy in postmenopausal women: Effects on cognitive function and dementia. </w:t>
      </w:r>
      <w:r>
        <w:rPr>
          <w:spacing w:val="-3"/>
          <w:sz w:val="20"/>
        </w:rPr>
        <w:t>JAMA; </w:t>
      </w:r>
      <w:r>
        <w:rPr>
          <w:sz w:val="20"/>
        </w:rPr>
        <w:t>279: 688-695.</w:t>
      </w:r>
    </w:p>
    <w:p>
      <w:pPr>
        <w:pStyle w:val="ListParagraph"/>
        <w:numPr>
          <w:ilvl w:val="0"/>
          <w:numId w:val="10"/>
        </w:numPr>
        <w:tabs>
          <w:tab w:pos="1801" w:val="left" w:leader="none"/>
        </w:tabs>
        <w:spacing w:line="276" w:lineRule="auto" w:before="3" w:after="0"/>
        <w:ind w:left="1800" w:right="1442" w:hanging="360"/>
        <w:jc w:val="both"/>
        <w:rPr>
          <w:sz w:val="20"/>
        </w:rPr>
      </w:pPr>
      <w:r>
        <w:rPr>
          <w:sz w:val="20"/>
        </w:rPr>
        <w:t>Zandi PP, Carlson MC, Plassman BL, et al. (2002) Hormone replacement therapy and incidence of Alzheimer disease in older women: the Cache County Study. Jama; 288:</w:t>
      </w:r>
      <w:r>
        <w:rPr>
          <w:spacing w:val="-12"/>
          <w:sz w:val="20"/>
        </w:rPr>
        <w:t> </w:t>
      </w:r>
      <w:r>
        <w:rPr>
          <w:sz w:val="20"/>
        </w:rPr>
        <w:t>21232129.</w:t>
      </w:r>
    </w:p>
    <w:p>
      <w:pPr>
        <w:pStyle w:val="ListParagraph"/>
        <w:numPr>
          <w:ilvl w:val="0"/>
          <w:numId w:val="10"/>
        </w:numPr>
        <w:tabs>
          <w:tab w:pos="1857" w:val="left" w:leader="none"/>
        </w:tabs>
        <w:spacing w:line="276" w:lineRule="auto" w:before="0" w:after="0"/>
        <w:ind w:left="1800" w:right="1431" w:hanging="360"/>
        <w:jc w:val="both"/>
        <w:rPr>
          <w:sz w:val="20"/>
        </w:rPr>
      </w:pPr>
      <w:r>
        <w:rPr>
          <w:sz w:val="20"/>
        </w:rPr>
        <w:t>Bhavnani BR. (2003) Estrogens and menopause: pharmacology of conjugated equine estrogens and their potential role in the prevention of neurodegenerative diseases such as Alzheimer's. J Steroid Biochem Mol Biol; 85:</w:t>
      </w:r>
      <w:r>
        <w:rPr>
          <w:spacing w:val="-8"/>
          <w:sz w:val="20"/>
        </w:rPr>
        <w:t> </w:t>
      </w:r>
      <w:r>
        <w:rPr>
          <w:sz w:val="20"/>
        </w:rPr>
        <w:t>473-482.</w:t>
      </w:r>
    </w:p>
    <w:p>
      <w:pPr>
        <w:pStyle w:val="ListParagraph"/>
        <w:numPr>
          <w:ilvl w:val="0"/>
          <w:numId w:val="10"/>
        </w:numPr>
        <w:tabs>
          <w:tab w:pos="1801" w:val="left" w:leader="none"/>
        </w:tabs>
        <w:spacing w:line="271" w:lineRule="auto" w:before="0" w:after="0"/>
        <w:ind w:left="1800" w:right="1431" w:hanging="360"/>
        <w:jc w:val="both"/>
        <w:rPr>
          <w:sz w:val="20"/>
        </w:rPr>
      </w:pPr>
      <w:r>
        <w:rPr>
          <w:sz w:val="20"/>
        </w:rPr>
        <w:t>Sherwin BB. (2009) Estrogen therapy:is time of initiation critical for neuroprotection. Nat RevEndocrinol.620-627.PubMed:19844249.</w:t>
      </w:r>
    </w:p>
    <w:p>
      <w:pPr>
        <w:pStyle w:val="ListParagraph"/>
        <w:numPr>
          <w:ilvl w:val="0"/>
          <w:numId w:val="10"/>
        </w:numPr>
        <w:tabs>
          <w:tab w:pos="1801" w:val="left" w:leader="none"/>
        </w:tabs>
        <w:spacing w:line="276" w:lineRule="auto" w:before="4" w:after="0"/>
        <w:ind w:left="1800" w:right="1445" w:hanging="360"/>
        <w:jc w:val="both"/>
        <w:rPr>
          <w:sz w:val="20"/>
        </w:rPr>
      </w:pPr>
      <w:r>
        <w:rPr>
          <w:sz w:val="20"/>
        </w:rPr>
        <w:t>Daniel </w:t>
      </w:r>
      <w:r>
        <w:rPr>
          <w:spacing w:val="-3"/>
          <w:sz w:val="20"/>
        </w:rPr>
        <w:t>jM, </w:t>
      </w:r>
      <w:r>
        <w:rPr>
          <w:sz w:val="20"/>
        </w:rPr>
        <w:t>Bohacek J. (2010) The critical period hypothesis of estrogen effects on cognition:lnsights from basic research. Biochimica et Biophysica Acta.</w:t>
      </w:r>
      <w:r>
        <w:rPr>
          <w:spacing w:val="-9"/>
          <w:sz w:val="20"/>
        </w:rPr>
        <w:t> </w:t>
      </w:r>
      <w:r>
        <w:rPr>
          <w:sz w:val="20"/>
        </w:rPr>
        <w:t>1800:1068-1076.</w:t>
      </w:r>
    </w:p>
    <w:p>
      <w:pPr>
        <w:pStyle w:val="ListParagraph"/>
        <w:numPr>
          <w:ilvl w:val="0"/>
          <w:numId w:val="10"/>
        </w:numPr>
        <w:tabs>
          <w:tab w:pos="1801" w:val="left" w:leader="none"/>
        </w:tabs>
        <w:spacing w:line="276" w:lineRule="auto" w:before="0" w:after="0"/>
        <w:ind w:left="1800" w:right="1433" w:hanging="360"/>
        <w:jc w:val="both"/>
        <w:rPr>
          <w:sz w:val="20"/>
        </w:rPr>
      </w:pPr>
      <w:r>
        <w:rPr>
          <w:sz w:val="20"/>
        </w:rPr>
        <w:t>Erickson Kl, Voss MW, Prakash RS, et al. (2006) A cross-sectional study of hormone treatment and hippocampal volume in postmenopausal women:evidence for a limited window of opportunity. Neuropsychology. 24:68-76. PubMed:3947.</w:t>
      </w:r>
    </w:p>
    <w:p>
      <w:pPr>
        <w:pStyle w:val="ListParagraph"/>
        <w:numPr>
          <w:ilvl w:val="0"/>
          <w:numId w:val="10"/>
        </w:numPr>
        <w:tabs>
          <w:tab w:pos="1801" w:val="left" w:leader="none"/>
        </w:tabs>
        <w:spacing w:line="271" w:lineRule="auto" w:before="0" w:after="0"/>
        <w:ind w:left="1800" w:right="1445" w:hanging="360"/>
        <w:jc w:val="both"/>
        <w:rPr>
          <w:sz w:val="20"/>
        </w:rPr>
      </w:pPr>
      <w:r>
        <w:rPr>
          <w:sz w:val="20"/>
        </w:rPr>
        <w:t>Wharton </w:t>
      </w:r>
      <w:r>
        <w:rPr>
          <w:spacing w:val="2"/>
          <w:sz w:val="20"/>
        </w:rPr>
        <w:t>W, </w:t>
      </w:r>
      <w:r>
        <w:rPr>
          <w:sz w:val="20"/>
        </w:rPr>
        <w:t>Gleason CE, Lorenze KR, et al. (2009) Potential role of estrogen in the pathobiology and prevention of Alzheimer's disease. </w:t>
      </w:r>
      <w:r>
        <w:rPr>
          <w:spacing w:val="-3"/>
          <w:sz w:val="20"/>
        </w:rPr>
        <w:t>Amy </w:t>
      </w:r>
      <w:r>
        <w:rPr>
          <w:sz w:val="20"/>
        </w:rPr>
        <w:t>Transi Res.2:l</w:t>
      </w:r>
      <w:r>
        <w:rPr>
          <w:spacing w:val="5"/>
          <w:sz w:val="20"/>
        </w:rPr>
        <w:t> </w:t>
      </w:r>
      <w:r>
        <w:rPr>
          <w:sz w:val="20"/>
        </w:rPr>
        <w:t>31-147.</w:t>
      </w:r>
    </w:p>
    <w:p>
      <w:pPr>
        <w:pStyle w:val="BodyText"/>
        <w:spacing w:before="10"/>
        <w:rPr>
          <w:sz w:val="17"/>
        </w:rPr>
      </w:pPr>
    </w:p>
    <w:p>
      <w:pPr>
        <w:tabs>
          <w:tab w:pos="7550" w:val="left" w:leader="none"/>
        </w:tabs>
        <w:spacing w:before="0"/>
        <w:ind w:left="1440" w:right="0" w:firstLine="0"/>
        <w:jc w:val="left"/>
        <w:rPr>
          <w:sz w:val="20"/>
        </w:rPr>
      </w:pPr>
      <w:r>
        <w:rPr>
          <w:sz w:val="20"/>
        </w:rPr>
        <w:t>Recepción: 28 Octubre</w:t>
      </w:r>
      <w:r>
        <w:rPr>
          <w:spacing w:val="-3"/>
          <w:sz w:val="20"/>
        </w:rPr>
        <w:t> </w:t>
      </w:r>
      <w:r>
        <w:rPr>
          <w:sz w:val="20"/>
        </w:rPr>
        <w:t>de</w:t>
      </w:r>
      <w:r>
        <w:rPr>
          <w:spacing w:val="-1"/>
          <w:sz w:val="20"/>
        </w:rPr>
        <w:t> </w:t>
      </w:r>
      <w:r>
        <w:rPr>
          <w:sz w:val="20"/>
        </w:rPr>
        <w:t>2016</w:t>
        <w:tab/>
        <w:t>Aprobación: 10 Noviembre de</w:t>
      </w:r>
      <w:r>
        <w:rPr>
          <w:spacing w:val="1"/>
          <w:sz w:val="20"/>
        </w:rPr>
        <w:t> </w:t>
      </w:r>
      <w:r>
        <w:rPr>
          <w:sz w:val="20"/>
        </w:rPr>
        <w:t>2016</w:t>
      </w:r>
    </w:p>
    <w:p>
      <w:pPr>
        <w:spacing w:after="0"/>
        <w:jc w:val="left"/>
        <w:rPr>
          <w:sz w:val="20"/>
        </w:rPr>
        <w:sectPr>
          <w:type w:val="continuous"/>
          <w:pgSz w:w="12240" w:h="15840"/>
          <w:pgMar w:top="1500" w:bottom="0" w:left="0" w:right="0"/>
        </w:sectPr>
      </w:pPr>
    </w:p>
    <w:p>
      <w:pPr>
        <w:spacing w:before="78"/>
        <w:ind w:left="1544" w:right="0" w:firstLine="0"/>
        <w:jc w:val="left"/>
        <w:rPr>
          <w:sz w:val="16"/>
        </w:rPr>
      </w:pPr>
      <w:r>
        <w:rPr/>
        <w:pict>
          <v:group style="position:absolute;margin-left:72.199997pt;margin-top:4.183923pt;width:472.3pt;height:371.05pt;mso-position-horizontal-relative:page;mso-position-vertical-relative:paragraph;z-index:-38512" coordorigin="1444,84" coordsize="9446,7421">
            <v:shape style="position:absolute;left:3375;top:1489;width:7515;height:6015" type="#_x0000_t75" stroked="false">
              <v:imagedata r:id="rId61" o:title=""/>
            </v:shape>
            <v:shape style="position:absolute;left:1444;top:83;width:1928;height:7252" type="#_x0000_t75" stroked="false">
              <v:imagedata r:id="rId62" o:title=""/>
            </v:shape>
            <w10:wrap type="none"/>
          </v:group>
        </w:pict>
      </w:r>
      <w:r>
        <w:rPr>
          <w:sz w:val="16"/>
        </w:rPr>
        <w:t>Revista Médica Sinergia</w:t>
      </w:r>
    </w:p>
    <w:p>
      <w:pPr>
        <w:pStyle w:val="BodyText"/>
        <w:spacing w:before="8"/>
        <w:rPr>
          <w:sz w:val="18"/>
        </w:rPr>
      </w:pPr>
    </w:p>
    <w:p>
      <w:pPr>
        <w:spacing w:before="0"/>
        <w:ind w:left="1812" w:right="0" w:firstLine="0"/>
        <w:jc w:val="left"/>
        <w:rPr>
          <w:sz w:val="16"/>
        </w:rPr>
      </w:pPr>
      <w:r>
        <w:rPr>
          <w:sz w:val="16"/>
        </w:rPr>
        <w:t>ISSN 2215-4523</w:t>
      </w:r>
    </w:p>
    <w:p>
      <w:pPr>
        <w:spacing w:line="261" w:lineRule="auto" w:before="11"/>
        <w:ind w:left="1464" w:right="0" w:firstLine="456"/>
        <w:jc w:val="left"/>
        <w:rPr>
          <w:sz w:val="16"/>
        </w:rPr>
      </w:pPr>
      <w:r>
        <w:rPr>
          <w:sz w:val="16"/>
        </w:rPr>
        <w:t>Vol.1 Num:12 Diciembre 2016 pp:21- 25</w:t>
      </w:r>
    </w:p>
    <w:p>
      <w:pPr>
        <w:pStyle w:val="Heading3"/>
        <w:ind w:left="1445" w:right="3062"/>
      </w:pPr>
      <w:r>
        <w:rPr>
          <w:b w:val="0"/>
        </w:rPr>
        <w:br w:type="column"/>
      </w:r>
      <w:r>
        <w:rPr/>
        <w:t>ENDOMETRITIS POSTPARTO</w:t>
      </w:r>
    </w:p>
    <w:p>
      <w:pPr>
        <w:spacing w:before="53"/>
        <w:ind w:left="1445" w:right="3060" w:firstLine="0"/>
        <w:jc w:val="center"/>
        <w:rPr>
          <w:sz w:val="20"/>
        </w:rPr>
      </w:pPr>
      <w:hyperlink r:id="rId63">
        <w:r>
          <w:rPr>
            <w:sz w:val="20"/>
          </w:rPr>
          <w:t>(POSTPARTUM </w:t>
        </w:r>
      </w:hyperlink>
      <w:r>
        <w:rPr>
          <w:sz w:val="20"/>
        </w:rPr>
        <w:t>ENDOMETRITIS)</w:t>
      </w:r>
    </w:p>
    <w:p>
      <w:pPr>
        <w:pStyle w:val="BodyText"/>
        <w:spacing w:before="10"/>
        <w:rPr>
          <w:sz w:val="23"/>
        </w:rPr>
      </w:pPr>
    </w:p>
    <w:p>
      <w:pPr>
        <w:pStyle w:val="BodyText"/>
        <w:ind w:left="4629"/>
      </w:pPr>
      <w:r>
        <w:rPr/>
        <w:t>* Gilbert Chaverri Guillen</w:t>
      </w:r>
    </w:p>
    <w:p>
      <w:pPr>
        <w:spacing w:after="0"/>
        <w:sectPr>
          <w:headerReference w:type="default" r:id="rId60"/>
          <w:pgSz w:w="12240" w:h="15840"/>
          <w:pgMar w:header="0" w:footer="882" w:top="1360" w:bottom="1080" w:left="0" w:right="0"/>
          <w:cols w:num="2" w:equalWidth="0">
            <w:col w:w="3346" w:space="411"/>
            <w:col w:w="8483"/>
          </w:cols>
        </w:sectPr>
      </w:pPr>
    </w:p>
    <w:p>
      <w:pPr>
        <w:pStyle w:val="BodyText"/>
        <w:spacing w:before="1"/>
        <w:rPr>
          <w:sz w:val="23"/>
        </w:rPr>
      </w:pPr>
    </w:p>
    <w:p>
      <w:pPr>
        <w:pStyle w:val="BodyText"/>
        <w:spacing w:before="93"/>
        <w:ind w:left="3529"/>
      </w:pPr>
      <w:r>
        <w:rPr/>
        <w:t>RESUMEN</w:t>
      </w:r>
    </w:p>
    <w:p>
      <w:pPr>
        <w:pStyle w:val="BodyText"/>
        <w:spacing w:line="276" w:lineRule="auto" w:before="38"/>
        <w:ind w:left="3529" w:right="1431"/>
      </w:pPr>
      <w:r>
        <w:rPr/>
        <w:t>La endometritis posparto es una causa común de morbilidad febril postparto, un buen diagnóstico y una intervención oportuna son importantes para todas las mujeres en el período posparto temprano. Conocer los diferentes diagnósticos diferenciales y tratamientos es el objetivo de esta revisión, así como ejemplificar los diferentes medios de transmisión y los patógenos relacionados.</w:t>
      </w:r>
    </w:p>
    <w:p>
      <w:pPr>
        <w:pStyle w:val="BodyText"/>
        <w:spacing w:before="2"/>
        <w:rPr>
          <w:sz w:val="25"/>
        </w:rPr>
      </w:pPr>
    </w:p>
    <w:p>
      <w:pPr>
        <w:pStyle w:val="BodyText"/>
        <w:ind w:left="3529"/>
      </w:pPr>
      <w:r>
        <w:rPr/>
        <w:t>DESCRIPTORES</w:t>
      </w:r>
    </w:p>
    <w:p>
      <w:pPr>
        <w:pStyle w:val="BodyText"/>
        <w:spacing w:before="38"/>
        <w:ind w:left="3529"/>
      </w:pPr>
      <w:r>
        <w:rPr/>
        <w:t>Endometritis, fiebre puerpebral, corioamnioitis, endometrio, cesarea.</w:t>
      </w:r>
    </w:p>
    <w:p>
      <w:pPr>
        <w:pStyle w:val="BodyText"/>
        <w:spacing w:before="3"/>
        <w:rPr>
          <w:sz w:val="20"/>
        </w:rPr>
      </w:pPr>
    </w:p>
    <w:p>
      <w:pPr>
        <w:spacing w:after="0"/>
        <w:rPr>
          <w:sz w:val="20"/>
        </w:rPr>
        <w:sectPr>
          <w:type w:val="continuous"/>
          <w:pgSz w:w="12240" w:h="15840"/>
          <w:pgMar w:top="1500" w:bottom="0" w:left="0" w:right="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5"/>
        </w:rPr>
      </w:pPr>
    </w:p>
    <w:p>
      <w:pPr>
        <w:spacing w:line="259" w:lineRule="auto" w:before="0"/>
        <w:ind w:left="1444" w:right="-12" w:firstLine="0"/>
        <w:jc w:val="left"/>
        <w:rPr>
          <w:sz w:val="16"/>
        </w:rPr>
      </w:pPr>
      <w:r>
        <w:rPr>
          <w:sz w:val="16"/>
        </w:rPr>
        <w:t>*Médico General. Universidad de</w:t>
      </w:r>
      <w:r>
        <w:rPr>
          <w:spacing w:val="-10"/>
          <w:sz w:val="16"/>
        </w:rPr>
        <w:t> </w:t>
      </w:r>
      <w:r>
        <w:rPr>
          <w:sz w:val="16"/>
        </w:rPr>
        <w:t>Ciencias Médicas (UCIMED) San José -Costa</w:t>
      </w:r>
      <w:r>
        <w:rPr>
          <w:spacing w:val="1"/>
          <w:sz w:val="16"/>
        </w:rPr>
        <w:t> </w:t>
      </w:r>
      <w:r>
        <w:rPr>
          <w:sz w:val="16"/>
        </w:rPr>
        <w:t>Rica</w:t>
      </w:r>
    </w:p>
    <w:p>
      <w:pPr>
        <w:pStyle w:val="BodyText"/>
        <w:spacing w:before="93"/>
        <w:ind w:left="321"/>
      </w:pPr>
      <w:r>
        <w:rPr/>
        <w:br w:type="column"/>
      </w:r>
      <w:r>
        <w:rPr/>
        <w:t>SUMMARY</w:t>
      </w:r>
    </w:p>
    <w:p>
      <w:pPr>
        <w:pStyle w:val="BodyText"/>
        <w:spacing w:line="276" w:lineRule="auto" w:before="38"/>
        <w:ind w:left="321" w:right="1370"/>
      </w:pPr>
      <w:r>
        <w:rPr/>
        <w:t>Postpartum endometritis is a common cause of postpartum febrile morbidity, good diagnosis and timely intervention are important for every woman in early postpartum period. Knowing the different differential diagnoses and treatments is the objective of this review, as well as exemplifying the different means of transmission and related pathogens.</w:t>
      </w:r>
    </w:p>
    <w:p>
      <w:pPr>
        <w:pStyle w:val="BodyText"/>
        <w:spacing w:before="2"/>
        <w:rPr>
          <w:sz w:val="25"/>
        </w:rPr>
      </w:pPr>
    </w:p>
    <w:p>
      <w:pPr>
        <w:pStyle w:val="BodyText"/>
        <w:ind w:left="321"/>
      </w:pPr>
      <w:r>
        <w:rPr/>
        <w:t>KEYWORDS</w:t>
      </w:r>
    </w:p>
    <w:p>
      <w:pPr>
        <w:pStyle w:val="BodyText"/>
        <w:spacing w:before="38"/>
        <w:ind w:left="321"/>
      </w:pPr>
      <w:r>
        <w:rPr/>
        <w:t>Endometritis, puerpebral fever, chorioamnioitis, endometrium, cesarean.</w:t>
      </w:r>
    </w:p>
    <w:p>
      <w:pPr>
        <w:spacing w:after="0"/>
        <w:sectPr>
          <w:type w:val="continuous"/>
          <w:pgSz w:w="12240" w:h="15840"/>
          <w:pgMar w:top="1500" w:bottom="0" w:left="0" w:right="0"/>
          <w:cols w:num="2" w:equalWidth="0">
            <w:col w:w="3168" w:space="40"/>
            <w:col w:w="9032"/>
          </w:cols>
        </w:sectPr>
      </w:pPr>
    </w:p>
    <w:p>
      <w:pPr>
        <w:pStyle w:val="BodyText"/>
        <w:rPr>
          <w:sz w:val="13"/>
        </w:rPr>
      </w:pPr>
    </w:p>
    <w:p>
      <w:pPr>
        <w:spacing w:after="0"/>
        <w:rPr>
          <w:sz w:val="13"/>
        </w:rPr>
        <w:sectPr>
          <w:type w:val="continuous"/>
          <w:pgSz w:w="12240" w:h="15840"/>
          <w:pgMar w:top="1500" w:bottom="0" w:left="0" w:right="0"/>
        </w:sectPr>
      </w:pPr>
    </w:p>
    <w:p>
      <w:pPr>
        <w:pStyle w:val="BodyText"/>
        <w:spacing w:before="3"/>
        <w:rPr>
          <w:sz w:val="34"/>
        </w:rPr>
      </w:pPr>
    </w:p>
    <w:p>
      <w:pPr>
        <w:pStyle w:val="Heading4"/>
        <w:ind w:left="2669"/>
      </w:pPr>
      <w:r>
        <w:rPr/>
        <w:t>INTRODUCCION</w:t>
      </w:r>
    </w:p>
    <w:p>
      <w:pPr>
        <w:pStyle w:val="BodyText"/>
        <w:spacing w:before="4"/>
        <w:rPr>
          <w:b/>
          <w:sz w:val="21"/>
        </w:rPr>
      </w:pPr>
    </w:p>
    <w:p>
      <w:pPr>
        <w:pStyle w:val="BodyText"/>
        <w:spacing w:line="276" w:lineRule="auto"/>
        <w:ind w:left="1440" w:firstLine="68"/>
        <w:jc w:val="both"/>
      </w:pPr>
      <w:r>
        <w:rPr/>
        <w:t>Una de las causas más comunes de fiebre en el posparto es la endometritis. Esta infección uterina también puede comprometer al miometrio y parametrios dando como resultado una endomiometritis y una endoparametritis respectivamente.</w:t>
      </w:r>
    </w:p>
    <w:p>
      <w:pPr>
        <w:pStyle w:val="BodyText"/>
        <w:spacing w:line="276" w:lineRule="auto" w:before="201"/>
        <w:ind w:left="1440"/>
        <w:jc w:val="both"/>
      </w:pPr>
      <w:r>
        <w:rPr/>
        <w:t>Desde hace siglos era bien conocida como fiebre puerperal, </w:t>
      </w:r>
      <w:r>
        <w:rPr>
          <w:spacing w:val="-3"/>
        </w:rPr>
        <w:t>la </w:t>
      </w:r>
      <w:r>
        <w:rPr/>
        <w:t>cual formaba parte de </w:t>
      </w:r>
      <w:r>
        <w:rPr>
          <w:spacing w:val="-3"/>
        </w:rPr>
        <w:t>la </w:t>
      </w:r>
      <w:r>
        <w:rPr/>
        <w:t>triada de mortalidad materna y, aunque todavía persiste siendo </w:t>
      </w:r>
      <w:r>
        <w:rPr>
          <w:spacing w:val="-3"/>
        </w:rPr>
        <w:t>la </w:t>
      </w:r>
      <w:r>
        <w:rPr/>
        <w:t>principal  causa de muerte en los 42 días subsiguientes al parto en diferentes partes del mundo como en </w:t>
      </w:r>
      <w:r>
        <w:rPr>
          <w:spacing w:val="-3"/>
        </w:rPr>
        <w:t>la </w:t>
      </w:r>
      <w:r>
        <w:rPr/>
        <w:t>región sur del continente Asiático, en </w:t>
      </w:r>
      <w:r>
        <w:rPr>
          <w:spacing w:val="-3"/>
        </w:rPr>
        <w:t>la </w:t>
      </w:r>
      <w:r>
        <w:rPr/>
        <w:t>actualidad se ha visto un aumento de casos de endometritis</w:t>
      </w:r>
      <w:r>
        <w:rPr>
          <w:spacing w:val="20"/>
        </w:rPr>
        <w:t> </w:t>
      </w:r>
      <w:r>
        <w:rPr/>
        <w:t>postparto</w:t>
      </w:r>
    </w:p>
    <w:p>
      <w:pPr>
        <w:pStyle w:val="BodyText"/>
        <w:spacing w:line="276" w:lineRule="auto" w:before="93"/>
        <w:ind w:left="680" w:right="1438"/>
        <w:jc w:val="both"/>
      </w:pPr>
      <w:r>
        <w:rPr/>
        <w:br w:type="column"/>
      </w:r>
      <w:r>
        <w:rPr/>
        <w:t>principalmente debido a la alta tasa de partos por vía alta.</w:t>
      </w:r>
    </w:p>
    <w:p>
      <w:pPr>
        <w:pStyle w:val="BodyText"/>
        <w:spacing w:line="276" w:lineRule="auto" w:before="198"/>
        <w:ind w:left="680" w:right="1434"/>
        <w:jc w:val="both"/>
      </w:pPr>
      <w:r>
        <w:rPr/>
        <w:t>El objetivo de esta revisión conocer los factores de riesgo, diagnósticos diferenciales y medidas de prevención que se deben terne en cuenta en el contexto de la fiebre puerperal.</w:t>
      </w:r>
    </w:p>
    <w:p>
      <w:pPr>
        <w:pStyle w:val="Heading4"/>
        <w:spacing w:before="199"/>
        <w:ind w:left="680"/>
      </w:pPr>
      <w:r>
        <w:rPr/>
        <w:t>DEFINICION</w:t>
      </w:r>
    </w:p>
    <w:p>
      <w:pPr>
        <w:pStyle w:val="BodyText"/>
        <w:rPr>
          <w:b/>
          <w:sz w:val="21"/>
        </w:rPr>
      </w:pPr>
    </w:p>
    <w:p>
      <w:pPr>
        <w:pStyle w:val="BodyText"/>
        <w:spacing w:line="276" w:lineRule="auto"/>
        <w:ind w:left="680" w:right="1438"/>
        <w:jc w:val="both"/>
      </w:pPr>
      <w:r>
        <w:rPr/>
        <w:t>Se define la fiebre puerperal como una temperatura igual o superior a 38*C (100.4</w:t>
      </w:r>
    </w:p>
    <w:p>
      <w:pPr>
        <w:pStyle w:val="BodyText"/>
        <w:spacing w:line="276" w:lineRule="auto" w:before="1"/>
        <w:ind w:left="680" w:right="1434"/>
        <w:jc w:val="both"/>
      </w:pPr>
      <w:r>
        <w:rPr/>
        <w:t>*F) sostenía por 24 horas; o bien, fiebre recurrente durante el final del primer día y el final del decimo día después del parto o aborto.</w:t>
      </w:r>
    </w:p>
    <w:p>
      <w:pPr>
        <w:pStyle w:val="BodyText"/>
        <w:spacing w:line="276" w:lineRule="auto" w:before="201"/>
        <w:ind w:left="680" w:right="1442"/>
        <w:jc w:val="both"/>
      </w:pPr>
      <w:r>
        <w:rPr/>
        <w:t>La definición estricta de endometritis establece que es la presencia de cinco o</w:t>
      </w:r>
    </w:p>
    <w:p>
      <w:pPr>
        <w:spacing w:after="0" w:line="276" w:lineRule="auto"/>
        <w:jc w:val="both"/>
        <w:sectPr>
          <w:type w:val="continuous"/>
          <w:pgSz w:w="12240" w:h="15840"/>
          <w:pgMar w:top="1500" w:bottom="0" w:left="0" w:right="0"/>
          <w:cols w:num="2" w:equalWidth="0">
            <w:col w:w="5762" w:space="40"/>
            <w:col w:w="6438"/>
          </w:cols>
        </w:sectPr>
      </w:pPr>
    </w:p>
    <w:p>
      <w:pPr>
        <w:pStyle w:val="BodyText"/>
        <w:rPr>
          <w:sz w:val="20"/>
        </w:rPr>
      </w:pPr>
    </w:p>
    <w:p>
      <w:pPr>
        <w:spacing w:after="0"/>
        <w:rPr>
          <w:sz w:val="20"/>
        </w:rPr>
        <w:sectPr>
          <w:headerReference w:type="even" r:id="rId64"/>
          <w:headerReference w:type="default" r:id="rId65"/>
          <w:footerReference w:type="even" r:id="rId66"/>
          <w:footerReference w:type="default" r:id="rId67"/>
          <w:pgSz w:w="12240" w:h="15840"/>
          <w:pgMar w:header="723" w:footer="872" w:top="940" w:bottom="1060" w:left="0" w:right="0"/>
          <w:pgNumType w:start="22"/>
        </w:sectPr>
      </w:pPr>
    </w:p>
    <w:p>
      <w:pPr>
        <w:pStyle w:val="BodyText"/>
        <w:spacing w:before="8"/>
      </w:pPr>
    </w:p>
    <w:p>
      <w:pPr>
        <w:pStyle w:val="BodyText"/>
        <w:spacing w:line="259" w:lineRule="auto"/>
        <w:ind w:left="1440"/>
        <w:jc w:val="both"/>
      </w:pPr>
      <w:r>
        <w:rPr/>
        <w:t>más neutrófilos por campo a 400X en la superficie del endometrio o bien de una célula plasmática a 120X en la capa basal del endometrio.</w:t>
      </w:r>
    </w:p>
    <w:p>
      <w:pPr>
        <w:pStyle w:val="BodyText"/>
        <w:spacing w:line="259" w:lineRule="auto" w:before="159"/>
        <w:ind w:left="1440" w:right="1"/>
        <w:jc w:val="both"/>
      </w:pPr>
      <w:r>
        <w:rPr/>
        <w:t>Debido a que el diagnostico usual de esta entidad se hace en forma clínica, en general no se necesita contar con una muestra de tejido para</w:t>
      </w:r>
      <w:r>
        <w:rPr>
          <w:spacing w:val="-7"/>
        </w:rPr>
        <w:t> </w:t>
      </w:r>
      <w:r>
        <w:rPr/>
        <w:t>diagnosticarla.</w:t>
      </w:r>
    </w:p>
    <w:p>
      <w:pPr>
        <w:pStyle w:val="Heading4"/>
        <w:spacing w:before="156"/>
        <w:jc w:val="both"/>
      </w:pPr>
      <w:r>
        <w:rPr/>
        <w:t>PATOGENESIS</w:t>
      </w:r>
    </w:p>
    <w:p>
      <w:pPr>
        <w:pStyle w:val="BodyText"/>
        <w:rPr>
          <w:b/>
          <w:sz w:val="21"/>
        </w:rPr>
      </w:pPr>
    </w:p>
    <w:p>
      <w:pPr>
        <w:pStyle w:val="BodyText"/>
        <w:spacing w:line="276" w:lineRule="auto"/>
        <w:ind w:left="1440" w:right="1"/>
        <w:jc w:val="both"/>
      </w:pPr>
      <w:r>
        <w:rPr/>
        <w:t>El mecanismo de contagio </w:t>
      </w:r>
      <w:r>
        <w:rPr>
          <w:spacing w:val="1"/>
        </w:rPr>
        <w:t>va </w:t>
      </w:r>
      <w:r>
        <w:rPr/>
        <w:t>a depender de </w:t>
      </w:r>
      <w:r>
        <w:rPr>
          <w:spacing w:val="-3"/>
        </w:rPr>
        <w:t>la </w:t>
      </w:r>
      <w:r>
        <w:rPr/>
        <w:t>vía de parto, siendo </w:t>
      </w:r>
      <w:r>
        <w:rPr>
          <w:spacing w:val="-3"/>
        </w:rPr>
        <w:t>la </w:t>
      </w:r>
      <w:r>
        <w:rPr/>
        <w:t>cesárea el principal factor de riesgo, aumentando </w:t>
      </w:r>
      <w:r>
        <w:rPr>
          <w:spacing w:val="-3"/>
        </w:rPr>
        <w:t>la </w:t>
      </w:r>
      <w:r>
        <w:rPr/>
        <w:t>incidencia en un 25% comparado a un parto por vía</w:t>
      </w:r>
      <w:r>
        <w:rPr>
          <w:spacing w:val="-11"/>
        </w:rPr>
        <w:t> </w:t>
      </w:r>
      <w:r>
        <w:rPr/>
        <w:t>vaginal.</w:t>
      </w:r>
    </w:p>
    <w:p>
      <w:pPr>
        <w:pStyle w:val="BodyText"/>
        <w:spacing w:line="276" w:lineRule="auto" w:before="201"/>
        <w:ind w:left="1440"/>
        <w:jc w:val="both"/>
      </w:pPr>
      <w:r>
        <w:rPr/>
        <w:t>En </w:t>
      </w:r>
      <w:r>
        <w:rPr>
          <w:spacing w:val="-3"/>
        </w:rPr>
        <w:t>la </w:t>
      </w:r>
      <w:r>
        <w:rPr/>
        <w:t>vía alta se han asociado los  siguientes factores de riesgo para a </w:t>
      </w:r>
      <w:r>
        <w:rPr>
          <w:spacing w:val="-3"/>
        </w:rPr>
        <w:t>la </w:t>
      </w:r>
      <w:r>
        <w:rPr/>
        <w:t>formación de tejido necrótico y </w:t>
      </w:r>
      <w:r>
        <w:rPr>
          <w:spacing w:val="-3"/>
        </w:rPr>
        <w:t>la </w:t>
      </w:r>
      <w:r>
        <w:rPr/>
        <w:t>proliferación bacteriana: Dehiscencia de </w:t>
      </w:r>
      <w:r>
        <w:rPr>
          <w:spacing w:val="-3"/>
        </w:rPr>
        <w:t>la </w:t>
      </w:r>
      <w:r>
        <w:rPr/>
        <w:t>herida quirúrgica, necrosis de </w:t>
      </w:r>
      <w:r>
        <w:rPr>
          <w:spacing w:val="-3"/>
        </w:rPr>
        <w:t>la </w:t>
      </w:r>
      <w:r>
        <w:rPr/>
        <w:t>sutura y presencia de hematomas</w:t>
      </w:r>
      <w:r>
        <w:rPr>
          <w:spacing w:val="-1"/>
        </w:rPr>
        <w:t> </w:t>
      </w:r>
      <w:r>
        <w:rPr/>
        <w:t>.</w:t>
      </w:r>
    </w:p>
    <w:p>
      <w:pPr>
        <w:pStyle w:val="BodyText"/>
        <w:spacing w:line="276" w:lineRule="auto" w:before="197"/>
        <w:ind w:left="1440"/>
        <w:jc w:val="both"/>
      </w:pPr>
      <w:r>
        <w:rPr/>
        <w:t>En el caso de parto por vía vaginal, la principal fuente de contagio es la vía ascendente de microorganismo del tracto genitourinario con una sobreinfección concomitante (lo que se conoce como autoinfección). Aunque existen otros factores asociados como: El exceso de manipulación, la presencia de cuerpos extraños (como restos ovulares) y la realización de episiotomías.</w:t>
      </w:r>
    </w:p>
    <w:p>
      <w:pPr>
        <w:pStyle w:val="Heading4"/>
        <w:spacing w:before="199"/>
        <w:jc w:val="both"/>
      </w:pPr>
      <w:r>
        <w:rPr/>
        <w:t>FACTORES DE RIESGO</w:t>
      </w:r>
    </w:p>
    <w:p>
      <w:pPr>
        <w:pStyle w:val="BodyText"/>
        <w:spacing w:before="1"/>
        <w:rPr>
          <w:b/>
          <w:sz w:val="21"/>
        </w:rPr>
      </w:pPr>
    </w:p>
    <w:p>
      <w:pPr>
        <w:pStyle w:val="BodyText"/>
        <w:spacing w:line="276" w:lineRule="auto"/>
        <w:ind w:left="1440" w:right="3"/>
        <w:jc w:val="both"/>
      </w:pPr>
      <w:r>
        <w:rPr/>
        <w:t>Sin duda alguna, la cesárea es la causa principal de endometritis en la actualidad.</w:t>
      </w:r>
    </w:p>
    <w:p>
      <w:pPr>
        <w:pStyle w:val="BodyText"/>
        <w:spacing w:line="276" w:lineRule="auto" w:before="202"/>
        <w:ind w:left="1440"/>
        <w:jc w:val="both"/>
      </w:pPr>
      <w:r>
        <w:rPr/>
        <w:t>Las tasas de endometritis después de una cesárea electiva son cercanas al 10% y en algunas fuentes se documenta hasta de 30% luego de una cesárea no electiva si no se emplea un antibiótico profiláctico. Otros factores de riesgo importantes se pueden</w:t>
      </w:r>
    </w:p>
    <w:p>
      <w:pPr>
        <w:pStyle w:val="BodyText"/>
        <w:spacing w:before="8"/>
      </w:pPr>
      <w:r>
        <w:rPr/>
        <w:br w:type="column"/>
      </w:r>
      <w:r>
        <w:rPr/>
      </w:r>
    </w:p>
    <w:p>
      <w:pPr>
        <w:pStyle w:val="BodyText"/>
        <w:tabs>
          <w:tab w:pos="2130" w:val="left" w:leader="none"/>
          <w:tab w:pos="4041" w:val="left" w:leader="none"/>
        </w:tabs>
        <w:spacing w:line="276" w:lineRule="auto"/>
        <w:ind w:left="679" w:right="1430"/>
        <w:jc w:val="both"/>
      </w:pPr>
      <w:r>
        <w:rPr/>
        <w:t>clasificar en factores generales como: anemia,</w:t>
        <w:tab/>
        <w:t>desnutrición,</w:t>
        <w:tab/>
        <w:t>obesidad, enfermedades crónicas y bajo nivel socioeconómico, presencia en meconio en el líquido amniótico, embarazo pos termino, parto pre termino, infección intraamniotica, vaginosis bacteriana, inmunosupresión y colonización por el estreptococo grupo</w:t>
      </w:r>
      <w:r>
        <w:rPr>
          <w:spacing w:val="-13"/>
        </w:rPr>
        <w:t> </w:t>
      </w:r>
      <w:r>
        <w:rPr/>
        <w:t>B.</w:t>
      </w:r>
    </w:p>
    <w:p>
      <w:pPr>
        <w:pStyle w:val="BodyText"/>
        <w:spacing w:line="276" w:lineRule="auto" w:before="201"/>
        <w:ind w:left="679" w:right="1432"/>
        <w:jc w:val="both"/>
      </w:pPr>
      <w:r>
        <w:rPr/>
        <w:t>Asimismo se pueden clasificar en factores específicos durante embarazo, parto y cesárea los cuales se han reportado en la tabla 37-1.</w:t>
      </w:r>
    </w:p>
    <w:p>
      <w:pPr>
        <w:pStyle w:val="BodyText"/>
        <w:spacing w:before="10"/>
        <w:rPr>
          <w:sz w:val="16"/>
        </w:rPr>
      </w:pPr>
    </w:p>
    <w:tbl>
      <w:tblPr>
        <w:tblW w:w="0" w:type="auto"/>
        <w:jc w:val="lef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7"/>
        <w:gridCol w:w="1617"/>
        <w:gridCol w:w="1229"/>
      </w:tblGrid>
      <w:tr>
        <w:trPr>
          <w:trHeight w:val="490" w:hRule="atLeast"/>
        </w:trPr>
        <w:tc>
          <w:tcPr>
            <w:tcW w:w="4503" w:type="dxa"/>
            <w:gridSpan w:val="3"/>
          </w:tcPr>
          <w:p>
            <w:pPr>
              <w:pStyle w:val="TableParagraph"/>
              <w:spacing w:before="6"/>
              <w:ind w:left="71"/>
              <w:rPr>
                <w:i/>
                <w:sz w:val="20"/>
              </w:rPr>
            </w:pPr>
            <w:r>
              <w:rPr>
                <w:sz w:val="22"/>
              </w:rPr>
              <w:t>Tabla 37-1. </w:t>
            </w:r>
            <w:r>
              <w:rPr>
                <w:i/>
                <w:sz w:val="20"/>
              </w:rPr>
              <w:t>Factores de Riesgo específicos</w:t>
            </w:r>
          </w:p>
        </w:tc>
      </w:tr>
      <w:tr>
        <w:trPr>
          <w:trHeight w:val="561" w:hRule="atLeast"/>
        </w:trPr>
        <w:tc>
          <w:tcPr>
            <w:tcW w:w="1657" w:type="dxa"/>
          </w:tcPr>
          <w:p>
            <w:pPr>
              <w:pStyle w:val="TableParagraph"/>
              <w:tabs>
                <w:tab w:pos="1378" w:val="left" w:leader="none"/>
              </w:tabs>
              <w:spacing w:before="4"/>
              <w:ind w:right="99"/>
              <w:rPr>
                <w:b/>
                <w:sz w:val="20"/>
              </w:rPr>
            </w:pPr>
            <w:r>
              <w:rPr>
                <w:b/>
                <w:sz w:val="20"/>
              </w:rPr>
              <w:t>Durante</w:t>
              <w:tab/>
              <w:t>el embarazo</w:t>
            </w:r>
          </w:p>
        </w:tc>
        <w:tc>
          <w:tcPr>
            <w:tcW w:w="1617" w:type="dxa"/>
          </w:tcPr>
          <w:p>
            <w:pPr>
              <w:pStyle w:val="TableParagraph"/>
              <w:tabs>
                <w:tab w:pos="1333" w:val="left" w:leader="none"/>
              </w:tabs>
              <w:spacing w:before="4"/>
              <w:ind w:left="106" w:right="104"/>
              <w:rPr>
                <w:b/>
                <w:sz w:val="20"/>
              </w:rPr>
            </w:pPr>
            <w:r>
              <w:rPr>
                <w:b/>
                <w:sz w:val="20"/>
              </w:rPr>
              <w:t>Durante</w:t>
              <w:tab/>
              <w:t>el parto</w:t>
            </w:r>
          </w:p>
        </w:tc>
        <w:tc>
          <w:tcPr>
            <w:tcW w:w="1229" w:type="dxa"/>
          </w:tcPr>
          <w:p>
            <w:pPr>
              <w:pStyle w:val="TableParagraph"/>
              <w:spacing w:before="4"/>
              <w:ind w:left="105" w:right="93"/>
              <w:rPr>
                <w:b/>
                <w:sz w:val="20"/>
              </w:rPr>
            </w:pPr>
            <w:r>
              <w:rPr>
                <w:b/>
                <w:sz w:val="20"/>
              </w:rPr>
              <w:t>Durante la cesarea</w:t>
            </w:r>
          </w:p>
        </w:tc>
      </w:tr>
      <w:tr>
        <w:trPr>
          <w:trHeight w:val="922" w:hRule="atLeast"/>
        </w:trPr>
        <w:tc>
          <w:tcPr>
            <w:tcW w:w="1657" w:type="dxa"/>
          </w:tcPr>
          <w:p>
            <w:pPr>
              <w:pStyle w:val="TableParagraph"/>
              <w:spacing w:before="8"/>
              <w:ind w:right="96"/>
              <w:rPr>
                <w:sz w:val="20"/>
              </w:rPr>
            </w:pPr>
            <w:r>
              <w:rPr>
                <w:sz w:val="20"/>
              </w:rPr>
              <w:t>Control prenatal deficiente</w:t>
            </w:r>
          </w:p>
        </w:tc>
        <w:tc>
          <w:tcPr>
            <w:tcW w:w="1617" w:type="dxa"/>
          </w:tcPr>
          <w:p>
            <w:pPr>
              <w:pStyle w:val="TableParagraph"/>
              <w:tabs>
                <w:tab w:pos="1284" w:val="left" w:leader="none"/>
              </w:tabs>
              <w:spacing w:before="8"/>
              <w:ind w:left="106" w:right="98"/>
              <w:rPr>
                <w:sz w:val="20"/>
              </w:rPr>
            </w:pPr>
            <w:r>
              <w:rPr>
                <w:sz w:val="20"/>
              </w:rPr>
              <w:t>Trabajo</w:t>
              <w:tab/>
              <w:t>de parto prolongado</w:t>
            </w:r>
          </w:p>
        </w:tc>
        <w:tc>
          <w:tcPr>
            <w:tcW w:w="1229" w:type="dxa"/>
          </w:tcPr>
          <w:p>
            <w:pPr>
              <w:pStyle w:val="TableParagraph"/>
              <w:spacing w:before="8"/>
              <w:ind w:left="105" w:right="93"/>
              <w:rPr>
                <w:sz w:val="20"/>
              </w:rPr>
            </w:pPr>
            <w:r>
              <w:rPr>
                <w:sz w:val="20"/>
              </w:rPr>
              <w:t>Técnica quirúrgica</w:t>
            </w:r>
          </w:p>
          <w:p>
            <w:pPr>
              <w:pStyle w:val="TableParagraph"/>
              <w:spacing w:line="228" w:lineRule="exact" w:before="7"/>
              <w:ind w:left="105" w:right="170"/>
              <w:rPr>
                <w:sz w:val="20"/>
              </w:rPr>
            </w:pPr>
            <w:r>
              <w:rPr>
                <w:sz w:val="20"/>
              </w:rPr>
              <w:t>inadecuad a</w:t>
            </w:r>
          </w:p>
        </w:tc>
      </w:tr>
      <w:tr>
        <w:trPr>
          <w:trHeight w:val="1342" w:hRule="atLeast"/>
        </w:trPr>
        <w:tc>
          <w:tcPr>
            <w:tcW w:w="1657" w:type="dxa"/>
          </w:tcPr>
          <w:p>
            <w:pPr>
              <w:pStyle w:val="TableParagraph"/>
              <w:ind w:right="95"/>
              <w:jc w:val="both"/>
              <w:rPr>
                <w:sz w:val="20"/>
              </w:rPr>
            </w:pPr>
            <w:r>
              <w:rPr>
                <w:sz w:val="20"/>
              </w:rPr>
              <w:t>Aborto inducido en condiciones de riesgo a la salud</w:t>
            </w:r>
          </w:p>
        </w:tc>
        <w:tc>
          <w:tcPr>
            <w:tcW w:w="1617" w:type="dxa"/>
          </w:tcPr>
          <w:p>
            <w:pPr>
              <w:pStyle w:val="TableParagraph"/>
              <w:tabs>
                <w:tab w:pos="1509" w:val="right" w:leader="none"/>
              </w:tabs>
              <w:ind w:left="106" w:right="95"/>
              <w:rPr>
                <w:sz w:val="20"/>
              </w:rPr>
            </w:pPr>
            <w:r>
              <w:rPr>
                <w:sz w:val="20"/>
              </w:rPr>
              <w:t>Exploraciones vaginales múltiples (más de</w:t>
              <w:tab/>
              <w:t>5</w:t>
            </w:r>
          </w:p>
          <w:p>
            <w:pPr>
              <w:pStyle w:val="TableParagraph"/>
              <w:spacing w:line="228" w:lineRule="exact" w:before="3"/>
              <w:ind w:left="106"/>
              <w:rPr>
                <w:sz w:val="20"/>
              </w:rPr>
            </w:pPr>
            <w:r>
              <w:rPr>
                <w:sz w:val="20"/>
              </w:rPr>
              <w:t>exploraciones)</w:t>
            </w:r>
          </w:p>
        </w:tc>
        <w:tc>
          <w:tcPr>
            <w:tcW w:w="1229" w:type="dxa"/>
          </w:tcPr>
          <w:p>
            <w:pPr>
              <w:pStyle w:val="TableParagraph"/>
              <w:ind w:left="105" w:right="93"/>
              <w:rPr>
                <w:sz w:val="20"/>
              </w:rPr>
            </w:pPr>
            <w:r>
              <w:rPr>
                <w:sz w:val="20"/>
              </w:rPr>
              <w:t>Tiempo quirúrgico prolongado</w:t>
            </w:r>
          </w:p>
        </w:tc>
      </w:tr>
      <w:tr>
        <w:trPr>
          <w:trHeight w:val="890" w:hRule="atLeast"/>
        </w:trPr>
        <w:tc>
          <w:tcPr>
            <w:tcW w:w="1657" w:type="dxa"/>
          </w:tcPr>
          <w:p>
            <w:pPr>
              <w:pStyle w:val="TableParagraph"/>
              <w:tabs>
                <w:tab w:pos="1325" w:val="left" w:leader="none"/>
              </w:tabs>
              <w:spacing w:line="242" w:lineRule="auto" w:before="4"/>
              <w:ind w:right="97"/>
              <w:rPr>
                <w:sz w:val="20"/>
              </w:rPr>
            </w:pPr>
            <w:r>
              <w:rPr>
                <w:sz w:val="20"/>
              </w:rPr>
              <w:t>Infecciones</w:t>
              <w:tab/>
              <w:t>de vías</w:t>
            </w:r>
            <w:r>
              <w:rPr>
                <w:spacing w:val="-1"/>
                <w:sz w:val="20"/>
              </w:rPr>
              <w:t> </w:t>
            </w:r>
            <w:r>
              <w:rPr>
                <w:sz w:val="20"/>
              </w:rPr>
              <w:t>urinarias</w:t>
            </w:r>
          </w:p>
        </w:tc>
        <w:tc>
          <w:tcPr>
            <w:tcW w:w="1617" w:type="dxa"/>
          </w:tcPr>
          <w:p>
            <w:pPr>
              <w:pStyle w:val="TableParagraph"/>
              <w:spacing w:before="4"/>
              <w:ind w:left="106"/>
              <w:rPr>
                <w:sz w:val="20"/>
              </w:rPr>
            </w:pPr>
            <w:r>
              <w:rPr>
                <w:sz w:val="20"/>
              </w:rPr>
              <w:t>Corioamnionitis</w:t>
            </w:r>
          </w:p>
        </w:tc>
        <w:tc>
          <w:tcPr>
            <w:tcW w:w="1229" w:type="dxa"/>
          </w:tcPr>
          <w:p>
            <w:pPr>
              <w:pStyle w:val="TableParagraph"/>
              <w:spacing w:before="4"/>
              <w:ind w:left="105" w:right="326"/>
              <w:rPr>
                <w:sz w:val="20"/>
              </w:rPr>
            </w:pPr>
            <w:r>
              <w:rPr>
                <w:sz w:val="20"/>
              </w:rPr>
              <w:t>Cesárea de urgencia</w:t>
            </w:r>
          </w:p>
        </w:tc>
      </w:tr>
      <w:tr>
        <w:trPr>
          <w:trHeight w:val="1117" w:hRule="atLeast"/>
        </w:trPr>
        <w:tc>
          <w:tcPr>
            <w:tcW w:w="1657" w:type="dxa"/>
          </w:tcPr>
          <w:p>
            <w:pPr>
              <w:pStyle w:val="TableParagraph"/>
              <w:spacing w:before="4"/>
              <w:ind w:right="141"/>
              <w:rPr>
                <w:sz w:val="20"/>
              </w:rPr>
            </w:pPr>
            <w:r>
              <w:rPr>
                <w:sz w:val="20"/>
              </w:rPr>
              <w:t>Infecciones cervicovaginale s</w:t>
            </w:r>
          </w:p>
        </w:tc>
        <w:tc>
          <w:tcPr>
            <w:tcW w:w="1617" w:type="dxa"/>
          </w:tcPr>
          <w:p>
            <w:pPr>
              <w:pStyle w:val="TableParagraph"/>
              <w:tabs>
                <w:tab w:pos="1284" w:val="left" w:leader="none"/>
              </w:tabs>
              <w:spacing w:before="4"/>
              <w:ind w:left="106" w:right="98"/>
              <w:rPr>
                <w:sz w:val="20"/>
              </w:rPr>
            </w:pPr>
            <w:r>
              <w:rPr>
                <w:sz w:val="20"/>
              </w:rPr>
              <w:t>Parto instrumentado (utilización</w:t>
              <w:tab/>
              <w:t>de fórceps)</w:t>
            </w:r>
          </w:p>
        </w:tc>
        <w:tc>
          <w:tcPr>
            <w:tcW w:w="1229" w:type="dxa"/>
          </w:tcPr>
          <w:p>
            <w:pPr>
              <w:pStyle w:val="TableParagraph"/>
              <w:tabs>
                <w:tab w:pos="889" w:val="left" w:leader="none"/>
              </w:tabs>
              <w:spacing w:before="4"/>
              <w:ind w:left="105" w:right="104"/>
              <w:rPr>
                <w:sz w:val="20"/>
              </w:rPr>
            </w:pPr>
            <w:r>
              <w:rPr>
                <w:sz w:val="20"/>
              </w:rPr>
              <w:t>Pérdida hemática mayor</w:t>
              <w:tab/>
              <w:t>de 1000 </w:t>
            </w:r>
            <w:r>
              <w:rPr>
                <w:spacing w:val="-4"/>
                <w:sz w:val="20"/>
              </w:rPr>
              <w:t>mL</w:t>
            </w:r>
          </w:p>
        </w:tc>
      </w:tr>
      <w:tr>
        <w:trPr>
          <w:trHeight w:val="1586" w:hRule="atLeast"/>
        </w:trPr>
        <w:tc>
          <w:tcPr>
            <w:tcW w:w="1657" w:type="dxa"/>
          </w:tcPr>
          <w:p>
            <w:pPr>
              <w:pStyle w:val="TableParagraph"/>
              <w:tabs>
                <w:tab w:pos="1166" w:val="left" w:leader="none"/>
              </w:tabs>
              <w:spacing w:before="8"/>
              <w:ind w:left="178" w:right="56"/>
              <w:jc w:val="both"/>
              <w:rPr>
                <w:sz w:val="20"/>
              </w:rPr>
            </w:pPr>
            <w:r>
              <w:rPr>
                <w:sz w:val="20"/>
              </w:rPr>
              <w:t>Procedimientos invasivos de la cavidad uterina con</w:t>
              <w:tab/>
              <w:t>fines diagnósticos y terapéutico</w:t>
            </w:r>
          </w:p>
        </w:tc>
        <w:tc>
          <w:tcPr>
            <w:tcW w:w="1617" w:type="dxa"/>
          </w:tcPr>
          <w:p>
            <w:pPr>
              <w:pStyle w:val="TableParagraph"/>
              <w:spacing w:before="8"/>
              <w:ind w:left="70" w:right="83"/>
              <w:rPr>
                <w:sz w:val="20"/>
              </w:rPr>
            </w:pPr>
            <w:r>
              <w:rPr>
                <w:sz w:val="20"/>
              </w:rPr>
              <w:t>Desgarros cervicales y vaginoperineale s mal reparados</w:t>
            </w:r>
          </w:p>
        </w:tc>
        <w:tc>
          <w:tcPr>
            <w:tcW w:w="1229" w:type="dxa"/>
            <w:vMerge w:val="restart"/>
          </w:tcPr>
          <w:p>
            <w:pPr>
              <w:pStyle w:val="TableParagraph"/>
              <w:spacing w:line="259" w:lineRule="auto" w:before="8"/>
              <w:ind w:left="69" w:right="93"/>
              <w:rPr>
                <w:sz w:val="20"/>
              </w:rPr>
            </w:pPr>
            <w:r>
              <w:rPr>
                <w:sz w:val="20"/>
              </w:rPr>
              <w:t>RPM de más de 6 horas</w:t>
            </w:r>
          </w:p>
        </w:tc>
      </w:tr>
      <w:tr>
        <w:trPr>
          <w:trHeight w:val="1150" w:hRule="atLeast"/>
        </w:trPr>
        <w:tc>
          <w:tcPr>
            <w:tcW w:w="1657" w:type="dxa"/>
          </w:tcPr>
          <w:p>
            <w:pPr>
              <w:pStyle w:val="TableParagraph"/>
              <w:tabs>
                <w:tab w:pos="1365" w:val="left" w:leader="none"/>
              </w:tabs>
              <w:spacing w:before="4"/>
              <w:ind w:left="178" w:right="56"/>
              <w:rPr>
                <w:sz w:val="20"/>
              </w:rPr>
            </w:pPr>
            <w:r>
              <w:rPr>
                <w:sz w:val="20"/>
              </w:rPr>
              <w:t>Rotura prematura</w:t>
              <w:tab/>
              <w:t>de membranas</w:t>
            </w:r>
          </w:p>
          <w:p>
            <w:pPr>
              <w:pStyle w:val="TableParagraph"/>
              <w:spacing w:line="228" w:lineRule="exact" w:before="6"/>
              <w:ind w:left="178" w:right="96"/>
              <w:rPr>
                <w:sz w:val="20"/>
              </w:rPr>
            </w:pPr>
            <w:r>
              <w:rPr>
                <w:sz w:val="20"/>
              </w:rPr>
              <w:t>(RPM) de más de 6 horas</w:t>
            </w:r>
          </w:p>
        </w:tc>
        <w:tc>
          <w:tcPr>
            <w:tcW w:w="1617" w:type="dxa"/>
          </w:tcPr>
          <w:p>
            <w:pPr>
              <w:pStyle w:val="TableParagraph"/>
              <w:tabs>
                <w:tab w:pos="945" w:val="left" w:leader="none"/>
                <w:tab w:pos="1388" w:val="left" w:leader="none"/>
              </w:tabs>
              <w:spacing w:before="4"/>
              <w:ind w:left="70" w:right="57"/>
              <w:rPr>
                <w:sz w:val="20"/>
              </w:rPr>
            </w:pPr>
            <w:r>
              <w:rPr>
                <w:sz w:val="20"/>
              </w:rPr>
              <w:t>Revisión  manual</w:t>
              <w:tab/>
              <w:t>de</w:t>
              <w:tab/>
              <w:t>la cavidad</w:t>
            </w:r>
            <w:r>
              <w:rPr>
                <w:spacing w:val="-1"/>
                <w:sz w:val="20"/>
              </w:rPr>
              <w:t> </w:t>
            </w:r>
            <w:r>
              <w:rPr>
                <w:sz w:val="20"/>
              </w:rPr>
              <w:t>uterina</w:t>
            </w:r>
          </w:p>
        </w:tc>
        <w:tc>
          <w:tcPr>
            <w:tcW w:w="1229" w:type="dxa"/>
            <w:vMerge/>
            <w:tcBorders>
              <w:top w:val="nil"/>
            </w:tcBorders>
          </w:tcPr>
          <w:p>
            <w:pPr>
              <w:rPr>
                <w:sz w:val="2"/>
                <w:szCs w:val="2"/>
              </w:rPr>
            </w:pPr>
          </w:p>
        </w:tc>
      </w:tr>
      <w:tr>
        <w:trPr>
          <w:trHeight w:val="677" w:hRule="atLeast"/>
        </w:trPr>
        <w:tc>
          <w:tcPr>
            <w:tcW w:w="1657" w:type="dxa"/>
          </w:tcPr>
          <w:p>
            <w:pPr>
              <w:pStyle w:val="TableParagraph"/>
              <w:spacing w:line="227" w:lineRule="exact"/>
              <w:ind w:left="178"/>
              <w:rPr>
                <w:sz w:val="20"/>
              </w:rPr>
            </w:pPr>
            <w:r>
              <w:rPr>
                <w:sz w:val="20"/>
              </w:rPr>
              <w:t>Óbito fetal.</w:t>
            </w:r>
          </w:p>
        </w:tc>
        <w:tc>
          <w:tcPr>
            <w:tcW w:w="1617" w:type="dxa"/>
          </w:tcPr>
          <w:p>
            <w:pPr>
              <w:pStyle w:val="TableParagraph"/>
              <w:spacing w:line="227" w:lineRule="exact"/>
              <w:ind w:left="70"/>
              <w:rPr>
                <w:sz w:val="20"/>
              </w:rPr>
            </w:pPr>
            <w:r>
              <w:rPr>
                <w:sz w:val="20"/>
              </w:rPr>
              <w:t>Pérdida</w:t>
            </w:r>
          </w:p>
          <w:p>
            <w:pPr>
              <w:pStyle w:val="TableParagraph"/>
              <w:spacing w:line="228" w:lineRule="exact" w:before="7"/>
              <w:ind w:left="70"/>
              <w:rPr>
                <w:sz w:val="20"/>
              </w:rPr>
            </w:pPr>
            <w:r>
              <w:rPr>
                <w:sz w:val="20"/>
              </w:rPr>
              <w:t>hemática mayor de 500 mL.</w:t>
            </w:r>
          </w:p>
        </w:tc>
        <w:tc>
          <w:tcPr>
            <w:tcW w:w="1229" w:type="dxa"/>
            <w:vMerge/>
            <w:tcBorders>
              <w:top w:val="nil"/>
            </w:tcBorders>
          </w:tcPr>
          <w:p>
            <w:pPr>
              <w:rPr>
                <w:sz w:val="2"/>
                <w:szCs w:val="2"/>
              </w:rPr>
            </w:pPr>
          </w:p>
        </w:tc>
      </w:tr>
    </w:tbl>
    <w:p>
      <w:pPr>
        <w:spacing w:after="0"/>
        <w:rPr>
          <w:sz w:val="2"/>
          <w:szCs w:val="2"/>
        </w:rPr>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6"/>
      </w:pPr>
    </w:p>
    <w:p>
      <w:pPr>
        <w:pStyle w:val="Heading4"/>
        <w:jc w:val="both"/>
      </w:pPr>
      <w:r>
        <w:rPr/>
        <w:t>MICROBIOLOGIA</w:t>
      </w:r>
    </w:p>
    <w:p>
      <w:pPr>
        <w:pStyle w:val="BodyText"/>
        <w:spacing w:before="1"/>
        <w:rPr>
          <w:b/>
          <w:sz w:val="21"/>
        </w:rPr>
      </w:pPr>
    </w:p>
    <w:p>
      <w:pPr>
        <w:pStyle w:val="BodyText"/>
        <w:spacing w:line="276" w:lineRule="auto"/>
        <w:ind w:left="1440" w:right="2"/>
        <w:jc w:val="both"/>
      </w:pPr>
      <w:r>
        <w:rPr/>
        <w:t>La endometritis es una infección poli microbiana en la que de manera habitual se encuentran agentes aerobios y anaerobios del tracto genital. Los microrganismos más frecuentes</w:t>
      </w:r>
    </w:p>
    <w:p>
      <w:pPr>
        <w:pStyle w:val="BodyText"/>
        <w:spacing w:line="276" w:lineRule="auto" w:before="202"/>
        <w:ind w:left="1440"/>
        <w:jc w:val="both"/>
      </w:pPr>
      <w:r>
        <w:rPr/>
        <w:t>Gram positivos como los estreptococos de los grupos A, B y D y Gram negativos facultativos como E. coli, Klebsiella spp. y Proteus spp., en segundo lugar, agentes anaerobios, micoplasma, Neisseria gonorrhoeae y Chlamidia trachomatis </w:t>
      </w:r>
      <w:r>
        <w:rPr>
          <w:spacing w:val="-3"/>
        </w:rPr>
        <w:t>la </w:t>
      </w:r>
      <w:r>
        <w:rPr/>
        <w:t>cual se ha asociado con forma de presentación hasta 6 semanas después del parto. Algunas bacterias como Clostridium perfringens pueden causar gangrena en casos aislados y </w:t>
      </w:r>
      <w:r>
        <w:rPr>
          <w:spacing w:val="-3"/>
        </w:rPr>
        <w:t>la </w:t>
      </w:r>
      <w:r>
        <w:rPr/>
        <w:t>infección por estreptococos se caracteriza por fiebre elevada.</w:t>
      </w:r>
    </w:p>
    <w:p>
      <w:pPr>
        <w:pStyle w:val="Heading4"/>
        <w:spacing w:before="199"/>
        <w:jc w:val="both"/>
      </w:pPr>
      <w:r>
        <w:rPr/>
        <w:t>CUADRO CLINICO</w:t>
      </w:r>
    </w:p>
    <w:p>
      <w:pPr>
        <w:pStyle w:val="BodyText"/>
        <w:rPr>
          <w:b/>
          <w:sz w:val="21"/>
        </w:rPr>
      </w:pPr>
    </w:p>
    <w:p>
      <w:pPr>
        <w:pStyle w:val="BodyText"/>
        <w:spacing w:line="276" w:lineRule="auto" w:before="1"/>
        <w:ind w:left="1440" w:right="1"/>
        <w:jc w:val="both"/>
      </w:pPr>
      <w:r>
        <w:rPr/>
        <w:t>La fiebre puerperal se puede manifestar de distintas maneras tanto como una forma localizada , una forma propagada e inclusive como un shock séptico</w:t>
      </w:r>
      <w:r>
        <w:rPr>
          <w:spacing w:val="-4"/>
        </w:rPr>
        <w:t> </w:t>
      </w:r>
      <w:r>
        <w:rPr/>
        <w:t>.</w:t>
      </w:r>
    </w:p>
    <w:p>
      <w:pPr>
        <w:pStyle w:val="BodyText"/>
        <w:spacing w:line="276" w:lineRule="auto" w:before="202"/>
        <w:ind w:left="1440"/>
        <w:jc w:val="both"/>
      </w:pPr>
      <w:r>
        <w:rPr/>
        <w:t>La presentación clínica suele manifestarse durante la primera semana del posparto, sin embargo una considerable cantidad va a presentarse hasta 6 semanas posterío a este Vásquez et al., en su revisión de casos del Hospital Nacional Cayetano de Heredia en el 2013 reportaron como entre los síntomas más comunes el dolor a la movilización del cérvix, sangrado y la sensación febril como los síntomas más frecuentes; siendo esta ultima la más prevalente hasta en un 76% además de ser la primera en manifestarse .</w:t>
      </w:r>
    </w:p>
    <w:p>
      <w:pPr>
        <w:pStyle w:val="BodyText"/>
        <w:spacing w:line="276" w:lineRule="auto" w:before="197"/>
        <w:ind w:left="1440"/>
        <w:jc w:val="both"/>
      </w:pPr>
      <w:r>
        <w:rPr/>
        <w:t>Entre los signos más frecuentes las presencias de loquios fétidos estaban presentes en un 50% de las pacientes, así</w:t>
      </w:r>
    </w:p>
    <w:p>
      <w:pPr>
        <w:pStyle w:val="BodyText"/>
        <w:spacing w:before="8"/>
      </w:pPr>
      <w:r>
        <w:rPr/>
        <w:br w:type="column"/>
      </w:r>
      <w:r>
        <w:rPr/>
      </w:r>
    </w:p>
    <w:p>
      <w:pPr>
        <w:pStyle w:val="BodyText"/>
        <w:spacing w:line="276" w:lineRule="auto"/>
        <w:ind w:left="679" w:right="1433"/>
        <w:jc w:val="both"/>
      </w:pPr>
      <w:r>
        <w:rPr/>
        <w:t>también presentaron sensibilidad uterina, sangrado, secreción purulenta y subinvolucion uterina. En casos con estafilococos, pueden presentarse el síndrome de choque toxico debido a la presencia de toxinas, sin haber presentado uno solo de los anteriores signos o síntomas.</w:t>
      </w:r>
    </w:p>
    <w:p>
      <w:pPr>
        <w:pStyle w:val="BodyText"/>
        <w:spacing w:line="276" w:lineRule="auto" w:before="201"/>
        <w:ind w:left="679" w:right="1437"/>
        <w:jc w:val="both"/>
      </w:pPr>
      <w:r>
        <w:rPr/>
        <w:t>El diagnostico diferencial es con todas aquellas que provoquen fiebre en el posparto: mastitis, congestión mamaria, atelectasias por falta de una adecuada ventilación, infección de vías urinarias siendo la pielonefritis la más importante, trombosis venosa profunda, tromboflebitis pélvicas.</w:t>
      </w:r>
    </w:p>
    <w:p>
      <w:pPr>
        <w:pStyle w:val="Heading4"/>
        <w:spacing w:before="198"/>
        <w:ind w:left="679"/>
        <w:jc w:val="both"/>
      </w:pPr>
      <w:r>
        <w:rPr/>
        <w:t>DIAGNOSTICO</w:t>
      </w:r>
    </w:p>
    <w:p>
      <w:pPr>
        <w:pStyle w:val="BodyText"/>
        <w:spacing w:before="1"/>
        <w:rPr>
          <w:b/>
          <w:sz w:val="21"/>
        </w:rPr>
      </w:pPr>
    </w:p>
    <w:p>
      <w:pPr>
        <w:pStyle w:val="BodyText"/>
        <w:spacing w:line="276" w:lineRule="auto"/>
        <w:ind w:left="679" w:right="1437"/>
        <w:jc w:val="both"/>
      </w:pPr>
      <w:r>
        <w:rPr/>
        <w:t>En general, el diagnóstico es clínico, pero debido a que 15 a 20% de las veces se acompaña de bacteremia, es imprescindible establecer un diagnostico y método de estudio especifico.</w:t>
      </w:r>
    </w:p>
    <w:p>
      <w:pPr>
        <w:pStyle w:val="BodyText"/>
        <w:spacing w:line="276" w:lineRule="auto" w:before="202"/>
        <w:ind w:left="679" w:right="1435"/>
        <w:jc w:val="both"/>
      </w:pPr>
      <w:r>
        <w:rPr/>
        <w:t>Toda paciente con fiebre en sus primeras 24 horas posparto y sin factores de riesgo como infección intraamniotica, por </w:t>
      </w:r>
      <w:r>
        <w:rPr>
          <w:spacing w:val="-3"/>
        </w:rPr>
        <w:t>lo </w:t>
      </w:r>
      <w:r>
        <w:rPr/>
        <w:t>general solo suele vigilarse, ya que </w:t>
      </w:r>
      <w:r>
        <w:rPr>
          <w:spacing w:val="-3"/>
        </w:rPr>
        <w:t>la </w:t>
      </w:r>
      <w:r>
        <w:rPr/>
        <w:t>fiebre puede deberse a </w:t>
      </w:r>
      <w:r>
        <w:rPr>
          <w:spacing w:val="-3"/>
        </w:rPr>
        <w:t>la </w:t>
      </w:r>
      <w:r>
        <w:rPr/>
        <w:t>liberación de interleucinas y otros agentes pirógenos durante el parto o cesárea y. La fiebre que se presenta en las siguientes 24 horas debe estudiarse mediante protocolo. La fiebre debe ser mayor de 38*C tomada en dos terminaciones.</w:t>
      </w:r>
    </w:p>
    <w:p>
      <w:pPr>
        <w:pStyle w:val="BodyText"/>
        <w:spacing w:line="276" w:lineRule="auto" w:before="202"/>
        <w:ind w:left="679" w:right="1437"/>
        <w:jc w:val="both"/>
      </w:pPr>
      <w:r>
        <w:rPr/>
        <w:t>El estudio se debe complementar con los siguientes exámenes de laboratorio y gabinete: Cultivo de secreciones, hay quienes recomiendan realizar cultivos para descartar Chlamydia o gonorrea, aunque no se realizan de forma rutinaria y/o cultivo de endometrio. También se debe realizar hemoleucograma, hemocultivo, urocultivo y</w:t>
      </w:r>
    </w:p>
    <w:p>
      <w:pPr>
        <w:spacing w:after="0" w:line="276" w:lineRule="auto"/>
        <w:jc w:val="both"/>
        <w:sectPr>
          <w:type w:val="continuous"/>
          <w:pgSz w:w="12240" w:h="15840"/>
          <w:pgMar w:top="1500" w:bottom="0" w:left="0" w:right="0"/>
          <w:cols w:num="2" w:equalWidth="0">
            <w:col w:w="5763" w:space="40"/>
            <w:col w:w="6437"/>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tabs>
          <w:tab w:pos="3434" w:val="left" w:leader="none"/>
          <w:tab w:pos="5305" w:val="left" w:leader="none"/>
        </w:tabs>
        <w:spacing w:line="276" w:lineRule="auto"/>
        <w:ind w:left="1440"/>
        <w:jc w:val="both"/>
      </w:pPr>
      <w:r>
        <w:rPr/>
        <w:t>examen general de orina, radiografía de tórax. Ultrasonografía pélvica, para descartar una retención de restos placentarios.</w:t>
        <w:tab/>
        <w:t>Tomografía</w:t>
        <w:tab/>
        <w:t>axial computarizada, o angiografía, en casos específicos, para descartar tromboflebitis pélvica o abscesos</w:t>
      </w:r>
      <w:r>
        <w:rPr>
          <w:spacing w:val="-1"/>
        </w:rPr>
        <w:t> </w:t>
      </w:r>
      <w:r>
        <w:rPr/>
        <w:t>pélvicos.</w:t>
      </w:r>
    </w:p>
    <w:p>
      <w:pPr>
        <w:pStyle w:val="Heading4"/>
        <w:spacing w:before="158"/>
        <w:jc w:val="both"/>
      </w:pPr>
      <w:r>
        <w:rPr/>
        <w:t>PREVENCION</w:t>
      </w:r>
    </w:p>
    <w:p>
      <w:pPr>
        <w:pStyle w:val="BodyText"/>
        <w:spacing w:line="276" w:lineRule="auto" w:before="186"/>
        <w:ind w:left="1440" w:right="1"/>
        <w:jc w:val="both"/>
      </w:pPr>
      <w:r>
        <w:rPr/>
        <w:t>La profilaxis perioperatoria es sin duda la mejor medida para disminuir la tasa de aparición de infecciones postquirúrgicas en general, así como para disminuir la tasa de endometritis y sin esta la tasa de infección pélvica grave va a ser de hasta el 90%.</w:t>
      </w:r>
    </w:p>
    <w:p>
      <w:pPr>
        <w:pStyle w:val="BodyText"/>
        <w:spacing w:line="276" w:lineRule="auto" w:before="162"/>
        <w:ind w:left="1440"/>
        <w:jc w:val="both"/>
      </w:pPr>
      <w:r>
        <w:rPr/>
        <w:t>El Colegio Americano de Obstetras y Ginecólogos (ACOG) recomienda un agente de espectro estrecho( pej cefazolina) capaz de alcanzar niveles terapéuticos contra los patógenos más comunes al momento de </w:t>
      </w:r>
      <w:r>
        <w:rPr>
          <w:spacing w:val="-3"/>
        </w:rPr>
        <w:t>la </w:t>
      </w:r>
      <w:r>
        <w:rPr/>
        <w:t>expocision.La profilaxis se debe de administrad dentro de los 60 minutos de realizar </w:t>
      </w:r>
      <w:r>
        <w:rPr>
          <w:spacing w:val="-3"/>
        </w:rPr>
        <w:t>la </w:t>
      </w:r>
      <w:r>
        <w:rPr/>
        <w:t>incisión de preferencia una cefalosporina de primera generación o ampicilina ,en caso de alergia a penicilina se puede administrar Clindamicina mas un</w:t>
      </w:r>
      <w:r>
        <w:rPr>
          <w:spacing w:val="-4"/>
        </w:rPr>
        <w:t> </w:t>
      </w:r>
      <w:r>
        <w:rPr/>
        <w:t>aminoglucosido.</w:t>
      </w:r>
    </w:p>
    <w:p>
      <w:pPr>
        <w:pStyle w:val="BodyText"/>
        <w:spacing w:line="276" w:lineRule="auto" w:before="162"/>
        <w:ind w:left="1440"/>
        <w:jc w:val="both"/>
      </w:pPr>
      <w:r>
        <w:rPr/>
        <w:t>Si la paciente es portadora de S.Aureus meticilino resistente se puede considerar administrar vancomicina .Otra practica adecuada es la limpieza vaginal preoperatoria con povidona yodada o metronidazol en gel. En un meta-análisis con nivel de evidencia 1 en el que se evaluaron 86 estudios que involucraban 13000 pacientes, se encontró que el uso de antibióticos profilácticos disminuyo la</w:t>
      </w:r>
    </w:p>
    <w:p>
      <w:pPr>
        <w:pStyle w:val="BodyText"/>
        <w:spacing w:before="8"/>
      </w:pPr>
      <w:r>
        <w:rPr/>
        <w:br w:type="column"/>
      </w:r>
      <w:r>
        <w:rPr/>
      </w:r>
    </w:p>
    <w:p>
      <w:pPr>
        <w:pStyle w:val="BodyText"/>
        <w:spacing w:line="276" w:lineRule="auto"/>
        <w:ind w:left="680" w:right="1429"/>
        <w:jc w:val="both"/>
      </w:pPr>
      <w:r>
        <w:rPr/>
        <w:t>incidencia de fiebre de forma considerable (RR de 0.45, con un IC al 95% de 0.32- 0.48), así como el riesgo de endometritis (RR de 0.38, con un IC al 95% de 0.39- 0.51.</w:t>
      </w:r>
    </w:p>
    <w:p>
      <w:pPr>
        <w:pStyle w:val="Heading4"/>
        <w:spacing w:line="276" w:lineRule="auto" w:before="159"/>
        <w:ind w:left="680" w:right="1436"/>
        <w:jc w:val="both"/>
      </w:pPr>
      <w:r>
        <w:rPr/>
        <w:t>TRATAMIENTO Y ELECCION DE ANTIBIOTICOS</w:t>
      </w:r>
    </w:p>
    <w:p>
      <w:pPr>
        <w:pStyle w:val="BodyText"/>
        <w:spacing w:line="276" w:lineRule="auto" w:before="162"/>
        <w:ind w:left="680" w:right="1434"/>
        <w:jc w:val="both"/>
      </w:pPr>
      <w:r>
        <w:rPr/>
        <w:t>El tratamiento que ha demostrado mayor efectividad es el de 900mg de clindamicina por vía intravenosa cada 8 horas más 1.5mg/kg de peso de gentamicina cada 8 horas. En el caso que exista persistencia de la fiebre, el esquema recomendado es agregar ampicilina a la clindamicina y la gentamicina puesto que la primera cubre enterococos que los otros dos medicamentos no cubren.</w:t>
      </w:r>
    </w:p>
    <w:p>
      <w:pPr>
        <w:pStyle w:val="BodyText"/>
        <w:spacing w:line="276" w:lineRule="auto" w:before="162"/>
        <w:ind w:left="680" w:right="1432"/>
        <w:jc w:val="both"/>
      </w:pPr>
      <w:r>
        <w:rPr/>
        <w:t>El uso de vancomicina para cubrir enterococos también es válido. Si a pesar del esquema de antibióticos la fiebre persiste, deben realizarse estudios de imagen como tomografía o sonografia. El tratamiento se extiende hasta que la paciente se encuentre 24 a 48 horas afebril.</w:t>
      </w:r>
    </w:p>
    <w:p>
      <w:pPr>
        <w:pStyle w:val="BodyText"/>
        <w:spacing w:line="276" w:lineRule="auto" w:before="162"/>
        <w:ind w:left="680" w:right="1436"/>
        <w:jc w:val="both"/>
      </w:pPr>
      <w:r>
        <w:rPr/>
        <w:t>Se ha establecido que no existe mayor beneficio en continuar con el tratamiento más allá de ese tiempo. En los casos de presencia de restos placentarios, se debe realizar un legrado o bien aspiración del mismo mediante legrado por aspiración. Si se llega a demostrar la presencia de algún absceso pélvico, se recomienda su drenaje guiado por ultrasonografia o por tomografía computarizada cuando son mayores a 5cm o bien si no existe respuesta a los antimicrobianos.</w:t>
      </w:r>
    </w:p>
    <w:p>
      <w:pPr>
        <w:spacing w:after="0" w:line="276" w:lineRule="auto"/>
        <w:jc w:val="both"/>
        <w:sectPr>
          <w:type w:val="continuous"/>
          <w:pgSz w:w="12240" w:h="15840"/>
          <w:pgMar w:top="1500" w:bottom="0" w:left="0" w:right="0"/>
          <w:cols w:num="2" w:equalWidth="0">
            <w:col w:w="5762" w:space="40"/>
            <w:col w:w="6438"/>
          </w:cols>
        </w:sectPr>
      </w:pPr>
    </w:p>
    <w:p>
      <w:pPr>
        <w:pStyle w:val="BodyText"/>
        <w:spacing w:before="3"/>
        <w:rPr>
          <w:sz w:val="24"/>
        </w:rPr>
      </w:pPr>
    </w:p>
    <w:p>
      <w:pPr>
        <w:pStyle w:val="Heading4"/>
        <w:spacing w:before="92"/>
      </w:pPr>
      <w:r>
        <w:rPr/>
        <w:t>BIBLIOGRAFIA</w:t>
      </w:r>
    </w:p>
    <w:p>
      <w:pPr>
        <w:pStyle w:val="BodyText"/>
        <w:spacing w:before="9"/>
        <w:rPr>
          <w:b/>
          <w:sz w:val="28"/>
        </w:rPr>
      </w:pPr>
    </w:p>
    <w:p>
      <w:pPr>
        <w:pStyle w:val="ListParagraph"/>
        <w:numPr>
          <w:ilvl w:val="0"/>
          <w:numId w:val="10"/>
        </w:numPr>
        <w:tabs>
          <w:tab w:pos="1800" w:val="left" w:leader="none"/>
          <w:tab w:pos="1801" w:val="left" w:leader="none"/>
        </w:tabs>
        <w:spacing w:line="276" w:lineRule="auto" w:before="0" w:after="0"/>
        <w:ind w:left="1800" w:right="1432" w:hanging="360"/>
        <w:jc w:val="left"/>
        <w:rPr>
          <w:sz w:val="20"/>
        </w:rPr>
      </w:pPr>
      <w:r>
        <w:rPr>
          <w:sz w:val="20"/>
        </w:rPr>
        <w:t>Bata glía et al 2006 Prevención y manejo de la infección Puerperal Peruana de Ginecologia y Obstetricia pg</w:t>
      </w:r>
      <w:r>
        <w:rPr>
          <w:spacing w:val="-1"/>
          <w:sz w:val="20"/>
        </w:rPr>
        <w:t> </w:t>
      </w:r>
      <w:r>
        <w:rPr>
          <w:sz w:val="20"/>
        </w:rPr>
        <w:t>154-158.</w:t>
      </w:r>
    </w:p>
    <w:p>
      <w:pPr>
        <w:spacing w:after="0" w:line="276" w:lineRule="auto"/>
        <w:jc w:val="left"/>
        <w:rPr>
          <w:sz w:val="20"/>
        </w:rPr>
        <w:sectPr>
          <w:type w:val="continuous"/>
          <w:pgSz w:w="12240" w:h="15840"/>
          <w:pgMar w:top="1500" w:bottom="0" w:left="0" w:right="0"/>
        </w:sectPr>
      </w:pPr>
    </w:p>
    <w:p>
      <w:pPr>
        <w:pStyle w:val="BodyText"/>
        <w:rPr>
          <w:sz w:val="20"/>
        </w:rPr>
      </w:pPr>
    </w:p>
    <w:p>
      <w:pPr>
        <w:pStyle w:val="BodyText"/>
        <w:spacing w:before="6"/>
      </w:pPr>
    </w:p>
    <w:p>
      <w:pPr>
        <w:pStyle w:val="ListParagraph"/>
        <w:numPr>
          <w:ilvl w:val="0"/>
          <w:numId w:val="10"/>
        </w:numPr>
        <w:tabs>
          <w:tab w:pos="1801" w:val="left" w:leader="none"/>
        </w:tabs>
        <w:spacing w:line="271" w:lineRule="auto" w:before="0" w:after="0"/>
        <w:ind w:left="1800" w:right="1431" w:hanging="360"/>
        <w:jc w:val="both"/>
        <w:rPr>
          <w:sz w:val="20"/>
        </w:rPr>
      </w:pPr>
      <w:r>
        <w:rPr>
          <w:sz w:val="20"/>
        </w:rPr>
        <w:t>Fitzwater et al.2014 Prevention and managment of cesarean wound infection Obstet Gynecol Clin N Am 41(2014)</w:t>
      </w:r>
      <w:r>
        <w:rPr>
          <w:spacing w:val="-6"/>
          <w:sz w:val="20"/>
        </w:rPr>
        <w:t> </w:t>
      </w:r>
      <w:r>
        <w:rPr>
          <w:sz w:val="20"/>
        </w:rPr>
        <w:t>671-689.</w:t>
      </w:r>
    </w:p>
    <w:p>
      <w:pPr>
        <w:pStyle w:val="ListParagraph"/>
        <w:numPr>
          <w:ilvl w:val="0"/>
          <w:numId w:val="10"/>
        </w:numPr>
        <w:tabs>
          <w:tab w:pos="1801" w:val="left" w:leader="none"/>
        </w:tabs>
        <w:spacing w:line="273" w:lineRule="auto" w:before="7" w:after="0"/>
        <w:ind w:left="1800" w:right="1444" w:hanging="360"/>
        <w:jc w:val="both"/>
        <w:rPr>
          <w:sz w:val="20"/>
        </w:rPr>
      </w:pPr>
      <w:r>
        <w:rPr>
          <w:sz w:val="20"/>
        </w:rPr>
        <w:t>S.Shakoor et al 2016 Diagnostic methods to determine microbiology of postpartum endometritis in South Asia: laboratory methods protocol used in the Postpartum Sepsis Study: a prospective cohort study Reproductive Health (2016) 13:15 DOI</w:t>
      </w:r>
      <w:r>
        <w:rPr>
          <w:spacing w:val="-10"/>
          <w:sz w:val="20"/>
        </w:rPr>
        <w:t> </w:t>
      </w:r>
      <w:r>
        <w:rPr>
          <w:sz w:val="20"/>
        </w:rPr>
        <w:t>10.1186/s12978-016-0121-4.</w:t>
      </w:r>
    </w:p>
    <w:p>
      <w:pPr>
        <w:pStyle w:val="ListParagraph"/>
        <w:numPr>
          <w:ilvl w:val="0"/>
          <w:numId w:val="10"/>
        </w:numPr>
        <w:tabs>
          <w:tab w:pos="1801" w:val="left" w:leader="none"/>
        </w:tabs>
        <w:spacing w:line="276" w:lineRule="auto" w:before="1" w:after="0"/>
        <w:ind w:left="1800" w:right="1446" w:hanging="360"/>
        <w:jc w:val="both"/>
        <w:rPr>
          <w:sz w:val="20"/>
        </w:rPr>
      </w:pPr>
      <w:r>
        <w:rPr>
          <w:sz w:val="20"/>
        </w:rPr>
        <w:t>Vasquez et al.agosto 2013Endometritis postparto:experiencia en hospital general Revista Peruana de Ginecologia y</w:t>
      </w:r>
      <w:r>
        <w:rPr>
          <w:spacing w:val="-5"/>
          <w:sz w:val="20"/>
        </w:rPr>
        <w:t> </w:t>
      </w:r>
      <w:r>
        <w:rPr>
          <w:sz w:val="20"/>
        </w:rPr>
        <w:t>Obstetriciapg59-64.</w:t>
      </w:r>
    </w:p>
    <w:p>
      <w:pPr>
        <w:pStyle w:val="ListParagraph"/>
        <w:numPr>
          <w:ilvl w:val="0"/>
          <w:numId w:val="10"/>
        </w:numPr>
        <w:tabs>
          <w:tab w:pos="1801" w:val="left" w:leader="none"/>
        </w:tabs>
        <w:spacing w:line="271" w:lineRule="auto" w:before="0" w:after="0"/>
        <w:ind w:left="1800" w:right="1435" w:hanging="360"/>
        <w:jc w:val="both"/>
        <w:rPr>
          <w:sz w:val="20"/>
        </w:rPr>
      </w:pPr>
      <w:r>
        <w:rPr>
          <w:sz w:val="20"/>
        </w:rPr>
        <w:t>Williams Obstetricia Cunningham, Leveno, Bloom, Spong, Dashe, Hoffman, Casey, Sheffiield. 24th edition. | McGraw-Hill 2014, Capítulo 3</w:t>
      </w:r>
    </w:p>
    <w:p>
      <w:pPr>
        <w:pStyle w:val="BodyText"/>
        <w:spacing w:before="9"/>
        <w:rPr>
          <w:sz w:val="23"/>
        </w:rPr>
      </w:pPr>
    </w:p>
    <w:p>
      <w:pPr>
        <w:tabs>
          <w:tab w:pos="7662" w:val="left" w:leader="none"/>
        </w:tabs>
        <w:spacing w:before="0"/>
        <w:ind w:left="1440" w:right="0" w:firstLine="0"/>
        <w:jc w:val="left"/>
        <w:rPr>
          <w:sz w:val="20"/>
        </w:rPr>
      </w:pPr>
      <w:r>
        <w:rPr>
          <w:sz w:val="20"/>
        </w:rPr>
        <w:t>Recepción: 30 Octubre</w:t>
      </w:r>
      <w:r>
        <w:rPr>
          <w:spacing w:val="-4"/>
          <w:sz w:val="20"/>
        </w:rPr>
        <w:t> </w:t>
      </w:r>
      <w:r>
        <w:rPr>
          <w:sz w:val="20"/>
        </w:rPr>
        <w:t>de</w:t>
      </w:r>
      <w:r>
        <w:rPr>
          <w:spacing w:val="-1"/>
          <w:sz w:val="20"/>
        </w:rPr>
        <w:t> </w:t>
      </w:r>
      <w:r>
        <w:rPr>
          <w:sz w:val="20"/>
        </w:rPr>
        <w:t>2016</w:t>
        <w:tab/>
        <w:t>Aprobación:15 Noviembre de</w:t>
      </w:r>
      <w:r>
        <w:rPr>
          <w:spacing w:val="1"/>
          <w:sz w:val="20"/>
        </w:rPr>
        <w:t> </w:t>
      </w:r>
      <w:r>
        <w:rPr>
          <w:sz w:val="20"/>
        </w:rPr>
        <w:t>2016</w:t>
      </w:r>
    </w:p>
    <w:p>
      <w:pPr>
        <w:spacing w:after="0"/>
        <w:jc w:val="left"/>
        <w:rPr>
          <w:sz w:val="20"/>
        </w:rPr>
        <w:sectPr>
          <w:pgSz w:w="12240" w:h="15840"/>
          <w:pgMar w:header="723" w:footer="882" w:top="940" w:bottom="1080" w:left="0" w:right="0"/>
        </w:sectPr>
      </w:pPr>
    </w:p>
    <w:p>
      <w:pPr>
        <w:pStyle w:val="BodyText"/>
        <w:rPr>
          <w:sz w:val="20"/>
        </w:rPr>
      </w:pPr>
    </w:p>
    <w:p>
      <w:pPr>
        <w:pStyle w:val="BodyText"/>
        <w:spacing w:before="6"/>
      </w:pPr>
    </w:p>
    <w:p>
      <w:pPr>
        <w:pStyle w:val="Heading4"/>
        <w:ind w:left="4101"/>
      </w:pPr>
      <w:r>
        <w:rPr/>
        <w:t>INSTRUCCIONES PARA PUBLICAR</w:t>
      </w:r>
    </w:p>
    <w:p>
      <w:pPr>
        <w:pStyle w:val="BodyText"/>
        <w:spacing w:before="6"/>
        <w:rPr>
          <w:b/>
          <w:sz w:val="26"/>
        </w:rPr>
      </w:pPr>
    </w:p>
    <w:p>
      <w:pPr>
        <w:spacing w:line="276" w:lineRule="auto" w:before="0"/>
        <w:ind w:left="1440" w:right="1431"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2"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69">
        <w:r>
          <w:rPr>
            <w:sz w:val="20"/>
          </w:rPr>
          <w:t>www.icmje.org.</w:t>
        </w:r>
      </w:hyperlink>
      <w:r>
        <w:rPr>
          <w:sz w:val="20"/>
        </w:rPr>
        <w:t> Las publicaciones que no mantengan  esta estructura serán devueltas.</w:t>
      </w:r>
    </w:p>
    <w:p>
      <w:pPr>
        <w:pStyle w:val="BodyText"/>
        <w:spacing w:before="4"/>
        <w:rPr>
          <w:sz w:val="14"/>
        </w:rPr>
      </w:pPr>
    </w:p>
    <w:p>
      <w:pPr>
        <w:spacing w:before="93"/>
        <w:ind w:left="1574" w:right="1574"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3"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3"/>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69">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0"/>
          <w:numId w:val="11"/>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7"/>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1"/>
          <w:numId w:val="11"/>
        </w:numPr>
        <w:tabs>
          <w:tab w:pos="2161" w:val="left" w:leader="none"/>
        </w:tabs>
        <w:spacing w:line="280" w:lineRule="auto" w:before="0" w:after="0"/>
        <w:ind w:left="2160" w:right="1431"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1"/>
          <w:numId w:val="11"/>
        </w:numPr>
        <w:tabs>
          <w:tab w:pos="2161" w:val="left" w:leader="none"/>
        </w:tabs>
        <w:spacing w:line="283" w:lineRule="auto" w:before="0" w:after="0"/>
        <w:ind w:left="2160" w:right="1449"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1"/>
          <w:numId w:val="11"/>
        </w:numPr>
        <w:tabs>
          <w:tab w:pos="2161" w:val="left" w:leader="none"/>
          <w:tab w:pos="4092" w:val="left" w:leader="none"/>
          <w:tab w:pos="5808" w:val="left" w:leader="none"/>
          <w:tab w:pos="6808" w:val="left" w:leader="none"/>
          <w:tab w:pos="8470"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1"/>
          <w:numId w:val="11"/>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1"/>
          <w:numId w:val="11"/>
        </w:numPr>
        <w:tabs>
          <w:tab w:pos="2161" w:val="left" w:leader="none"/>
        </w:tabs>
        <w:spacing w:line="278" w:lineRule="auto" w:before="0" w:after="0"/>
        <w:ind w:left="2160" w:right="1443"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1"/>
          <w:numId w:val="11"/>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4"/>
          <w:sz w:val="20"/>
        </w:rPr>
        <w:t> </w:t>
      </w:r>
      <w:r>
        <w:rPr>
          <w:sz w:val="20"/>
        </w:rPr>
        <w:t>elaboración de la</w:t>
      </w:r>
      <w:r>
        <w:rPr>
          <w:spacing w:val="-1"/>
          <w:sz w:val="20"/>
        </w:rPr>
        <w:t> </w:t>
      </w:r>
      <w:r>
        <w:rPr>
          <w:sz w:val="20"/>
        </w:rPr>
        <w:t>publicación.</w:t>
      </w:r>
    </w:p>
    <w:p>
      <w:pPr>
        <w:pStyle w:val="ListParagraph"/>
        <w:numPr>
          <w:ilvl w:val="1"/>
          <w:numId w:val="11"/>
        </w:numPr>
        <w:tabs>
          <w:tab w:pos="2161" w:val="left" w:leader="none"/>
        </w:tabs>
        <w:spacing w:line="280" w:lineRule="auto" w:before="0" w:after="0"/>
        <w:ind w:left="2160" w:right="1438"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8"/>
          <w:sz w:val="20"/>
        </w:rPr>
        <w:t> </w:t>
      </w:r>
      <w:r>
        <w:rPr>
          <w:sz w:val="20"/>
        </w:rPr>
        <w:t>revistas</w:t>
      </w:r>
    </w:p>
    <w:p>
      <w:pPr>
        <w:spacing w:after="0" w:line="280" w:lineRule="auto"/>
        <w:jc w:val="both"/>
        <w:rPr>
          <w:sz w:val="20"/>
        </w:rPr>
        <w:sectPr>
          <w:headerReference w:type="even" r:id="rId68"/>
          <w:pgSz w:w="12240" w:h="15840"/>
          <w:pgMar w:header="723" w:footer="872" w:top="940" w:bottom="1060" w:left="0" w:right="0"/>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69">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71">
        <w:r>
          <w:rPr>
            <w:sz w:val="20"/>
          </w:rPr>
          <w:t>http://www.scielo.cl/scielo.php?script=sci_arttext&amp;pid=S0370-</w:t>
        </w:r>
      </w:hyperlink>
      <w:r>
        <w:rPr>
          <w:sz w:val="20"/>
        </w:rPr>
        <w:t> </w:t>
      </w:r>
      <w:hyperlink r:id="rId71">
        <w:r>
          <w:rPr>
            <w:sz w:val="20"/>
          </w:rPr>
          <w:t>41062013000400012&amp;lng=es&amp;tlng=es</w:t>
        </w:r>
      </w:hyperlink>
      <w:r>
        <w:rPr>
          <w:sz w:val="20"/>
        </w:rPr>
        <w:t>.</w:t>
      </w:r>
      <w:r>
        <w:rPr>
          <w:spacing w:val="-5"/>
          <w:sz w:val="20"/>
        </w:rPr>
        <w:t> </w:t>
      </w:r>
      <w:r>
        <w:rPr>
          <w:sz w:val="20"/>
        </w:rPr>
        <w:t>10.4067/S0370-41062013000400012.</w:t>
      </w:r>
    </w:p>
    <w:p>
      <w:pPr>
        <w:pStyle w:val="ListParagraph"/>
        <w:numPr>
          <w:ilvl w:val="1"/>
          <w:numId w:val="11"/>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w:t>
      </w:r>
      <w:r>
        <w:rPr>
          <w:spacing w:val="1"/>
          <w:sz w:val="20"/>
        </w:rPr>
        <w:t>de </w:t>
      </w:r>
      <w:r>
        <w:rPr>
          <w:sz w:val="20"/>
        </w:rPr>
        <w:t>ser originales, en caso de ser de otra fuente, se debe adjuntar una carta por el autor o editorial autorizando su utilización para la</w:t>
      </w:r>
      <w:r>
        <w:rPr>
          <w:spacing w:val="-12"/>
          <w:sz w:val="20"/>
        </w:rPr>
        <w:t> </w:t>
      </w:r>
      <w:r>
        <w:rPr>
          <w:sz w:val="20"/>
        </w:rPr>
        <w:t>publicación.</w:t>
      </w:r>
    </w:p>
    <w:p>
      <w:pPr>
        <w:pStyle w:val="BodyText"/>
        <w:spacing w:before="2"/>
        <w:rPr>
          <w:sz w:val="23"/>
        </w:rPr>
      </w:pPr>
    </w:p>
    <w:p>
      <w:pPr>
        <w:pStyle w:val="ListParagraph"/>
        <w:numPr>
          <w:ilvl w:val="0"/>
          <w:numId w:val="11"/>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0"/>
          <w:numId w:val="11"/>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0"/>
          <w:numId w:val="11"/>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1"/>
          <w:numId w:val="11"/>
        </w:numPr>
        <w:tabs>
          <w:tab w:pos="2161" w:val="left" w:leader="none"/>
        </w:tabs>
        <w:spacing w:line="240" w:lineRule="auto" w:before="34" w:after="0"/>
        <w:ind w:left="2160" w:right="0" w:hanging="360"/>
        <w:jc w:val="left"/>
        <w:rPr>
          <w:sz w:val="20"/>
        </w:rPr>
      </w:pPr>
      <w:r>
        <w:rPr>
          <w:sz w:val="20"/>
        </w:rPr>
        <w:t>Título</w:t>
      </w:r>
    </w:p>
    <w:p>
      <w:pPr>
        <w:pStyle w:val="ListParagraph"/>
        <w:numPr>
          <w:ilvl w:val="1"/>
          <w:numId w:val="11"/>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1"/>
          <w:numId w:val="11"/>
        </w:numPr>
        <w:tabs>
          <w:tab w:pos="2161" w:val="left" w:leader="none"/>
        </w:tabs>
        <w:spacing w:line="276" w:lineRule="auto" w:before="34" w:after="0"/>
        <w:ind w:left="2160" w:right="1446"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1"/>
          <w:numId w:val="11"/>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7"/>
          <w:sz w:val="20"/>
        </w:rPr>
        <w:t> </w:t>
      </w:r>
      <w:r>
        <w:rPr>
          <w:sz w:val="20"/>
        </w:rPr>
        <w:t>pronóstico.</w:t>
      </w:r>
    </w:p>
    <w:p>
      <w:pPr>
        <w:pStyle w:val="ListParagraph"/>
        <w:numPr>
          <w:ilvl w:val="1"/>
          <w:numId w:val="11"/>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4"/>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1"/>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spacing w:after="0"/>
        <w:jc w:val="both"/>
        <w:rPr>
          <w:sz w:val="20"/>
        </w:rPr>
        <w:sectPr>
          <w:headerReference w:type="default" r:id="rId70"/>
          <w:pgSz w:w="12240" w:h="15840"/>
          <w:pgMar w:header="0" w:footer="882" w:top="640" w:bottom="108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12"/>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2"/>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12"/>
        </w:numPr>
        <w:tabs>
          <w:tab w:pos="1801" w:val="left" w:leader="none"/>
        </w:tabs>
        <w:spacing w:line="240" w:lineRule="auto" w:before="1" w:after="0"/>
        <w:ind w:left="1800" w:right="0" w:hanging="360"/>
        <w:jc w:val="left"/>
        <w:rPr>
          <w:b/>
          <w:sz w:val="20"/>
        </w:rPr>
      </w:pPr>
      <w:r>
        <w:rPr>
          <w:b/>
          <w:sz w:val="20"/>
        </w:rPr>
        <w:t>Liberación de</w:t>
      </w:r>
      <w:r>
        <w:rPr>
          <w:b/>
          <w:spacing w:val="-1"/>
          <w:sz w:val="20"/>
        </w:rPr>
        <w:t> </w:t>
      </w:r>
      <w:r>
        <w:rPr>
          <w:b/>
          <w:sz w:val="20"/>
        </w:rPr>
        <w:t>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2"/>
        </w:numPr>
        <w:tabs>
          <w:tab w:pos="1801" w:val="left" w:leader="none"/>
        </w:tabs>
        <w:spacing w:line="226" w:lineRule="exact" w:before="0" w:after="0"/>
        <w:ind w:left="1800" w:right="0" w:hanging="360"/>
        <w:jc w:val="left"/>
        <w:rPr>
          <w:b/>
          <w:sz w:val="20"/>
        </w:rPr>
      </w:pPr>
      <w:r>
        <w:rPr>
          <w:b/>
          <w:sz w:val="20"/>
        </w:rPr>
        <w:t>Conflictos de</w:t>
      </w:r>
      <w:r>
        <w:rPr>
          <w:b/>
          <w:spacing w:val="-6"/>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5"/>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69">
        <w:r>
          <w:rPr>
            <w:sz w:val="20"/>
          </w:rPr>
          <w:t>www.icmje.org.</w:t>
        </w:r>
      </w:hyperlink>
    </w:p>
    <w:p>
      <w:pPr>
        <w:pStyle w:val="ListParagraph"/>
        <w:numPr>
          <w:ilvl w:val="0"/>
          <w:numId w:val="12"/>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12"/>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3"/>
        </w:numPr>
        <w:tabs>
          <w:tab w:pos="1801" w:val="left" w:leader="none"/>
        </w:tabs>
        <w:spacing w:line="276" w:lineRule="auto" w:before="38" w:after="0"/>
        <w:ind w:left="1800" w:right="1434" w:hanging="360"/>
        <w:jc w:val="left"/>
        <w:rPr>
          <w:sz w:val="20"/>
        </w:rPr>
      </w:pPr>
      <w:r>
        <w:rPr>
          <w:sz w:val="20"/>
        </w:rPr>
        <w:t>Enviar un correo electrónico a la dirección electrónica </w:t>
      </w:r>
      <w:hyperlink r:id="rId25">
        <w:r>
          <w:rPr>
            <w:sz w:val="20"/>
          </w:rPr>
          <w:t>revistamedicasinergia@gmail.com </w:t>
        </w:r>
      </w:hyperlink>
      <w:r>
        <w:rPr>
          <w:sz w:val="20"/>
        </w:rPr>
        <w:t>solicitando la disponibilidad </w:t>
      </w:r>
      <w:r>
        <w:rPr>
          <w:spacing w:val="-3"/>
          <w:sz w:val="20"/>
        </w:rPr>
        <w:t>tema </w:t>
      </w:r>
      <w:r>
        <w:rPr>
          <w:sz w:val="20"/>
        </w:rPr>
        <w:t>para poder</w:t>
      </w:r>
      <w:r>
        <w:rPr>
          <w:spacing w:val="-1"/>
          <w:sz w:val="20"/>
        </w:rPr>
        <w:t> </w:t>
      </w:r>
      <w:r>
        <w:rPr>
          <w:sz w:val="20"/>
        </w:rPr>
        <w:t>publicar.</w:t>
      </w:r>
    </w:p>
    <w:p>
      <w:pPr>
        <w:pStyle w:val="ListParagraph"/>
        <w:numPr>
          <w:ilvl w:val="0"/>
          <w:numId w:val="13"/>
        </w:numPr>
        <w:tabs>
          <w:tab w:pos="1801" w:val="left" w:leader="none"/>
        </w:tabs>
        <w:spacing w:line="276" w:lineRule="auto" w:before="0" w:after="0"/>
        <w:ind w:left="1800" w:right="1443" w:hanging="360"/>
        <w:jc w:val="left"/>
        <w:rPr>
          <w:sz w:val="20"/>
        </w:rPr>
      </w:pPr>
      <w:r>
        <w:rPr>
          <w:sz w:val="20"/>
        </w:rPr>
        <w:t>Un coordinador de comunicará usted vía correo electrónico solicitando el articulo y los documentos adjuntos.</w:t>
      </w:r>
    </w:p>
    <w:p>
      <w:pPr>
        <w:pStyle w:val="ListParagraph"/>
        <w:numPr>
          <w:ilvl w:val="0"/>
          <w:numId w:val="13"/>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0"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3"/>
        </w:numPr>
        <w:tabs>
          <w:tab w:pos="1801" w:val="left" w:leader="none"/>
        </w:tabs>
        <w:spacing w:line="276" w:lineRule="auto" w:before="3"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1"/>
          <w:sz w:val="20"/>
        </w:rPr>
        <w:t> </w:t>
      </w:r>
      <w:r>
        <w:rPr>
          <w:sz w:val="20"/>
        </w:rPr>
        <w:t>artículo.</w:t>
      </w:r>
    </w:p>
    <w:p>
      <w:pPr>
        <w:pStyle w:val="ListParagraph"/>
        <w:numPr>
          <w:ilvl w:val="0"/>
          <w:numId w:val="13"/>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3"/>
        </w:numPr>
        <w:tabs>
          <w:tab w:pos="1801" w:val="left" w:leader="none"/>
          <w:tab w:pos="2795" w:val="left" w:leader="none"/>
          <w:tab w:pos="4684" w:val="left" w:leader="none"/>
          <w:tab w:pos="5799" w:val="left" w:leader="none"/>
          <w:tab w:pos="6255" w:val="left" w:leader="none"/>
          <w:tab w:pos="7601" w:val="left" w:leader="none"/>
          <w:tab w:pos="8056" w:val="left" w:leader="none"/>
          <w:tab w:pos="9003" w:val="left" w:leader="none"/>
          <w:tab w:pos="9555" w:val="left" w:leader="none"/>
          <w:tab w:pos="10573" w:val="left" w:leader="none"/>
        </w:tabs>
        <w:spacing w:line="276" w:lineRule="auto" w:before="1" w:after="0"/>
        <w:ind w:left="1800" w:right="1442"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even" r:id="rId72"/>
          <w:footerReference w:type="even" r:id="rId73"/>
          <w:pgSz w:w="12240" w:h="15840"/>
          <w:pgMar w:header="723" w:footer="872" w:top="940" w:bottom="1060" w:left="0" w:right="0"/>
          <w:pgNumType w:start="28"/>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96991">
            <wp:simplePos x="0" y="0"/>
            <wp:positionH relativeFrom="page">
              <wp:posOffset>-3175</wp:posOffset>
            </wp:positionH>
            <wp:positionV relativeFrom="paragraph">
              <wp:posOffset>85137</wp:posOffset>
            </wp:positionV>
            <wp:extent cx="7778750" cy="485775"/>
            <wp:effectExtent l="0" t="0" r="0" b="0"/>
            <wp:wrapNone/>
            <wp:docPr id="59" name="image41.png" descr=""/>
            <wp:cNvGraphicFramePr>
              <a:graphicFrameLocks noChangeAspect="1"/>
            </wp:cNvGraphicFramePr>
            <a:graphic>
              <a:graphicData uri="http://schemas.openxmlformats.org/drawingml/2006/picture">
                <pic:pic>
                  <pic:nvPicPr>
                    <pic:cNvPr id="60" name="image41.png"/>
                    <pic:cNvPicPr/>
                  </pic:nvPicPr>
                  <pic:blipFill>
                    <a:blip r:embed="rId76"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744">
            <wp:simplePos x="0" y="0"/>
            <wp:positionH relativeFrom="page">
              <wp:posOffset>2643504</wp:posOffset>
            </wp:positionH>
            <wp:positionV relativeFrom="paragraph">
              <wp:posOffset>111927</wp:posOffset>
            </wp:positionV>
            <wp:extent cx="2069862" cy="1859756"/>
            <wp:effectExtent l="0" t="0" r="0" b="0"/>
            <wp:wrapTopAndBottom/>
            <wp:docPr id="61" name="image42.jpeg" descr=""/>
            <wp:cNvGraphicFramePr>
              <a:graphicFrameLocks noChangeAspect="1"/>
            </wp:cNvGraphicFramePr>
            <a:graphic>
              <a:graphicData uri="http://schemas.openxmlformats.org/drawingml/2006/picture">
                <pic:pic>
                  <pic:nvPicPr>
                    <pic:cNvPr id="62" name="image42.jpeg"/>
                    <pic:cNvPicPr/>
                  </pic:nvPicPr>
                  <pic:blipFill>
                    <a:blip r:embed="rId77"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pStyle w:val="Heading5"/>
        <w:spacing w:line="276" w:lineRule="auto" w:before="92"/>
        <w:ind w:right="1574"/>
      </w:pPr>
      <w:r>
        <w:rPr/>
        <w:t>La publicación de un artículo científico, revisiones bibliográficas, etc. Contribuye al desarrollo de la sociedad y a que otros investigadores acorten sus tiempos de investigación.</w:t>
      </w:r>
    </w:p>
    <w:p>
      <w:pPr>
        <w:spacing w:line="448" w:lineRule="auto" w:before="203"/>
        <w:ind w:left="2929" w:right="293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pStyle w:val="Heading5"/>
        <w:ind w:left="1721"/>
      </w:pPr>
      <w:r>
        <w:rPr/>
        <w:t>E-mail: </w:t>
      </w:r>
      <w:hyperlink r:id="rId25">
        <w:r>
          <w:rPr/>
          <w:t>revistamedicasinergia@gmail.com</w:t>
        </w:r>
      </w:hyperlink>
    </w:p>
    <w:p>
      <w:pPr>
        <w:spacing w:after="0"/>
        <w:sectPr>
          <w:headerReference w:type="default" r:id="rId74"/>
          <w:footerReference w:type="default" r:id="rId75"/>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38440"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80" o:title=""/>
            </v:shape>
            <v:shape style="position:absolute;left:-5;top:2945;width:12214;height:175" type="#_x0000_t75" stroked="false">
              <v:imagedata r:id="rId81" o:title=""/>
            </v:shape>
            <w10:wrap type="none"/>
          </v:group>
        </w:pict>
      </w:r>
      <w:r>
        <w:rPr>
          <w:rFonts w:ascii="Calibri"/>
          <w:color w:val="5B9BD4"/>
          <w:sz w:val="96"/>
        </w:rPr>
        <w:t>Indice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after="1"/>
        <w:rPr>
          <w:rFonts w:ascii="Calibri"/>
          <w:sz w:val="17"/>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7"/>
      </w:tblGrid>
      <w:tr>
        <w:trPr>
          <w:trHeight w:val="2412" w:hRule="atLeast"/>
        </w:trPr>
        <w:tc>
          <w:tcPr>
            <w:tcW w:w="8727" w:type="dxa"/>
            <w:shd w:val="clear" w:color="auto" w:fill="DEEAF6"/>
          </w:tcPr>
          <w:p>
            <w:pPr>
              <w:pStyle w:val="TableParagraph"/>
              <w:spacing w:line="313" w:lineRule="exact"/>
              <w:ind w:left="200"/>
              <w:rPr>
                <w:b/>
                <w:sz w:val="28"/>
              </w:rPr>
            </w:pPr>
            <w:r>
              <w:rPr>
                <w:b/>
                <w:sz w:val="28"/>
              </w:rPr>
              <w:t>REVISIONES BIBLIOGRAFICAS</w:t>
            </w:r>
          </w:p>
          <w:p>
            <w:pPr>
              <w:pStyle w:val="TableParagraph"/>
              <w:ind w:left="0"/>
              <w:rPr>
                <w:rFonts w:ascii="Calibri"/>
                <w:sz w:val="30"/>
              </w:rPr>
            </w:pPr>
          </w:p>
          <w:p>
            <w:pPr>
              <w:pStyle w:val="TableParagraph"/>
              <w:ind w:left="0"/>
              <w:rPr>
                <w:rFonts w:ascii="Calibri"/>
                <w:sz w:val="30"/>
              </w:rPr>
            </w:pPr>
          </w:p>
          <w:p>
            <w:pPr>
              <w:pStyle w:val="TableParagraph"/>
              <w:spacing w:before="7"/>
              <w:ind w:left="0"/>
              <w:rPr>
                <w:rFonts w:ascii="Calibri"/>
                <w:sz w:val="22"/>
              </w:rPr>
            </w:pPr>
          </w:p>
          <w:p>
            <w:pPr>
              <w:pStyle w:val="TableParagraph"/>
              <w:ind w:left="200"/>
              <w:rPr>
                <w:sz w:val="24"/>
              </w:rPr>
            </w:pPr>
            <w:r>
              <w:rPr>
                <w:sz w:val="24"/>
              </w:rPr>
              <w:t>Enfermedad pélvica inflamatoria</w:t>
            </w:r>
          </w:p>
          <w:p>
            <w:pPr>
              <w:pStyle w:val="TableParagraph"/>
              <w:tabs>
                <w:tab w:pos="8336" w:val="right" w:leader="dot"/>
              </w:tabs>
              <w:spacing w:before="39"/>
              <w:ind w:left="200"/>
              <w:rPr>
                <w:sz w:val="22"/>
              </w:rPr>
            </w:pPr>
            <w:r>
              <w:rPr>
                <w:i/>
                <w:sz w:val="20"/>
              </w:rPr>
              <w:t>Nohelia  Zeledón</w:t>
            </w:r>
            <w:r>
              <w:rPr>
                <w:i/>
                <w:spacing w:val="-1"/>
                <w:sz w:val="20"/>
              </w:rPr>
              <w:t> </w:t>
            </w:r>
            <w:r>
              <w:rPr>
                <w:i/>
                <w:sz w:val="20"/>
              </w:rPr>
              <w:t>Rojas</w:t>
              <w:tab/>
            </w:r>
            <w:r>
              <w:rPr>
                <w:sz w:val="22"/>
              </w:rPr>
              <w:t>3</w:t>
            </w:r>
          </w:p>
        </w:tc>
      </w:tr>
      <w:tr>
        <w:trPr>
          <w:trHeight w:val="1564" w:hRule="atLeast"/>
        </w:trPr>
        <w:tc>
          <w:tcPr>
            <w:tcW w:w="8727" w:type="dxa"/>
            <w:shd w:val="clear" w:color="auto" w:fill="DEEAF6"/>
          </w:tcPr>
          <w:p>
            <w:pPr>
              <w:pStyle w:val="TableParagraph"/>
              <w:ind w:left="0"/>
              <w:rPr>
                <w:rFonts w:ascii="Calibri"/>
                <w:sz w:val="26"/>
              </w:rPr>
            </w:pPr>
          </w:p>
          <w:p>
            <w:pPr>
              <w:pStyle w:val="TableParagraph"/>
              <w:spacing w:before="175"/>
              <w:ind w:left="200"/>
              <w:rPr>
                <w:sz w:val="24"/>
              </w:rPr>
            </w:pPr>
            <w:r>
              <w:rPr>
                <w:sz w:val="24"/>
              </w:rPr>
              <w:t>Sarcomas uterinos</w:t>
            </w:r>
          </w:p>
          <w:p>
            <w:pPr>
              <w:pStyle w:val="TableParagraph"/>
              <w:tabs>
                <w:tab w:pos="8424" w:val="right" w:leader="dot"/>
              </w:tabs>
              <w:spacing w:before="42"/>
              <w:ind w:left="200"/>
              <w:rPr>
                <w:sz w:val="22"/>
              </w:rPr>
            </w:pPr>
            <w:r>
              <w:rPr>
                <w:i/>
                <w:sz w:val="20"/>
              </w:rPr>
              <w:t>Andrés</w:t>
            </w:r>
            <w:r>
              <w:rPr>
                <w:i/>
                <w:spacing w:val="-1"/>
                <w:sz w:val="20"/>
              </w:rPr>
              <w:t> </w:t>
            </w:r>
            <w:r>
              <w:rPr>
                <w:i/>
                <w:sz w:val="20"/>
              </w:rPr>
              <w:t>Zamora</w:t>
            </w:r>
            <w:r>
              <w:rPr>
                <w:i/>
                <w:spacing w:val="-5"/>
                <w:sz w:val="20"/>
              </w:rPr>
              <w:t> </w:t>
            </w:r>
            <w:r>
              <w:rPr>
                <w:i/>
                <w:sz w:val="20"/>
              </w:rPr>
              <w:t>Volio</w:t>
              <w:tab/>
            </w:r>
            <w:r>
              <w:rPr>
                <w:sz w:val="22"/>
              </w:rPr>
              <w:t>10</w:t>
            </w:r>
          </w:p>
        </w:tc>
      </w:tr>
      <w:tr>
        <w:trPr>
          <w:trHeight w:val="1516" w:hRule="atLeast"/>
        </w:trPr>
        <w:tc>
          <w:tcPr>
            <w:tcW w:w="8727" w:type="dxa"/>
            <w:shd w:val="clear" w:color="auto" w:fill="DEEAF6"/>
          </w:tcPr>
          <w:p>
            <w:pPr>
              <w:pStyle w:val="TableParagraph"/>
              <w:ind w:left="0"/>
              <w:rPr>
                <w:rFonts w:ascii="Calibri"/>
                <w:sz w:val="26"/>
              </w:rPr>
            </w:pPr>
          </w:p>
          <w:p>
            <w:pPr>
              <w:pStyle w:val="TableParagraph"/>
              <w:spacing w:before="175"/>
              <w:ind w:left="200"/>
              <w:rPr>
                <w:sz w:val="24"/>
              </w:rPr>
            </w:pPr>
            <w:r>
              <w:rPr>
                <w:sz w:val="24"/>
              </w:rPr>
              <w:t>Terapia de reemplazo hormonal en relación a la enfermedad de Alzheimer</w:t>
            </w:r>
          </w:p>
          <w:p>
            <w:pPr>
              <w:pStyle w:val="TableParagraph"/>
              <w:tabs>
                <w:tab w:pos="8526" w:val="right" w:leader="dot"/>
              </w:tabs>
              <w:spacing w:before="39"/>
              <w:ind w:left="200"/>
              <w:rPr>
                <w:sz w:val="22"/>
              </w:rPr>
            </w:pPr>
            <w:r>
              <w:rPr>
                <w:i/>
                <w:sz w:val="20"/>
              </w:rPr>
              <w:t>Kenneth Bermúdez</w:t>
            </w:r>
            <w:r>
              <w:rPr>
                <w:i/>
                <w:spacing w:val="-9"/>
                <w:sz w:val="20"/>
              </w:rPr>
              <w:t> </w:t>
            </w:r>
            <w:r>
              <w:rPr>
                <w:i/>
                <w:sz w:val="20"/>
              </w:rPr>
              <w:t>Salas</w:t>
              <w:tab/>
            </w:r>
            <w:r>
              <w:rPr>
                <w:sz w:val="22"/>
              </w:rPr>
              <w:t>15</w:t>
            </w:r>
          </w:p>
        </w:tc>
      </w:tr>
      <w:tr>
        <w:trPr>
          <w:trHeight w:val="1532" w:hRule="atLeast"/>
        </w:trPr>
        <w:tc>
          <w:tcPr>
            <w:tcW w:w="8727" w:type="dxa"/>
            <w:shd w:val="clear" w:color="auto" w:fill="DEEAF6"/>
          </w:tcPr>
          <w:p>
            <w:pPr>
              <w:pStyle w:val="TableParagraph"/>
              <w:spacing w:before="8"/>
              <w:ind w:left="0"/>
              <w:rPr>
                <w:rFonts w:ascii="Calibri"/>
                <w:sz w:val="36"/>
              </w:rPr>
            </w:pPr>
          </w:p>
          <w:p>
            <w:pPr>
              <w:pStyle w:val="TableParagraph"/>
              <w:spacing w:line="275" w:lineRule="exact"/>
              <w:ind w:left="200"/>
              <w:rPr>
                <w:sz w:val="24"/>
              </w:rPr>
            </w:pPr>
            <w:r>
              <w:rPr>
                <w:sz w:val="24"/>
              </w:rPr>
              <w:t>Endometriris postparto</w:t>
            </w:r>
          </w:p>
          <w:p>
            <w:pPr>
              <w:pStyle w:val="TableParagraph"/>
              <w:tabs>
                <w:tab w:pos="8384" w:val="right" w:leader="dot"/>
              </w:tabs>
              <w:spacing w:line="252" w:lineRule="exact"/>
              <w:ind w:left="200"/>
              <w:rPr>
                <w:sz w:val="22"/>
              </w:rPr>
            </w:pPr>
            <w:r>
              <w:rPr>
                <w:i/>
                <w:sz w:val="20"/>
              </w:rPr>
              <w:t>Gilbert</w:t>
            </w:r>
            <w:r>
              <w:rPr>
                <w:i/>
                <w:spacing w:val="-1"/>
                <w:sz w:val="20"/>
              </w:rPr>
              <w:t> </w:t>
            </w:r>
            <w:r>
              <w:rPr>
                <w:i/>
                <w:sz w:val="20"/>
              </w:rPr>
              <w:t>Chaverri</w:t>
            </w:r>
            <w:r>
              <w:rPr>
                <w:i/>
                <w:spacing w:val="-6"/>
                <w:sz w:val="20"/>
              </w:rPr>
              <w:t> </w:t>
            </w:r>
            <w:r>
              <w:rPr>
                <w:i/>
                <w:sz w:val="20"/>
              </w:rPr>
              <w:t>Guillen</w:t>
              <w:tab/>
            </w:r>
            <w:r>
              <w:rPr>
                <w:spacing w:val="1"/>
                <w:sz w:val="22"/>
              </w:rPr>
              <w:t>21</w:t>
            </w:r>
          </w:p>
        </w:tc>
      </w:tr>
      <w:tr>
        <w:trPr>
          <w:trHeight w:val="824" w:hRule="atLeast"/>
        </w:trPr>
        <w:tc>
          <w:tcPr>
            <w:tcW w:w="8727" w:type="dxa"/>
            <w:shd w:val="clear" w:color="auto" w:fill="DEEAF6"/>
          </w:tcPr>
          <w:p>
            <w:pPr>
              <w:pStyle w:val="TableParagraph"/>
              <w:tabs>
                <w:tab w:pos="8390" w:val="right" w:leader="dot"/>
              </w:tabs>
              <w:spacing w:line="256" w:lineRule="exact" w:before="548"/>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26</w:t>
            </w:r>
          </w:p>
        </w:tc>
      </w:tr>
    </w:tbl>
    <w:sectPr>
      <w:headerReference w:type="even" r:id="rId78"/>
      <w:footerReference w:type="even" r:id="rId79"/>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247">
          <wp:simplePos x="0" y="0"/>
          <wp:positionH relativeFrom="page">
            <wp:posOffset>916939</wp:posOffset>
          </wp:positionH>
          <wp:positionV relativeFrom="page">
            <wp:posOffset>9441180</wp:posOffset>
          </wp:positionV>
          <wp:extent cx="5910580" cy="203200"/>
          <wp:effectExtent l="0" t="0" r="0" b="0"/>
          <wp:wrapNone/>
          <wp:docPr id="7" name="image28.png" descr=""/>
          <wp:cNvGraphicFramePr>
            <a:graphicFrameLocks noChangeAspect="1"/>
          </wp:cNvGraphicFramePr>
          <a:graphic>
            <a:graphicData uri="http://schemas.openxmlformats.org/drawingml/2006/picture">
              <pic:pic>
                <pic:nvPicPr>
                  <pic:cNvPr id="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6271">
          <wp:simplePos x="0" y="0"/>
          <wp:positionH relativeFrom="page">
            <wp:posOffset>485140</wp:posOffset>
          </wp:positionH>
          <wp:positionV relativeFrom="page">
            <wp:posOffset>9390380</wp:posOffset>
          </wp:positionV>
          <wp:extent cx="419100" cy="190500"/>
          <wp:effectExtent l="0" t="0" r="0" b="0"/>
          <wp:wrapNone/>
          <wp:docPr id="9" name="image29.png" descr=""/>
          <wp:cNvGraphicFramePr>
            <a:graphicFrameLocks noChangeAspect="1"/>
          </wp:cNvGraphicFramePr>
          <a:graphic>
            <a:graphicData uri="http://schemas.openxmlformats.org/drawingml/2006/picture">
              <pic:pic>
                <pic:nvPicPr>
                  <pic:cNvPr id="1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916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9136"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911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471">
          <wp:simplePos x="0" y="0"/>
          <wp:positionH relativeFrom="page">
            <wp:posOffset>916939</wp:posOffset>
          </wp:positionH>
          <wp:positionV relativeFrom="page">
            <wp:posOffset>9441180</wp:posOffset>
          </wp:positionV>
          <wp:extent cx="5890260" cy="203200"/>
          <wp:effectExtent l="0" t="0" r="0" b="0"/>
          <wp:wrapNone/>
          <wp:docPr id="43" name="image30.png" descr=""/>
          <wp:cNvGraphicFramePr>
            <a:graphicFrameLocks noChangeAspect="1"/>
          </wp:cNvGraphicFramePr>
          <a:graphic>
            <a:graphicData uri="http://schemas.openxmlformats.org/drawingml/2006/picture">
              <pic:pic>
                <pic:nvPicPr>
                  <pic:cNvPr id="4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7495">
          <wp:simplePos x="0" y="0"/>
          <wp:positionH relativeFrom="page">
            <wp:posOffset>6870700</wp:posOffset>
          </wp:positionH>
          <wp:positionV relativeFrom="page">
            <wp:posOffset>9385300</wp:posOffset>
          </wp:positionV>
          <wp:extent cx="419100" cy="190500"/>
          <wp:effectExtent l="0" t="0" r="0" b="0"/>
          <wp:wrapNone/>
          <wp:docPr id="45" name="image29.png" descr=""/>
          <wp:cNvGraphicFramePr>
            <a:graphicFrameLocks noChangeAspect="1"/>
          </wp:cNvGraphicFramePr>
          <a:graphic>
            <a:graphicData uri="http://schemas.openxmlformats.org/drawingml/2006/picture">
              <pic:pic>
                <pic:nvPicPr>
                  <pic:cNvPr id="4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793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791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4.649994pt;margin-top:742.747253pt;width:259.1pt;height:13.2pt;mso-position-horizontal-relative:page;mso-position-vertical-relative:page;z-index:-37888"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639">
          <wp:simplePos x="0" y="0"/>
          <wp:positionH relativeFrom="page">
            <wp:posOffset>916939</wp:posOffset>
          </wp:positionH>
          <wp:positionV relativeFrom="page">
            <wp:posOffset>9441180</wp:posOffset>
          </wp:positionV>
          <wp:extent cx="5910580" cy="203200"/>
          <wp:effectExtent l="0" t="0" r="0" b="0"/>
          <wp:wrapNone/>
          <wp:docPr id="47" name="image28.png" descr=""/>
          <wp:cNvGraphicFramePr>
            <a:graphicFrameLocks noChangeAspect="1"/>
          </wp:cNvGraphicFramePr>
          <a:graphic>
            <a:graphicData uri="http://schemas.openxmlformats.org/drawingml/2006/picture">
              <pic:pic>
                <pic:nvPicPr>
                  <pic:cNvPr id="4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7663">
          <wp:simplePos x="0" y="0"/>
          <wp:positionH relativeFrom="page">
            <wp:posOffset>485140</wp:posOffset>
          </wp:positionH>
          <wp:positionV relativeFrom="page">
            <wp:posOffset>9390380</wp:posOffset>
          </wp:positionV>
          <wp:extent cx="419100" cy="190500"/>
          <wp:effectExtent l="0" t="0" r="0" b="0"/>
          <wp:wrapNone/>
          <wp:docPr id="49" name="image29.png" descr=""/>
          <wp:cNvGraphicFramePr>
            <a:graphicFrameLocks noChangeAspect="1"/>
          </wp:cNvGraphicFramePr>
          <a:graphic>
            <a:graphicData uri="http://schemas.openxmlformats.org/drawingml/2006/picture">
              <pic:pic>
                <pic:nvPicPr>
                  <pic:cNvPr id="5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7768"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7744"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7720"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759">
          <wp:simplePos x="0" y="0"/>
          <wp:positionH relativeFrom="page">
            <wp:posOffset>916939</wp:posOffset>
          </wp:positionH>
          <wp:positionV relativeFrom="page">
            <wp:posOffset>9441180</wp:posOffset>
          </wp:positionV>
          <wp:extent cx="5890260" cy="203200"/>
          <wp:effectExtent l="0" t="0" r="0" b="0"/>
          <wp:wrapNone/>
          <wp:docPr id="51" name="image30.png" descr=""/>
          <wp:cNvGraphicFramePr>
            <a:graphicFrameLocks noChangeAspect="1"/>
          </wp:cNvGraphicFramePr>
          <a:graphic>
            <a:graphicData uri="http://schemas.openxmlformats.org/drawingml/2006/picture">
              <pic:pic>
                <pic:nvPicPr>
                  <pic:cNvPr id="5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7783">
          <wp:simplePos x="0" y="0"/>
          <wp:positionH relativeFrom="page">
            <wp:posOffset>6870700</wp:posOffset>
          </wp:positionH>
          <wp:positionV relativeFrom="page">
            <wp:posOffset>9385300</wp:posOffset>
          </wp:positionV>
          <wp:extent cx="419100" cy="190500"/>
          <wp:effectExtent l="0" t="0" r="0" b="0"/>
          <wp:wrapNone/>
          <wp:docPr id="53" name="image29.png" descr=""/>
          <wp:cNvGraphicFramePr>
            <a:graphicFrameLocks noChangeAspect="1"/>
          </wp:cNvGraphicFramePr>
          <a:graphic>
            <a:graphicData uri="http://schemas.openxmlformats.org/drawingml/2006/picture">
              <pic:pic>
                <pic:nvPicPr>
                  <pic:cNvPr id="5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7648"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7624"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23</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4.649994pt;margin-top:742.747253pt;width:259.1pt;height:13.2pt;mso-position-horizontal-relative:page;mso-position-vertical-relative:page;z-index:-37600"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927">
          <wp:simplePos x="0" y="0"/>
          <wp:positionH relativeFrom="page">
            <wp:posOffset>916939</wp:posOffset>
          </wp:positionH>
          <wp:positionV relativeFrom="page">
            <wp:posOffset>9441180</wp:posOffset>
          </wp:positionV>
          <wp:extent cx="5910580" cy="203200"/>
          <wp:effectExtent l="0" t="0" r="0" b="0"/>
          <wp:wrapNone/>
          <wp:docPr id="55" name="image28.png" descr=""/>
          <wp:cNvGraphicFramePr>
            <a:graphicFrameLocks noChangeAspect="1"/>
          </wp:cNvGraphicFramePr>
          <a:graphic>
            <a:graphicData uri="http://schemas.openxmlformats.org/drawingml/2006/picture">
              <pic:pic>
                <pic:nvPicPr>
                  <pic:cNvPr id="5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7951">
          <wp:simplePos x="0" y="0"/>
          <wp:positionH relativeFrom="page">
            <wp:posOffset>485140</wp:posOffset>
          </wp:positionH>
          <wp:positionV relativeFrom="page">
            <wp:posOffset>9390380</wp:posOffset>
          </wp:positionV>
          <wp:extent cx="419100" cy="190500"/>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7480"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7456"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28</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743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367">
          <wp:simplePos x="0" y="0"/>
          <wp:positionH relativeFrom="page">
            <wp:posOffset>916939</wp:posOffset>
          </wp:positionH>
          <wp:positionV relativeFrom="page">
            <wp:posOffset>9441180</wp:posOffset>
          </wp:positionV>
          <wp:extent cx="5890260" cy="203200"/>
          <wp:effectExtent l="0" t="0" r="0" b="0"/>
          <wp:wrapNone/>
          <wp:docPr id="11" name="image30.png" descr=""/>
          <wp:cNvGraphicFramePr>
            <a:graphicFrameLocks noChangeAspect="1"/>
          </wp:cNvGraphicFramePr>
          <a:graphic>
            <a:graphicData uri="http://schemas.openxmlformats.org/drawingml/2006/picture">
              <pic:pic>
                <pic:nvPicPr>
                  <pic:cNvPr id="1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6391">
          <wp:simplePos x="0" y="0"/>
          <wp:positionH relativeFrom="page">
            <wp:posOffset>6870700</wp:posOffset>
          </wp:positionH>
          <wp:positionV relativeFrom="page">
            <wp:posOffset>9385300</wp:posOffset>
          </wp:positionV>
          <wp:extent cx="419100" cy="190500"/>
          <wp:effectExtent l="0" t="0" r="0" b="0"/>
          <wp:wrapNone/>
          <wp:docPr id="13" name="image29.png" descr=""/>
          <wp:cNvGraphicFramePr>
            <a:graphicFrameLocks noChangeAspect="1"/>
          </wp:cNvGraphicFramePr>
          <a:graphic>
            <a:graphicData uri="http://schemas.openxmlformats.org/drawingml/2006/picture">
              <pic:pic>
                <pic:nvPicPr>
                  <pic:cNvPr id="1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904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9016"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74.649994pt;margin-top:742.747253pt;width:259.1pt;height:13.2pt;mso-position-horizontal-relative:page;mso-position-vertical-relative:page;z-index:-38992"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535">
          <wp:simplePos x="0" y="0"/>
          <wp:positionH relativeFrom="page">
            <wp:posOffset>751840</wp:posOffset>
          </wp:positionH>
          <wp:positionV relativeFrom="page">
            <wp:posOffset>9453880</wp:posOffset>
          </wp:positionV>
          <wp:extent cx="5890260" cy="200660"/>
          <wp:effectExtent l="0" t="0" r="0" b="0"/>
          <wp:wrapNone/>
          <wp:docPr id="15" name="image34.png" descr=""/>
          <wp:cNvGraphicFramePr>
            <a:graphicFrameLocks noChangeAspect="1"/>
          </wp:cNvGraphicFramePr>
          <a:graphic>
            <a:graphicData uri="http://schemas.openxmlformats.org/drawingml/2006/picture">
              <pic:pic>
                <pic:nvPicPr>
                  <pic:cNvPr id="16" name="image34.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96559">
          <wp:simplePos x="0" y="0"/>
          <wp:positionH relativeFrom="page">
            <wp:posOffset>6705600</wp:posOffset>
          </wp:positionH>
          <wp:positionV relativeFrom="page">
            <wp:posOffset>9400540</wp:posOffset>
          </wp:positionV>
          <wp:extent cx="419100" cy="190500"/>
          <wp:effectExtent l="0" t="0" r="0" b="0"/>
          <wp:wrapNone/>
          <wp:docPr id="17" name="image29.png" descr=""/>
          <wp:cNvGraphicFramePr>
            <a:graphicFrameLocks noChangeAspect="1"/>
          </wp:cNvGraphicFramePr>
          <a:graphic>
            <a:graphicData uri="http://schemas.openxmlformats.org/drawingml/2006/picture">
              <pic:pic>
                <pic:nvPicPr>
                  <pic:cNvPr id="1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38872"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25.450012pt;margin-top:742.099976pt;width:39pt;height:16pt;mso-position-horizontal-relative:page;mso-position-vertical-relative:page;z-index:-38848" type="#_x0000_t202" filled="false" stroked="false">
          <v:textbox inset="0,0,0,0">
            <w:txbxContent>
              <w:p>
                <w:pPr>
                  <w:tabs>
                    <w:tab w:pos="430"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3"/>
                    <w:sz w:val="28"/>
                    <w:shd w:fill="3366CC" w:color="auto" w:val="clear"/>
                  </w:rPr>
                  <w:t> </w:t>
                </w:r>
              </w:p>
            </w:txbxContent>
          </v:textbox>
          <w10:wrap type="none"/>
        </v:shape>
      </w:pict>
    </w:r>
    <w:r>
      <w:rPr/>
      <w:pict>
        <v:shape style="position:absolute;margin-left:161.649994pt;margin-top:743.747253pt;width:259.1pt;height:13.2pt;mso-position-horizontal-relative:page;mso-position-vertical-relative:page;z-index:-38824"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655">
          <wp:simplePos x="0" y="0"/>
          <wp:positionH relativeFrom="page">
            <wp:posOffset>916939</wp:posOffset>
          </wp:positionH>
          <wp:positionV relativeFrom="page">
            <wp:posOffset>9441180</wp:posOffset>
          </wp:positionV>
          <wp:extent cx="5910580" cy="203200"/>
          <wp:effectExtent l="0" t="0" r="0" b="0"/>
          <wp:wrapNone/>
          <wp:docPr id="19" name="image28.png" descr=""/>
          <wp:cNvGraphicFramePr>
            <a:graphicFrameLocks noChangeAspect="1"/>
          </wp:cNvGraphicFramePr>
          <a:graphic>
            <a:graphicData uri="http://schemas.openxmlformats.org/drawingml/2006/picture">
              <pic:pic>
                <pic:nvPicPr>
                  <pic:cNvPr id="2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6679">
          <wp:simplePos x="0" y="0"/>
          <wp:positionH relativeFrom="page">
            <wp:posOffset>485140</wp:posOffset>
          </wp:positionH>
          <wp:positionV relativeFrom="page">
            <wp:posOffset>9390380</wp:posOffset>
          </wp:positionV>
          <wp:extent cx="419100" cy="190500"/>
          <wp:effectExtent l="0" t="0" r="0" b="0"/>
          <wp:wrapNone/>
          <wp:docPr id="21" name="image29.png" descr=""/>
          <wp:cNvGraphicFramePr>
            <a:graphicFrameLocks noChangeAspect="1"/>
          </wp:cNvGraphicFramePr>
          <a:graphic>
            <a:graphicData uri="http://schemas.openxmlformats.org/drawingml/2006/picture">
              <pic:pic>
                <pic:nvPicPr>
                  <pic:cNvPr id="2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8752"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8728"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8704"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823">
          <wp:simplePos x="0" y="0"/>
          <wp:positionH relativeFrom="page">
            <wp:posOffset>916939</wp:posOffset>
          </wp:positionH>
          <wp:positionV relativeFrom="page">
            <wp:posOffset>9441180</wp:posOffset>
          </wp:positionV>
          <wp:extent cx="5890260" cy="203200"/>
          <wp:effectExtent l="0" t="0" r="0" b="0"/>
          <wp:wrapNone/>
          <wp:docPr id="23" name="image30.png" descr=""/>
          <wp:cNvGraphicFramePr>
            <a:graphicFrameLocks noChangeAspect="1"/>
          </wp:cNvGraphicFramePr>
          <a:graphic>
            <a:graphicData uri="http://schemas.openxmlformats.org/drawingml/2006/picture">
              <pic:pic>
                <pic:nvPicPr>
                  <pic:cNvPr id="24"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6847">
          <wp:simplePos x="0" y="0"/>
          <wp:positionH relativeFrom="page">
            <wp:posOffset>6870700</wp:posOffset>
          </wp:positionH>
          <wp:positionV relativeFrom="page">
            <wp:posOffset>9385300</wp:posOffset>
          </wp:positionV>
          <wp:extent cx="419100" cy="190500"/>
          <wp:effectExtent l="0" t="0" r="0" b="0"/>
          <wp:wrapNone/>
          <wp:docPr id="25" name="image29.png" descr=""/>
          <wp:cNvGraphicFramePr>
            <a:graphicFrameLocks noChangeAspect="1"/>
          </wp:cNvGraphicFramePr>
          <a:graphic>
            <a:graphicData uri="http://schemas.openxmlformats.org/drawingml/2006/picture">
              <pic:pic>
                <pic:nvPicPr>
                  <pic:cNvPr id="26"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858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856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4.649994pt;margin-top:742.747253pt;width:259.1pt;height:13.2pt;mso-position-horizontal-relative:page;mso-position-vertical-relative:page;z-index:-38536"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943">
          <wp:simplePos x="0" y="0"/>
          <wp:positionH relativeFrom="page">
            <wp:posOffset>916939</wp:posOffset>
          </wp:positionH>
          <wp:positionV relativeFrom="page">
            <wp:posOffset>9441180</wp:posOffset>
          </wp:positionV>
          <wp:extent cx="5910580" cy="203200"/>
          <wp:effectExtent l="0" t="0" r="0" b="0"/>
          <wp:wrapNone/>
          <wp:docPr id="27" name="image28.png" descr=""/>
          <wp:cNvGraphicFramePr>
            <a:graphicFrameLocks noChangeAspect="1"/>
          </wp:cNvGraphicFramePr>
          <a:graphic>
            <a:graphicData uri="http://schemas.openxmlformats.org/drawingml/2006/picture">
              <pic:pic>
                <pic:nvPicPr>
                  <pic:cNvPr id="28"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6967">
          <wp:simplePos x="0" y="0"/>
          <wp:positionH relativeFrom="page">
            <wp:posOffset>485140</wp:posOffset>
          </wp:positionH>
          <wp:positionV relativeFrom="page">
            <wp:posOffset>9390380</wp:posOffset>
          </wp:positionV>
          <wp:extent cx="419100" cy="190500"/>
          <wp:effectExtent l="0" t="0" r="0" b="0"/>
          <wp:wrapNone/>
          <wp:docPr id="29" name="image29.png" descr=""/>
          <wp:cNvGraphicFramePr>
            <a:graphicFrameLocks noChangeAspect="1"/>
          </wp:cNvGraphicFramePr>
          <a:graphic>
            <a:graphicData uri="http://schemas.openxmlformats.org/drawingml/2006/picture">
              <pic:pic>
                <pic:nvPicPr>
                  <pic:cNvPr id="30"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846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844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12</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84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063">
          <wp:simplePos x="0" y="0"/>
          <wp:positionH relativeFrom="page">
            <wp:posOffset>916939</wp:posOffset>
          </wp:positionH>
          <wp:positionV relativeFrom="page">
            <wp:posOffset>9441180</wp:posOffset>
          </wp:positionV>
          <wp:extent cx="5890260" cy="203200"/>
          <wp:effectExtent l="0" t="0" r="0" b="0"/>
          <wp:wrapNone/>
          <wp:docPr id="31" name="image30.png" descr=""/>
          <wp:cNvGraphicFramePr>
            <a:graphicFrameLocks noChangeAspect="1"/>
          </wp:cNvGraphicFramePr>
          <a:graphic>
            <a:graphicData uri="http://schemas.openxmlformats.org/drawingml/2006/picture">
              <pic:pic>
                <pic:nvPicPr>
                  <pic:cNvPr id="32" name="image30.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7087">
          <wp:simplePos x="0" y="0"/>
          <wp:positionH relativeFrom="page">
            <wp:posOffset>6870700</wp:posOffset>
          </wp:positionH>
          <wp:positionV relativeFrom="page">
            <wp:posOffset>9385300</wp:posOffset>
          </wp:positionV>
          <wp:extent cx="419100" cy="190500"/>
          <wp:effectExtent l="0" t="0" r="0" b="0"/>
          <wp:wrapNone/>
          <wp:docPr id="33" name="image29.png" descr=""/>
          <wp:cNvGraphicFramePr>
            <a:graphicFrameLocks noChangeAspect="1"/>
          </wp:cNvGraphicFramePr>
          <a:graphic>
            <a:graphicData uri="http://schemas.openxmlformats.org/drawingml/2006/picture">
              <pic:pic>
                <pic:nvPicPr>
                  <pic:cNvPr id="34"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38344"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38320"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74.649994pt;margin-top:742.747253pt;width:259.1pt;height:13.2pt;mso-position-horizontal-relative:page;mso-position-vertical-relative:page;z-index:-38296" type="#_x0000_t202" filled="false" stroked="false">
          <v:textbox inset="0,0,0,0">
            <w:txbxContent>
              <w:p>
                <w:pPr>
                  <w:spacing w:before="13"/>
                  <w:ind w:left="20" w:right="0" w:firstLine="0"/>
                  <w:jc w:val="left"/>
                  <w:rPr>
                    <w:i/>
                    <w:sz w:val="20"/>
                  </w:rPr>
                </w:pPr>
                <w:r>
                  <w:rPr>
                    <w:i/>
                    <w:color w:val="2E5395"/>
                    <w:sz w:val="20"/>
                  </w:rPr>
                  <w:t>REVISTA MEDICA SINERGIA Vol 1 (12), Diciembre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183">
          <wp:simplePos x="0" y="0"/>
          <wp:positionH relativeFrom="page">
            <wp:posOffset>916939</wp:posOffset>
          </wp:positionH>
          <wp:positionV relativeFrom="page">
            <wp:posOffset>9441180</wp:posOffset>
          </wp:positionV>
          <wp:extent cx="5910580" cy="203200"/>
          <wp:effectExtent l="0" t="0" r="0" b="0"/>
          <wp:wrapNone/>
          <wp:docPr id="35" name="image28.png" descr=""/>
          <wp:cNvGraphicFramePr>
            <a:graphicFrameLocks noChangeAspect="1"/>
          </wp:cNvGraphicFramePr>
          <a:graphic>
            <a:graphicData uri="http://schemas.openxmlformats.org/drawingml/2006/picture">
              <pic:pic>
                <pic:nvPicPr>
                  <pic:cNvPr id="36"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7207">
          <wp:simplePos x="0" y="0"/>
          <wp:positionH relativeFrom="page">
            <wp:posOffset>485140</wp:posOffset>
          </wp:positionH>
          <wp:positionV relativeFrom="page">
            <wp:posOffset>9390380</wp:posOffset>
          </wp:positionV>
          <wp:extent cx="419100" cy="190500"/>
          <wp:effectExtent l="0" t="0" r="0" b="0"/>
          <wp:wrapNone/>
          <wp:docPr id="37" name="image29.png" descr=""/>
          <wp:cNvGraphicFramePr>
            <a:graphicFrameLocks noChangeAspect="1"/>
          </wp:cNvGraphicFramePr>
          <a:graphic>
            <a:graphicData uri="http://schemas.openxmlformats.org/drawingml/2006/picture">
              <pic:pic>
                <pic:nvPicPr>
                  <pic:cNvPr id="38"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8224"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8200"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16</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817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7351">
          <wp:simplePos x="0" y="0"/>
          <wp:positionH relativeFrom="page">
            <wp:posOffset>916939</wp:posOffset>
          </wp:positionH>
          <wp:positionV relativeFrom="page">
            <wp:posOffset>9441180</wp:posOffset>
          </wp:positionV>
          <wp:extent cx="5910580" cy="203200"/>
          <wp:effectExtent l="0" t="0" r="0" b="0"/>
          <wp:wrapNone/>
          <wp:docPr id="39" name="image28.png" descr=""/>
          <wp:cNvGraphicFramePr>
            <a:graphicFrameLocks noChangeAspect="1"/>
          </wp:cNvGraphicFramePr>
          <a:graphic>
            <a:graphicData uri="http://schemas.openxmlformats.org/drawingml/2006/picture">
              <pic:pic>
                <pic:nvPicPr>
                  <pic:cNvPr id="40" name="image28.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7375">
          <wp:simplePos x="0" y="0"/>
          <wp:positionH relativeFrom="page">
            <wp:posOffset>485140</wp:posOffset>
          </wp:positionH>
          <wp:positionV relativeFrom="page">
            <wp:posOffset>9390380</wp:posOffset>
          </wp:positionV>
          <wp:extent cx="419100" cy="190500"/>
          <wp:effectExtent l="0" t="0" r="0" b="0"/>
          <wp:wrapNone/>
          <wp:docPr id="41" name="image29.png" descr=""/>
          <wp:cNvGraphicFramePr>
            <a:graphicFrameLocks noChangeAspect="1"/>
          </wp:cNvGraphicFramePr>
          <a:graphic>
            <a:graphicData uri="http://schemas.openxmlformats.org/drawingml/2006/picture">
              <pic:pic>
                <pic:nvPicPr>
                  <pic:cNvPr id="42" name="image29.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3805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38032" type="#_x0000_t202" filled="false" stroked="false">
          <v:textbox inset="0,0,0,0">
            <w:txbxContent>
              <w:p>
                <w:pPr>
                  <w:tabs>
                    <w:tab w:pos="283"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20</w:t>
                </w:r>
                <w:r>
                  <w:rPr/>
                  <w:fldChar w:fldCharType="end"/>
                </w:r>
                <w:r>
                  <w:rPr>
                    <w:rFonts w:ascii="Calibri"/>
                    <w:color w:val="FFFFFF"/>
                    <w:spacing w:val="-16"/>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3800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479996pt;margin-top:35.147266pt;width:306.9pt;height:13.2pt;mso-position-horizontal-relative:page;mso-position-vertical-relative:page;z-index:-38968" type="#_x0000_t202" filled="false" stroked="false">
          <v:textbox inset="0,0,0,0">
            <w:txbxContent>
              <w:p>
                <w:pPr>
                  <w:spacing w:before="13"/>
                  <w:ind w:left="20" w:right="0" w:firstLine="0"/>
                  <w:jc w:val="left"/>
                  <w:rPr>
                    <w:i/>
                    <w:sz w:val="20"/>
                  </w:rPr>
                </w:pPr>
                <w:r>
                  <w:rPr>
                    <w:i/>
                    <w:color w:val="2D74B5"/>
                    <w:sz w:val="20"/>
                  </w:rPr>
                  <w:t>ENFERMEDAD PELVICA INFLAMATORIA - Nohelia Zeledón Rojas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700012pt;margin-top:35.147266pt;width:257.3500pt;height:13.2pt;mso-position-horizontal-relative:page;mso-position-vertical-relative:page;z-index:-37864" type="#_x0000_t202" filled="false" stroked="false">
          <v:textbox inset="0,0,0,0">
            <w:txbxContent>
              <w:p>
                <w:pPr>
                  <w:spacing w:before="13"/>
                  <w:ind w:left="20" w:right="0" w:firstLine="0"/>
                  <w:jc w:val="left"/>
                  <w:rPr>
                    <w:i/>
                    <w:sz w:val="20"/>
                  </w:rPr>
                </w:pPr>
                <w:r>
                  <w:rPr>
                    <w:i/>
                    <w:color w:val="2D74B5"/>
                    <w:sz w:val="20"/>
                  </w:rPr>
                  <w:t>ENDOMETRITIS POSTPARTO - Gilbert Chaverri Guillen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3.700012pt;margin-top:35.147266pt;width:257.3500pt;height:13.2pt;mso-position-horizontal-relative:page;mso-position-vertical-relative:page;z-index:-37840" type="#_x0000_t202" filled="false" stroked="false">
          <v:textbox inset="0,0,0,0">
            <w:txbxContent>
              <w:p>
                <w:pPr>
                  <w:spacing w:before="13"/>
                  <w:ind w:left="20" w:right="0" w:firstLine="0"/>
                  <w:jc w:val="left"/>
                  <w:rPr>
                    <w:i/>
                    <w:sz w:val="20"/>
                  </w:rPr>
                </w:pPr>
                <w:r>
                  <w:rPr>
                    <w:i/>
                    <w:color w:val="2D74B5"/>
                    <w:sz w:val="20"/>
                  </w:rPr>
                  <w:t>ENDOMETRITIS POSTPARTO - Gilbert Chaverri Guillen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7576"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3755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1.270004pt;margin-top:34.547264pt;width:306.9pt;height:13.2pt;mso-position-horizontal-relative:page;mso-position-vertical-relative:page;z-index:-38944" type="#_x0000_t202" filled="false" stroked="false">
          <v:textbox inset="0,0,0,0">
            <w:txbxContent>
              <w:p>
                <w:pPr>
                  <w:spacing w:before="13"/>
                  <w:ind w:left="20" w:right="0" w:firstLine="0"/>
                  <w:jc w:val="left"/>
                  <w:rPr>
                    <w:i/>
                    <w:sz w:val="20"/>
                  </w:rPr>
                </w:pPr>
                <w:r>
                  <w:rPr>
                    <w:i/>
                    <w:color w:val="2D74B5"/>
                    <w:sz w:val="20"/>
                  </w:rPr>
                  <w:t>ENFERMEDAD PELVICA INFLAMATORIA - Nohelia Zeledón Rojas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4.700012pt;margin-top:47.167267pt;width:216.15pt;height:13.2pt;mso-position-horizontal-relative:page;mso-position-vertical-relative:page;z-index:-38680" type="#_x0000_t202" filled="false" stroked="false">
          <v:textbox inset="0,0,0,0">
            <w:txbxContent>
              <w:p>
                <w:pPr>
                  <w:spacing w:before="13"/>
                  <w:ind w:left="20" w:right="0" w:firstLine="0"/>
                  <w:jc w:val="left"/>
                  <w:rPr>
                    <w:i/>
                    <w:sz w:val="20"/>
                  </w:rPr>
                </w:pPr>
                <w:r>
                  <w:rPr>
                    <w:i/>
                    <w:color w:val="2D74B5"/>
                    <w:sz w:val="20"/>
                  </w:rPr>
                  <w:t>SARCOMAS UTERINOS - Andrés Zamora Volio</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24.700012pt;margin-top:47.167267pt;width:216.15pt;height:13.2pt;mso-position-horizontal-relative:page;mso-position-vertical-relative:page;z-index:-38656" type="#_x0000_t202" filled="false" stroked="false">
          <v:textbox inset="0,0,0,0">
            <w:txbxContent>
              <w:p>
                <w:pPr>
                  <w:spacing w:before="13"/>
                  <w:ind w:left="20" w:right="0" w:firstLine="0"/>
                  <w:jc w:val="left"/>
                  <w:rPr>
                    <w:i/>
                    <w:sz w:val="20"/>
                  </w:rPr>
                </w:pPr>
                <w:r>
                  <w:rPr>
                    <w:i/>
                    <w:color w:val="2D74B5"/>
                    <w:sz w:val="20"/>
                  </w:rPr>
                  <w:t>SARCOMAS UTERINOS - Andrés Zamora Volio</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625pt;margin-top:35.147266pt;width:450.2pt;height:26.4pt;mso-position-horizontal-relative:page;mso-position-vertical-relative:page;z-index:-38152" type="#_x0000_t202" filled="false" stroked="false">
          <v:textbox inset="0,0,0,0">
            <w:txbxContent>
              <w:p>
                <w:pPr>
                  <w:spacing w:before="13"/>
                  <w:ind w:left="20" w:right="0" w:firstLine="0"/>
                  <w:jc w:val="left"/>
                  <w:rPr>
                    <w:sz w:val="20"/>
                  </w:rPr>
                </w:pPr>
                <w:r>
                  <w:rPr>
                    <w:color w:val="2D74B5"/>
                    <w:sz w:val="20"/>
                  </w:rPr>
                  <w:t>TERAPIA DE REEMPLAZO HORMONAL EN RELACION A LA ENFERMEDAD DE ALZHEIMER</w:t>
                </w:r>
              </w:p>
              <w:p>
                <w:pPr>
                  <w:spacing w:before="34"/>
                  <w:ind w:left="0" w:right="18" w:firstLine="0"/>
                  <w:jc w:val="right"/>
                  <w:rPr>
                    <w:i/>
                    <w:sz w:val="20"/>
                  </w:rPr>
                </w:pPr>
                <w:r>
                  <w:rPr>
                    <w:i/>
                    <w:color w:val="2D74B5"/>
                    <w:sz w:val="20"/>
                  </w:rPr>
                  <w:t>- Kenneth Bermúdez Salas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0.625pt;margin-top:35.147266pt;width:450.2pt;height:26.4pt;mso-position-horizontal-relative:page;mso-position-vertical-relative:page;z-index:-38128" type="#_x0000_t202" filled="false" stroked="false">
          <v:textbox inset="0,0,0,0">
            <w:txbxContent>
              <w:p>
                <w:pPr>
                  <w:spacing w:before="13"/>
                  <w:ind w:left="20" w:right="0" w:firstLine="0"/>
                  <w:jc w:val="left"/>
                  <w:rPr>
                    <w:sz w:val="20"/>
                  </w:rPr>
                </w:pPr>
                <w:r>
                  <w:rPr>
                    <w:color w:val="2D74B5"/>
                    <w:sz w:val="20"/>
                  </w:rPr>
                  <w:t>TERAPIA DE REEMPLAZO HORMONAL EN RELACION A LA ENFERMEDAD DE ALZHEIMER</w:t>
                </w:r>
              </w:p>
              <w:p>
                <w:pPr>
                  <w:spacing w:before="34"/>
                  <w:ind w:left="0" w:right="18" w:firstLine="0"/>
                  <w:jc w:val="right"/>
                  <w:rPr>
                    <w:i/>
                    <w:sz w:val="20"/>
                  </w:rPr>
                </w:pPr>
                <w:r>
                  <w:rPr>
                    <w:i/>
                    <w:color w:val="2D74B5"/>
                    <w:sz w:val="20"/>
                  </w:rPr>
                  <w:t>- Kenneth Bermúdez Salas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800" w:hanging="360"/>
        <w:jc w:val="left"/>
      </w:pPr>
      <w:rPr>
        <w:rFonts w:hint="default" w:ascii="Arial" w:hAnsi="Arial" w:eastAsia="Arial" w:cs="Arial"/>
        <w:spacing w:val="-11"/>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1">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10">
    <w:multiLevelType w:val="hybridMultilevel"/>
    <w:lvl w:ilvl="0">
      <w:start w:val="1"/>
      <w:numFmt w:val="upperRoman"/>
      <w:lvlText w:val="%1."/>
      <w:lvlJc w:val="left"/>
      <w:pPr>
        <w:ind w:left="1800" w:hanging="472"/>
        <w:jc w:val="right"/>
      </w:pPr>
      <w:rPr>
        <w:rFonts w:hint="default" w:ascii="Arial" w:hAnsi="Arial" w:eastAsia="Arial" w:cs="Arial"/>
        <w:b/>
        <w:bCs/>
        <w:spacing w:val="-7"/>
        <w:w w:val="99"/>
        <w:sz w:val="20"/>
        <w:szCs w:val="20"/>
      </w:rPr>
    </w:lvl>
    <w:lvl w:ilvl="1">
      <w:start w:val="1"/>
      <w:numFmt w:val="decimal"/>
      <w:lvlText w:val="%2."/>
      <w:lvlJc w:val="left"/>
      <w:pPr>
        <w:ind w:left="2160" w:hanging="360"/>
        <w:jc w:val="left"/>
      </w:pPr>
      <w:rPr>
        <w:rFonts w:hint="default" w:ascii="Arial" w:hAnsi="Arial" w:eastAsia="Arial" w:cs="Arial"/>
        <w:spacing w:val="-7"/>
        <w:w w:val="99"/>
        <w:sz w:val="20"/>
        <w:szCs w:val="20"/>
      </w:rPr>
    </w:lvl>
    <w:lvl w:ilvl="2">
      <w:start w:val="0"/>
      <w:numFmt w:val="bullet"/>
      <w:lvlText w:val="•"/>
      <w:lvlJc w:val="left"/>
      <w:pPr>
        <w:ind w:left="3280" w:hanging="360"/>
      </w:pPr>
      <w:rPr>
        <w:rFonts w:hint="default"/>
      </w:rPr>
    </w:lvl>
    <w:lvl w:ilvl="3">
      <w:start w:val="0"/>
      <w:numFmt w:val="bullet"/>
      <w:lvlText w:val="•"/>
      <w:lvlJc w:val="left"/>
      <w:pPr>
        <w:ind w:left="4400" w:hanging="360"/>
      </w:pPr>
      <w:rPr>
        <w:rFonts w:hint="default"/>
      </w:rPr>
    </w:lvl>
    <w:lvl w:ilvl="4">
      <w:start w:val="0"/>
      <w:numFmt w:val="bullet"/>
      <w:lvlText w:val="•"/>
      <w:lvlJc w:val="left"/>
      <w:pPr>
        <w:ind w:left="5520" w:hanging="360"/>
      </w:pPr>
      <w:rPr>
        <w:rFonts w:hint="default"/>
      </w:rPr>
    </w:lvl>
    <w:lvl w:ilvl="5">
      <w:start w:val="0"/>
      <w:numFmt w:val="bullet"/>
      <w:lvlText w:val="•"/>
      <w:lvlJc w:val="left"/>
      <w:pPr>
        <w:ind w:left="6640" w:hanging="360"/>
      </w:pPr>
      <w:rPr>
        <w:rFonts w:hint="default"/>
      </w:rPr>
    </w:lvl>
    <w:lvl w:ilvl="6">
      <w:start w:val="0"/>
      <w:numFmt w:val="bullet"/>
      <w:lvlText w:val="•"/>
      <w:lvlJc w:val="left"/>
      <w:pPr>
        <w:ind w:left="7760" w:hanging="360"/>
      </w:pPr>
      <w:rPr>
        <w:rFonts w:hint="default"/>
      </w:rPr>
    </w:lvl>
    <w:lvl w:ilvl="7">
      <w:start w:val="0"/>
      <w:numFmt w:val="bullet"/>
      <w:lvlText w:val="•"/>
      <w:lvlJc w:val="left"/>
      <w:pPr>
        <w:ind w:left="8880" w:hanging="360"/>
      </w:pPr>
      <w:rPr>
        <w:rFonts w:hint="default"/>
      </w:rPr>
    </w:lvl>
    <w:lvl w:ilvl="8">
      <w:start w:val="0"/>
      <w:numFmt w:val="bullet"/>
      <w:lvlText w:val="•"/>
      <w:lvlJc w:val="left"/>
      <w:pPr>
        <w:ind w:left="10000" w:hanging="360"/>
      </w:pPr>
      <w:rPr>
        <w:rFonts w:hint="default"/>
      </w:rPr>
    </w:lvl>
  </w:abstractNum>
  <w:abstractNum w:abstractNumId="9">
    <w:multiLevelType w:val="hybridMultilevel"/>
    <w:lvl w:ilvl="0">
      <w:start w:val="0"/>
      <w:numFmt w:val="bullet"/>
      <w:lvlText w:val=""/>
      <w:lvlJc w:val="left"/>
      <w:pPr>
        <w:ind w:left="1800" w:hanging="360"/>
      </w:pPr>
      <w:rPr>
        <w:rFonts w:hint="default" w:ascii="Symbol" w:hAnsi="Symbol" w:eastAsia="Symbol" w:cs="Symbol"/>
        <w:w w:val="100"/>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0"/>
      <w:numFmt w:val="bullet"/>
      <w:lvlText w:val=""/>
      <w:lvlJc w:val="left"/>
      <w:pPr>
        <w:ind w:left="2060" w:hanging="360"/>
      </w:pPr>
      <w:rPr>
        <w:rFonts w:hint="default" w:ascii="Symbol" w:hAnsi="Symbol" w:eastAsia="Symbol" w:cs="Symbol"/>
        <w:w w:val="100"/>
        <w:sz w:val="20"/>
        <w:szCs w:val="20"/>
      </w:rPr>
    </w:lvl>
    <w:lvl w:ilvl="1">
      <w:start w:val="0"/>
      <w:numFmt w:val="bullet"/>
      <w:lvlText w:val="•"/>
      <w:lvlJc w:val="left"/>
      <w:pPr>
        <w:ind w:left="3078" w:hanging="360"/>
      </w:pPr>
      <w:rPr>
        <w:rFonts w:hint="default"/>
      </w:rPr>
    </w:lvl>
    <w:lvl w:ilvl="2">
      <w:start w:val="0"/>
      <w:numFmt w:val="bullet"/>
      <w:lvlText w:val="•"/>
      <w:lvlJc w:val="left"/>
      <w:pPr>
        <w:ind w:left="4096" w:hanging="360"/>
      </w:pPr>
      <w:rPr>
        <w:rFonts w:hint="default"/>
      </w:rPr>
    </w:lvl>
    <w:lvl w:ilvl="3">
      <w:start w:val="0"/>
      <w:numFmt w:val="bullet"/>
      <w:lvlText w:val="•"/>
      <w:lvlJc w:val="left"/>
      <w:pPr>
        <w:ind w:left="5114" w:hanging="360"/>
      </w:pPr>
      <w:rPr>
        <w:rFonts w:hint="default"/>
      </w:rPr>
    </w:lvl>
    <w:lvl w:ilvl="4">
      <w:start w:val="0"/>
      <w:numFmt w:val="bullet"/>
      <w:lvlText w:val="•"/>
      <w:lvlJc w:val="left"/>
      <w:pPr>
        <w:ind w:left="6132" w:hanging="360"/>
      </w:pPr>
      <w:rPr>
        <w:rFonts w:hint="default"/>
      </w:rPr>
    </w:lvl>
    <w:lvl w:ilvl="5">
      <w:start w:val="0"/>
      <w:numFmt w:val="bullet"/>
      <w:lvlText w:val="•"/>
      <w:lvlJc w:val="left"/>
      <w:pPr>
        <w:ind w:left="7150" w:hanging="360"/>
      </w:pPr>
      <w:rPr>
        <w:rFonts w:hint="default"/>
      </w:rPr>
    </w:lvl>
    <w:lvl w:ilvl="6">
      <w:start w:val="0"/>
      <w:numFmt w:val="bullet"/>
      <w:lvlText w:val="•"/>
      <w:lvlJc w:val="left"/>
      <w:pPr>
        <w:ind w:left="8168" w:hanging="360"/>
      </w:pPr>
      <w:rPr>
        <w:rFonts w:hint="default"/>
      </w:rPr>
    </w:lvl>
    <w:lvl w:ilvl="7">
      <w:start w:val="0"/>
      <w:numFmt w:val="bullet"/>
      <w:lvlText w:val="•"/>
      <w:lvlJc w:val="left"/>
      <w:pPr>
        <w:ind w:left="9186" w:hanging="360"/>
      </w:pPr>
      <w:rPr>
        <w:rFonts w:hint="default"/>
      </w:rPr>
    </w:lvl>
    <w:lvl w:ilvl="8">
      <w:start w:val="0"/>
      <w:numFmt w:val="bullet"/>
      <w:lvlText w:val="•"/>
      <w:lvlJc w:val="left"/>
      <w:pPr>
        <w:ind w:left="10204" w:hanging="360"/>
      </w:pPr>
      <w:rPr>
        <w:rFonts w:hint="default"/>
      </w:rPr>
    </w:lvl>
  </w:abstractNum>
  <w:abstractNum w:abstractNumId="7">
    <w:multiLevelType w:val="hybridMultilevel"/>
    <w:lvl w:ilvl="0">
      <w:start w:val="0"/>
      <w:numFmt w:val="bullet"/>
      <w:lvlText w:val=""/>
      <w:lvlJc w:val="left"/>
      <w:pPr>
        <w:ind w:left="791" w:hanging="360"/>
      </w:pPr>
      <w:rPr>
        <w:rFonts w:hint="default" w:ascii="Symbol" w:hAnsi="Symbol" w:eastAsia="Symbol" w:cs="Symbol"/>
        <w:w w:val="100"/>
        <w:sz w:val="22"/>
        <w:szCs w:val="22"/>
      </w:rPr>
    </w:lvl>
    <w:lvl w:ilvl="1">
      <w:start w:val="0"/>
      <w:numFmt w:val="bullet"/>
      <w:lvlText w:val="•"/>
      <w:lvlJc w:val="left"/>
      <w:pPr>
        <w:ind w:left="1151" w:hanging="360"/>
      </w:pPr>
      <w:rPr>
        <w:rFonts w:hint="default"/>
      </w:rPr>
    </w:lvl>
    <w:lvl w:ilvl="2">
      <w:start w:val="0"/>
      <w:numFmt w:val="bullet"/>
      <w:lvlText w:val="•"/>
      <w:lvlJc w:val="left"/>
      <w:pPr>
        <w:ind w:left="1502" w:hanging="360"/>
      </w:pPr>
      <w:rPr>
        <w:rFonts w:hint="default"/>
      </w:rPr>
    </w:lvl>
    <w:lvl w:ilvl="3">
      <w:start w:val="0"/>
      <w:numFmt w:val="bullet"/>
      <w:lvlText w:val="•"/>
      <w:lvlJc w:val="left"/>
      <w:pPr>
        <w:ind w:left="1853" w:hanging="360"/>
      </w:pPr>
      <w:rPr>
        <w:rFonts w:hint="default"/>
      </w:rPr>
    </w:lvl>
    <w:lvl w:ilvl="4">
      <w:start w:val="0"/>
      <w:numFmt w:val="bullet"/>
      <w:lvlText w:val="•"/>
      <w:lvlJc w:val="left"/>
      <w:pPr>
        <w:ind w:left="2204" w:hanging="360"/>
      </w:pPr>
      <w:rPr>
        <w:rFonts w:hint="default"/>
      </w:rPr>
    </w:lvl>
    <w:lvl w:ilvl="5">
      <w:start w:val="0"/>
      <w:numFmt w:val="bullet"/>
      <w:lvlText w:val="•"/>
      <w:lvlJc w:val="left"/>
      <w:pPr>
        <w:ind w:left="2556" w:hanging="360"/>
      </w:pPr>
      <w:rPr>
        <w:rFonts w:hint="default"/>
      </w:rPr>
    </w:lvl>
    <w:lvl w:ilvl="6">
      <w:start w:val="0"/>
      <w:numFmt w:val="bullet"/>
      <w:lvlText w:val="•"/>
      <w:lvlJc w:val="left"/>
      <w:pPr>
        <w:ind w:left="2907" w:hanging="360"/>
      </w:pPr>
      <w:rPr>
        <w:rFonts w:hint="default"/>
      </w:rPr>
    </w:lvl>
    <w:lvl w:ilvl="7">
      <w:start w:val="0"/>
      <w:numFmt w:val="bullet"/>
      <w:lvlText w:val="•"/>
      <w:lvlJc w:val="left"/>
      <w:pPr>
        <w:ind w:left="3258" w:hanging="360"/>
      </w:pPr>
      <w:rPr>
        <w:rFonts w:hint="default"/>
      </w:rPr>
    </w:lvl>
    <w:lvl w:ilvl="8">
      <w:start w:val="0"/>
      <w:numFmt w:val="bullet"/>
      <w:lvlText w:val="•"/>
      <w:lvlJc w:val="left"/>
      <w:pPr>
        <w:ind w:left="3609" w:hanging="360"/>
      </w:pPr>
      <w:rPr>
        <w:rFonts w:hint="default"/>
      </w:rPr>
    </w:lvl>
  </w:abstractNum>
  <w:abstractNum w:abstractNumId="6">
    <w:multiLevelType w:val="hybridMultilevel"/>
    <w:lvl w:ilvl="0">
      <w:start w:val="0"/>
      <w:numFmt w:val="bullet"/>
      <w:lvlText w:val=""/>
      <w:lvlJc w:val="left"/>
      <w:pPr>
        <w:ind w:left="851" w:hanging="360"/>
      </w:pPr>
      <w:rPr>
        <w:rFonts w:hint="default" w:ascii="Symbol" w:hAnsi="Symbol" w:eastAsia="Symbol" w:cs="Symbol"/>
        <w:w w:val="100"/>
        <w:sz w:val="22"/>
        <w:szCs w:val="22"/>
      </w:rPr>
    </w:lvl>
    <w:lvl w:ilvl="1">
      <w:start w:val="0"/>
      <w:numFmt w:val="bullet"/>
      <w:lvlText w:val="•"/>
      <w:lvlJc w:val="left"/>
      <w:pPr>
        <w:ind w:left="1205" w:hanging="360"/>
      </w:pPr>
      <w:rPr>
        <w:rFonts w:hint="default"/>
      </w:rPr>
    </w:lvl>
    <w:lvl w:ilvl="2">
      <w:start w:val="0"/>
      <w:numFmt w:val="bullet"/>
      <w:lvlText w:val="•"/>
      <w:lvlJc w:val="left"/>
      <w:pPr>
        <w:ind w:left="1550" w:hanging="360"/>
      </w:pPr>
      <w:rPr>
        <w:rFonts w:hint="default"/>
      </w:rPr>
    </w:lvl>
    <w:lvl w:ilvl="3">
      <w:start w:val="0"/>
      <w:numFmt w:val="bullet"/>
      <w:lvlText w:val="•"/>
      <w:lvlJc w:val="left"/>
      <w:pPr>
        <w:ind w:left="1895" w:hanging="360"/>
      </w:pPr>
      <w:rPr>
        <w:rFonts w:hint="default"/>
      </w:rPr>
    </w:lvl>
    <w:lvl w:ilvl="4">
      <w:start w:val="0"/>
      <w:numFmt w:val="bullet"/>
      <w:lvlText w:val="•"/>
      <w:lvlJc w:val="left"/>
      <w:pPr>
        <w:ind w:left="2240" w:hanging="360"/>
      </w:pPr>
      <w:rPr>
        <w:rFonts w:hint="default"/>
      </w:rPr>
    </w:lvl>
    <w:lvl w:ilvl="5">
      <w:start w:val="0"/>
      <w:numFmt w:val="bullet"/>
      <w:lvlText w:val="•"/>
      <w:lvlJc w:val="left"/>
      <w:pPr>
        <w:ind w:left="2586" w:hanging="360"/>
      </w:pPr>
      <w:rPr>
        <w:rFonts w:hint="default"/>
      </w:rPr>
    </w:lvl>
    <w:lvl w:ilvl="6">
      <w:start w:val="0"/>
      <w:numFmt w:val="bullet"/>
      <w:lvlText w:val="•"/>
      <w:lvlJc w:val="left"/>
      <w:pPr>
        <w:ind w:left="2931" w:hanging="360"/>
      </w:pPr>
      <w:rPr>
        <w:rFonts w:hint="default"/>
      </w:rPr>
    </w:lvl>
    <w:lvl w:ilvl="7">
      <w:start w:val="0"/>
      <w:numFmt w:val="bullet"/>
      <w:lvlText w:val="•"/>
      <w:lvlJc w:val="left"/>
      <w:pPr>
        <w:ind w:left="3276" w:hanging="360"/>
      </w:pPr>
      <w:rPr>
        <w:rFonts w:hint="default"/>
      </w:rPr>
    </w:lvl>
    <w:lvl w:ilvl="8">
      <w:start w:val="0"/>
      <w:numFmt w:val="bullet"/>
      <w:lvlText w:val="•"/>
      <w:lvlJc w:val="left"/>
      <w:pPr>
        <w:ind w:left="3621" w:hanging="360"/>
      </w:pPr>
      <w:rPr>
        <w:rFonts w:hint="default"/>
      </w:rPr>
    </w:lvl>
  </w:abstractNum>
  <w:abstractNum w:abstractNumId="5">
    <w:multiLevelType w:val="hybridMultilevel"/>
    <w:lvl w:ilvl="0">
      <w:start w:val="1"/>
      <w:numFmt w:val="decimal"/>
      <w:lvlText w:val="%1."/>
      <w:lvlJc w:val="left"/>
      <w:pPr>
        <w:ind w:left="2160" w:hanging="360"/>
        <w:jc w:val="left"/>
      </w:pPr>
      <w:rPr>
        <w:rFonts w:hint="default" w:ascii="Arial" w:hAnsi="Arial" w:eastAsia="Arial" w:cs="Arial"/>
        <w:spacing w:val="-30"/>
        <w:w w:val="99"/>
        <w:sz w:val="22"/>
        <w:szCs w:val="22"/>
      </w:rPr>
    </w:lvl>
    <w:lvl w:ilvl="1">
      <w:start w:val="0"/>
      <w:numFmt w:val="bullet"/>
      <w:lvlText w:val="•"/>
      <w:lvlJc w:val="left"/>
      <w:pPr>
        <w:ind w:left="2520" w:hanging="360"/>
      </w:pPr>
      <w:rPr>
        <w:rFonts w:hint="default"/>
      </w:rPr>
    </w:lvl>
    <w:lvl w:ilvl="2">
      <w:start w:val="0"/>
      <w:numFmt w:val="bullet"/>
      <w:lvlText w:val="•"/>
      <w:lvlJc w:val="left"/>
      <w:pPr>
        <w:ind w:left="2880" w:hanging="360"/>
      </w:pPr>
      <w:rPr>
        <w:rFonts w:hint="default"/>
      </w:rPr>
    </w:lvl>
    <w:lvl w:ilvl="3">
      <w:start w:val="0"/>
      <w:numFmt w:val="bullet"/>
      <w:lvlText w:val="•"/>
      <w:lvlJc w:val="left"/>
      <w:pPr>
        <w:ind w:left="3241" w:hanging="360"/>
      </w:pPr>
      <w:rPr>
        <w:rFonts w:hint="default"/>
      </w:rPr>
    </w:lvl>
    <w:lvl w:ilvl="4">
      <w:start w:val="0"/>
      <w:numFmt w:val="bullet"/>
      <w:lvlText w:val="•"/>
      <w:lvlJc w:val="left"/>
      <w:pPr>
        <w:ind w:left="3601" w:hanging="360"/>
      </w:pPr>
      <w:rPr>
        <w:rFonts w:hint="default"/>
      </w:rPr>
    </w:lvl>
    <w:lvl w:ilvl="5">
      <w:start w:val="0"/>
      <w:numFmt w:val="bullet"/>
      <w:lvlText w:val="•"/>
      <w:lvlJc w:val="left"/>
      <w:pPr>
        <w:ind w:left="3962" w:hanging="360"/>
      </w:pPr>
      <w:rPr>
        <w:rFonts w:hint="default"/>
      </w:rPr>
    </w:lvl>
    <w:lvl w:ilvl="6">
      <w:start w:val="0"/>
      <w:numFmt w:val="bullet"/>
      <w:lvlText w:val="•"/>
      <w:lvlJc w:val="left"/>
      <w:pPr>
        <w:ind w:left="4322" w:hanging="360"/>
      </w:pPr>
      <w:rPr>
        <w:rFonts w:hint="default"/>
      </w:rPr>
    </w:lvl>
    <w:lvl w:ilvl="7">
      <w:start w:val="0"/>
      <w:numFmt w:val="bullet"/>
      <w:lvlText w:val="•"/>
      <w:lvlJc w:val="left"/>
      <w:pPr>
        <w:ind w:left="4683" w:hanging="360"/>
      </w:pPr>
      <w:rPr>
        <w:rFonts w:hint="default"/>
      </w:rPr>
    </w:lvl>
    <w:lvl w:ilvl="8">
      <w:start w:val="0"/>
      <w:numFmt w:val="bullet"/>
      <w:lvlText w:val="•"/>
      <w:lvlJc w:val="left"/>
      <w:pPr>
        <w:ind w:left="5043" w:hanging="360"/>
      </w:pPr>
      <w:rPr>
        <w:rFonts w:hint="default"/>
      </w:rPr>
    </w:lvl>
  </w:abstractNum>
  <w:abstractNum w:abstractNumId="4">
    <w:multiLevelType w:val="hybridMultilevel"/>
    <w:lvl w:ilvl="0">
      <w:start w:val="1"/>
      <w:numFmt w:val="decimal"/>
      <w:lvlText w:val="%1."/>
      <w:lvlJc w:val="left"/>
      <w:pPr>
        <w:ind w:left="1399" w:hanging="361"/>
        <w:jc w:val="right"/>
      </w:pPr>
      <w:rPr>
        <w:rFonts w:hint="default" w:ascii="Arial" w:hAnsi="Arial" w:eastAsia="Arial" w:cs="Arial"/>
        <w:spacing w:val="-24"/>
        <w:w w:val="99"/>
        <w:sz w:val="22"/>
        <w:szCs w:val="22"/>
      </w:rPr>
    </w:lvl>
    <w:lvl w:ilvl="1">
      <w:start w:val="0"/>
      <w:numFmt w:val="bullet"/>
      <w:lvlText w:val="•"/>
      <w:lvlJc w:val="left"/>
      <w:pPr>
        <w:ind w:left="1903" w:hanging="361"/>
      </w:pPr>
      <w:rPr>
        <w:rFonts w:hint="default"/>
      </w:rPr>
    </w:lvl>
    <w:lvl w:ilvl="2">
      <w:start w:val="0"/>
      <w:numFmt w:val="bullet"/>
      <w:lvlText w:val="•"/>
      <w:lvlJc w:val="left"/>
      <w:pPr>
        <w:ind w:left="2407" w:hanging="361"/>
      </w:pPr>
      <w:rPr>
        <w:rFonts w:hint="default"/>
      </w:rPr>
    </w:lvl>
    <w:lvl w:ilvl="3">
      <w:start w:val="0"/>
      <w:numFmt w:val="bullet"/>
      <w:lvlText w:val="•"/>
      <w:lvlJc w:val="left"/>
      <w:pPr>
        <w:ind w:left="2911" w:hanging="361"/>
      </w:pPr>
      <w:rPr>
        <w:rFonts w:hint="default"/>
      </w:rPr>
    </w:lvl>
    <w:lvl w:ilvl="4">
      <w:start w:val="0"/>
      <w:numFmt w:val="bullet"/>
      <w:lvlText w:val="•"/>
      <w:lvlJc w:val="left"/>
      <w:pPr>
        <w:ind w:left="3414" w:hanging="361"/>
      </w:pPr>
      <w:rPr>
        <w:rFonts w:hint="default"/>
      </w:rPr>
    </w:lvl>
    <w:lvl w:ilvl="5">
      <w:start w:val="0"/>
      <w:numFmt w:val="bullet"/>
      <w:lvlText w:val="•"/>
      <w:lvlJc w:val="left"/>
      <w:pPr>
        <w:ind w:left="3918" w:hanging="361"/>
      </w:pPr>
      <w:rPr>
        <w:rFonts w:hint="default"/>
      </w:rPr>
    </w:lvl>
    <w:lvl w:ilvl="6">
      <w:start w:val="0"/>
      <w:numFmt w:val="bullet"/>
      <w:lvlText w:val="•"/>
      <w:lvlJc w:val="left"/>
      <w:pPr>
        <w:ind w:left="4422" w:hanging="361"/>
      </w:pPr>
      <w:rPr>
        <w:rFonts w:hint="default"/>
      </w:rPr>
    </w:lvl>
    <w:lvl w:ilvl="7">
      <w:start w:val="0"/>
      <w:numFmt w:val="bullet"/>
      <w:lvlText w:val="•"/>
      <w:lvlJc w:val="left"/>
      <w:pPr>
        <w:ind w:left="4925" w:hanging="361"/>
      </w:pPr>
      <w:rPr>
        <w:rFonts w:hint="default"/>
      </w:rPr>
    </w:lvl>
    <w:lvl w:ilvl="8">
      <w:start w:val="0"/>
      <w:numFmt w:val="bullet"/>
      <w:lvlText w:val="•"/>
      <w:lvlJc w:val="left"/>
      <w:pPr>
        <w:ind w:left="5429" w:hanging="361"/>
      </w:pPr>
      <w:rPr>
        <w:rFonts w:hint="default"/>
      </w:rPr>
    </w:lvl>
  </w:abstractNum>
  <w:abstractNum w:abstractNumId="3">
    <w:multiLevelType w:val="hybridMultilevel"/>
    <w:lvl w:ilvl="0">
      <w:start w:val="0"/>
      <w:numFmt w:val="bullet"/>
      <w:lvlText w:val=""/>
      <w:lvlJc w:val="left"/>
      <w:pPr>
        <w:ind w:left="1399" w:hanging="361"/>
      </w:pPr>
      <w:rPr>
        <w:rFonts w:hint="default" w:ascii="Symbol" w:hAnsi="Symbol" w:eastAsia="Symbol" w:cs="Symbol"/>
        <w:w w:val="100"/>
        <w:sz w:val="22"/>
        <w:szCs w:val="22"/>
      </w:rPr>
    </w:lvl>
    <w:lvl w:ilvl="1">
      <w:start w:val="0"/>
      <w:numFmt w:val="bullet"/>
      <w:lvlText w:val="•"/>
      <w:lvlJc w:val="left"/>
      <w:pPr>
        <w:ind w:left="1903" w:hanging="361"/>
      </w:pPr>
      <w:rPr>
        <w:rFonts w:hint="default"/>
      </w:rPr>
    </w:lvl>
    <w:lvl w:ilvl="2">
      <w:start w:val="0"/>
      <w:numFmt w:val="bullet"/>
      <w:lvlText w:val="•"/>
      <w:lvlJc w:val="left"/>
      <w:pPr>
        <w:ind w:left="2407" w:hanging="361"/>
      </w:pPr>
      <w:rPr>
        <w:rFonts w:hint="default"/>
      </w:rPr>
    </w:lvl>
    <w:lvl w:ilvl="3">
      <w:start w:val="0"/>
      <w:numFmt w:val="bullet"/>
      <w:lvlText w:val="•"/>
      <w:lvlJc w:val="left"/>
      <w:pPr>
        <w:ind w:left="2911" w:hanging="361"/>
      </w:pPr>
      <w:rPr>
        <w:rFonts w:hint="default"/>
      </w:rPr>
    </w:lvl>
    <w:lvl w:ilvl="4">
      <w:start w:val="0"/>
      <w:numFmt w:val="bullet"/>
      <w:lvlText w:val="•"/>
      <w:lvlJc w:val="left"/>
      <w:pPr>
        <w:ind w:left="3414" w:hanging="361"/>
      </w:pPr>
      <w:rPr>
        <w:rFonts w:hint="default"/>
      </w:rPr>
    </w:lvl>
    <w:lvl w:ilvl="5">
      <w:start w:val="0"/>
      <w:numFmt w:val="bullet"/>
      <w:lvlText w:val="•"/>
      <w:lvlJc w:val="left"/>
      <w:pPr>
        <w:ind w:left="3918" w:hanging="361"/>
      </w:pPr>
      <w:rPr>
        <w:rFonts w:hint="default"/>
      </w:rPr>
    </w:lvl>
    <w:lvl w:ilvl="6">
      <w:start w:val="0"/>
      <w:numFmt w:val="bullet"/>
      <w:lvlText w:val="•"/>
      <w:lvlJc w:val="left"/>
      <w:pPr>
        <w:ind w:left="4422" w:hanging="361"/>
      </w:pPr>
      <w:rPr>
        <w:rFonts w:hint="default"/>
      </w:rPr>
    </w:lvl>
    <w:lvl w:ilvl="7">
      <w:start w:val="0"/>
      <w:numFmt w:val="bullet"/>
      <w:lvlText w:val="•"/>
      <w:lvlJc w:val="left"/>
      <w:pPr>
        <w:ind w:left="4925" w:hanging="361"/>
      </w:pPr>
      <w:rPr>
        <w:rFonts w:hint="default"/>
      </w:rPr>
    </w:lvl>
    <w:lvl w:ilvl="8">
      <w:start w:val="0"/>
      <w:numFmt w:val="bullet"/>
      <w:lvlText w:val="•"/>
      <w:lvlJc w:val="left"/>
      <w:pPr>
        <w:ind w:left="5429" w:hanging="361"/>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color w:val="3A3838"/>
        <w:w w:val="100"/>
        <w:sz w:val="24"/>
        <w:szCs w:val="24"/>
      </w:rPr>
    </w:lvl>
    <w:lvl w:ilvl="1">
      <w:start w:val="0"/>
      <w:numFmt w:val="bullet"/>
      <w:lvlText w:val="•"/>
      <w:lvlJc w:val="left"/>
      <w:pPr>
        <w:ind w:left="926" w:hanging="361"/>
      </w:pPr>
      <w:rPr>
        <w:rFonts w:hint="default"/>
      </w:rPr>
    </w:lvl>
    <w:lvl w:ilvl="2">
      <w:start w:val="0"/>
      <w:numFmt w:val="bullet"/>
      <w:lvlText w:val="•"/>
      <w:lvlJc w:val="left"/>
      <w:pPr>
        <w:ind w:left="1292" w:hanging="361"/>
      </w:pPr>
      <w:rPr>
        <w:rFonts w:hint="default"/>
      </w:rPr>
    </w:lvl>
    <w:lvl w:ilvl="3">
      <w:start w:val="0"/>
      <w:numFmt w:val="bullet"/>
      <w:lvlText w:val="•"/>
      <w:lvlJc w:val="left"/>
      <w:pPr>
        <w:ind w:left="1658" w:hanging="361"/>
      </w:pPr>
      <w:rPr>
        <w:rFonts w:hint="default"/>
      </w:rPr>
    </w:lvl>
    <w:lvl w:ilvl="4">
      <w:start w:val="0"/>
      <w:numFmt w:val="bullet"/>
      <w:lvlText w:val="•"/>
      <w:lvlJc w:val="left"/>
      <w:pPr>
        <w:ind w:left="2025" w:hanging="361"/>
      </w:pPr>
      <w:rPr>
        <w:rFonts w:hint="default"/>
      </w:rPr>
    </w:lvl>
    <w:lvl w:ilvl="5">
      <w:start w:val="0"/>
      <w:numFmt w:val="bullet"/>
      <w:lvlText w:val="•"/>
      <w:lvlJc w:val="left"/>
      <w:pPr>
        <w:ind w:left="2391" w:hanging="361"/>
      </w:pPr>
      <w:rPr>
        <w:rFonts w:hint="default"/>
      </w:rPr>
    </w:lvl>
    <w:lvl w:ilvl="6">
      <w:start w:val="0"/>
      <w:numFmt w:val="bullet"/>
      <w:lvlText w:val="•"/>
      <w:lvlJc w:val="left"/>
      <w:pPr>
        <w:ind w:left="2757" w:hanging="361"/>
      </w:pPr>
      <w:rPr>
        <w:rFonts w:hint="default"/>
      </w:rPr>
    </w:lvl>
    <w:lvl w:ilvl="7">
      <w:start w:val="0"/>
      <w:numFmt w:val="bullet"/>
      <w:lvlText w:val="•"/>
      <w:lvlJc w:val="left"/>
      <w:pPr>
        <w:ind w:left="3124" w:hanging="361"/>
      </w:pPr>
      <w:rPr>
        <w:rFonts w:hint="default"/>
      </w:rPr>
    </w:lvl>
    <w:lvl w:ilvl="8">
      <w:start w:val="0"/>
      <w:numFmt w:val="bullet"/>
      <w:lvlText w:val="•"/>
      <w:lvlJc w:val="left"/>
      <w:pPr>
        <w:ind w:left="3490"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26" w:hanging="361"/>
      </w:pPr>
      <w:rPr>
        <w:rFonts w:hint="default"/>
      </w:rPr>
    </w:lvl>
    <w:lvl w:ilvl="2">
      <w:start w:val="0"/>
      <w:numFmt w:val="bullet"/>
      <w:lvlText w:val="•"/>
      <w:lvlJc w:val="left"/>
      <w:pPr>
        <w:ind w:left="1292" w:hanging="361"/>
      </w:pPr>
      <w:rPr>
        <w:rFonts w:hint="default"/>
      </w:rPr>
    </w:lvl>
    <w:lvl w:ilvl="3">
      <w:start w:val="0"/>
      <w:numFmt w:val="bullet"/>
      <w:lvlText w:val="•"/>
      <w:lvlJc w:val="left"/>
      <w:pPr>
        <w:ind w:left="1658" w:hanging="361"/>
      </w:pPr>
      <w:rPr>
        <w:rFonts w:hint="default"/>
      </w:rPr>
    </w:lvl>
    <w:lvl w:ilvl="4">
      <w:start w:val="0"/>
      <w:numFmt w:val="bullet"/>
      <w:lvlText w:val="•"/>
      <w:lvlJc w:val="left"/>
      <w:pPr>
        <w:ind w:left="2025" w:hanging="361"/>
      </w:pPr>
      <w:rPr>
        <w:rFonts w:hint="default"/>
      </w:rPr>
    </w:lvl>
    <w:lvl w:ilvl="5">
      <w:start w:val="0"/>
      <w:numFmt w:val="bullet"/>
      <w:lvlText w:val="•"/>
      <w:lvlJc w:val="left"/>
      <w:pPr>
        <w:ind w:left="2391" w:hanging="361"/>
      </w:pPr>
      <w:rPr>
        <w:rFonts w:hint="default"/>
      </w:rPr>
    </w:lvl>
    <w:lvl w:ilvl="6">
      <w:start w:val="0"/>
      <w:numFmt w:val="bullet"/>
      <w:lvlText w:val="•"/>
      <w:lvlJc w:val="left"/>
      <w:pPr>
        <w:ind w:left="2757" w:hanging="361"/>
      </w:pPr>
      <w:rPr>
        <w:rFonts w:hint="default"/>
      </w:rPr>
    </w:lvl>
    <w:lvl w:ilvl="7">
      <w:start w:val="0"/>
      <w:numFmt w:val="bullet"/>
      <w:lvlText w:val="•"/>
      <w:lvlJc w:val="left"/>
      <w:pPr>
        <w:ind w:left="3124" w:hanging="361"/>
      </w:pPr>
      <w:rPr>
        <w:rFonts w:hint="default"/>
      </w:rPr>
    </w:lvl>
    <w:lvl w:ilvl="8">
      <w:start w:val="0"/>
      <w:numFmt w:val="bullet"/>
      <w:lvlText w:val="•"/>
      <w:lvlJc w:val="left"/>
      <w:pPr>
        <w:ind w:left="3490" w:hanging="361"/>
      </w:pPr>
      <w:rPr>
        <w:rFonts w:hint="default"/>
      </w:rPr>
    </w:lvl>
  </w:abstractNum>
  <w:abstractNum w:abstractNumId="0">
    <w:multiLevelType w:val="hybridMultilevel"/>
    <w:lvl w:ilvl="0">
      <w:start w:val="0"/>
      <w:numFmt w:val="bullet"/>
      <w:lvlText w:val=""/>
      <w:lvlJc w:val="left"/>
      <w:pPr>
        <w:ind w:left="560" w:hanging="361"/>
      </w:pPr>
      <w:rPr>
        <w:rFonts w:hint="default" w:ascii="Symbol" w:hAnsi="Symbol" w:eastAsia="Symbol" w:cs="Symbol"/>
        <w:color w:val="3A3838"/>
        <w:w w:val="100"/>
        <w:sz w:val="24"/>
        <w:szCs w:val="24"/>
      </w:rPr>
    </w:lvl>
    <w:lvl w:ilvl="1">
      <w:start w:val="0"/>
      <w:numFmt w:val="bullet"/>
      <w:lvlText w:val="•"/>
      <w:lvlJc w:val="left"/>
      <w:pPr>
        <w:ind w:left="926" w:hanging="361"/>
      </w:pPr>
      <w:rPr>
        <w:rFonts w:hint="default"/>
      </w:rPr>
    </w:lvl>
    <w:lvl w:ilvl="2">
      <w:start w:val="0"/>
      <w:numFmt w:val="bullet"/>
      <w:lvlText w:val="•"/>
      <w:lvlJc w:val="left"/>
      <w:pPr>
        <w:ind w:left="1292" w:hanging="361"/>
      </w:pPr>
      <w:rPr>
        <w:rFonts w:hint="default"/>
      </w:rPr>
    </w:lvl>
    <w:lvl w:ilvl="3">
      <w:start w:val="0"/>
      <w:numFmt w:val="bullet"/>
      <w:lvlText w:val="•"/>
      <w:lvlJc w:val="left"/>
      <w:pPr>
        <w:ind w:left="1658" w:hanging="361"/>
      </w:pPr>
      <w:rPr>
        <w:rFonts w:hint="default"/>
      </w:rPr>
    </w:lvl>
    <w:lvl w:ilvl="4">
      <w:start w:val="0"/>
      <w:numFmt w:val="bullet"/>
      <w:lvlText w:val="•"/>
      <w:lvlJc w:val="left"/>
      <w:pPr>
        <w:ind w:left="2025" w:hanging="361"/>
      </w:pPr>
      <w:rPr>
        <w:rFonts w:hint="default"/>
      </w:rPr>
    </w:lvl>
    <w:lvl w:ilvl="5">
      <w:start w:val="0"/>
      <w:numFmt w:val="bullet"/>
      <w:lvlText w:val="•"/>
      <w:lvlJc w:val="left"/>
      <w:pPr>
        <w:ind w:left="2391" w:hanging="361"/>
      </w:pPr>
      <w:rPr>
        <w:rFonts w:hint="default"/>
      </w:rPr>
    </w:lvl>
    <w:lvl w:ilvl="6">
      <w:start w:val="0"/>
      <w:numFmt w:val="bullet"/>
      <w:lvlText w:val="•"/>
      <w:lvlJc w:val="left"/>
      <w:pPr>
        <w:ind w:left="2757" w:hanging="361"/>
      </w:pPr>
      <w:rPr>
        <w:rFonts w:hint="default"/>
      </w:rPr>
    </w:lvl>
    <w:lvl w:ilvl="7">
      <w:start w:val="0"/>
      <w:numFmt w:val="bullet"/>
      <w:lvlText w:val="•"/>
      <w:lvlJc w:val="left"/>
      <w:pPr>
        <w:ind w:left="3124" w:hanging="361"/>
      </w:pPr>
      <w:rPr>
        <w:rFonts w:hint="default"/>
      </w:rPr>
    </w:lvl>
    <w:lvl w:ilvl="8">
      <w:start w:val="0"/>
      <w:numFmt w:val="bullet"/>
      <w:lvlText w:val="•"/>
      <w:lvlJc w:val="left"/>
      <w:pPr>
        <w:ind w:left="3490" w:hanging="361"/>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573" w:right="1574"/>
      <w:jc w:val="center"/>
      <w:outlineLvl w:val="1"/>
    </w:pPr>
    <w:rPr>
      <w:rFonts w:ascii="Calibri" w:hAnsi="Calibri" w:eastAsia="Calibri" w:cs="Calibri"/>
      <w:sz w:val="96"/>
      <w:szCs w:val="96"/>
    </w:rPr>
  </w:style>
  <w:style w:styleId="Heading2" w:type="paragraph">
    <w:name w:val="Heading 2"/>
    <w:basedOn w:val="Normal"/>
    <w:uiPriority w:val="1"/>
    <w:qFormat/>
    <w:pPr>
      <w:spacing w:before="89"/>
      <w:ind w:left="1418"/>
      <w:outlineLvl w:val="2"/>
    </w:pPr>
    <w:rPr>
      <w:rFonts w:ascii="Arial" w:hAnsi="Arial" w:eastAsia="Arial" w:cs="Arial"/>
      <w:b/>
      <w:bCs/>
      <w:sz w:val="36"/>
      <w:szCs w:val="36"/>
    </w:rPr>
  </w:style>
  <w:style w:styleId="Heading3" w:type="paragraph">
    <w:name w:val="Heading 3"/>
    <w:basedOn w:val="Normal"/>
    <w:uiPriority w:val="1"/>
    <w:qFormat/>
    <w:pPr>
      <w:spacing w:before="74"/>
      <w:ind w:left="823"/>
      <w:jc w:val="center"/>
      <w:outlineLvl w:val="3"/>
    </w:pPr>
    <w:rPr>
      <w:rFonts w:ascii="Arial" w:hAnsi="Arial" w:eastAsia="Arial" w:cs="Arial"/>
      <w:b/>
      <w:bCs/>
      <w:sz w:val="28"/>
      <w:szCs w:val="28"/>
    </w:rPr>
  </w:style>
  <w:style w:styleId="Heading4" w:type="paragraph">
    <w:name w:val="Heading 4"/>
    <w:basedOn w:val="Normal"/>
    <w:uiPriority w:val="1"/>
    <w:qFormat/>
    <w:pPr>
      <w:ind w:left="1440"/>
      <w:outlineLvl w:val="4"/>
    </w:pPr>
    <w:rPr>
      <w:rFonts w:ascii="Arial" w:hAnsi="Arial" w:eastAsia="Arial" w:cs="Arial"/>
      <w:b/>
      <w:bCs/>
      <w:sz w:val="24"/>
      <w:szCs w:val="24"/>
    </w:rPr>
  </w:style>
  <w:style w:styleId="Heading5" w:type="paragraph">
    <w:name w:val="Heading 5"/>
    <w:basedOn w:val="Normal"/>
    <w:uiPriority w:val="1"/>
    <w:qFormat/>
    <w:pPr>
      <w:spacing w:before="6"/>
      <w:ind w:left="1563" w:right="1014"/>
      <w:jc w:val="center"/>
      <w:outlineLvl w:val="5"/>
    </w:pPr>
    <w:rPr>
      <w:rFonts w:ascii="Arial" w:hAnsi="Arial" w:eastAsia="Arial" w:cs="Arial"/>
      <w:sz w:val="24"/>
      <w:szCs w:val="24"/>
    </w:rPr>
  </w:style>
  <w:style w:styleId="Heading6" w:type="paragraph">
    <w:name w:val="Heading 6"/>
    <w:basedOn w:val="Normal"/>
    <w:uiPriority w:val="1"/>
    <w:qFormat/>
    <w:pPr>
      <w:spacing w:before="162"/>
      <w:ind w:left="1440"/>
      <w:jc w:val="both"/>
      <w:outlineLvl w:val="6"/>
    </w:pPr>
    <w:rPr>
      <w:rFonts w:ascii="Arial" w:hAnsi="Arial" w:eastAsia="Arial" w:cs="Arial"/>
      <w:b/>
      <w:bCs/>
      <w:i/>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hyperlink" Target="mailto:revistamedicasinergia@gmail.com" TargetMode="External"/><Relationship Id="rId26" Type="http://schemas.openxmlformats.org/officeDocument/2006/relationships/hyperlink" Target="mailto:Sociedaddemedicosdeamerica@hotmail.com" TargetMode="External"/><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hyperlink" Target="http://scielo.sld.cu/" TargetMode="Externa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3.xml"/><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header" Target="header4.xml"/><Relationship Id="rId48" Type="http://schemas.openxmlformats.org/officeDocument/2006/relationships/header" Target="header5.xml"/><Relationship Id="rId49" Type="http://schemas.openxmlformats.org/officeDocument/2006/relationships/footer" Target="footer5.xml"/><Relationship Id="rId50" Type="http://schemas.openxmlformats.org/officeDocument/2006/relationships/footer" Target="footer6.xml"/><Relationship Id="rId51" Type="http://schemas.openxmlformats.org/officeDocument/2006/relationships/header" Target="header6.xml"/><Relationship Id="rId52" Type="http://schemas.openxmlformats.org/officeDocument/2006/relationships/footer" Target="footer7.xml"/><Relationship Id="rId53" Type="http://schemas.openxmlformats.org/officeDocument/2006/relationships/footer" Target="footer8.xml"/><Relationship Id="rId54" Type="http://schemas.openxmlformats.org/officeDocument/2006/relationships/image" Target="media/image37.png"/><Relationship Id="rId55" Type="http://schemas.openxmlformats.org/officeDocument/2006/relationships/image" Target="media/image38.png"/><Relationship Id="rId56" Type="http://schemas.openxmlformats.org/officeDocument/2006/relationships/header" Target="header7.xml"/><Relationship Id="rId57" Type="http://schemas.openxmlformats.org/officeDocument/2006/relationships/header" Target="header8.xml"/><Relationship Id="rId58" Type="http://schemas.openxmlformats.org/officeDocument/2006/relationships/footer" Target="footer9.xml"/><Relationship Id="rId59" Type="http://schemas.openxmlformats.org/officeDocument/2006/relationships/footer" Target="footer10.xml"/><Relationship Id="rId60" Type="http://schemas.openxmlformats.org/officeDocument/2006/relationships/header" Target="header9.xml"/><Relationship Id="rId61" Type="http://schemas.openxmlformats.org/officeDocument/2006/relationships/image" Target="media/image39.png"/><Relationship Id="rId62" Type="http://schemas.openxmlformats.org/officeDocument/2006/relationships/image" Target="media/image40.png"/><Relationship Id="rId63" Type="http://schemas.openxmlformats.org/officeDocument/2006/relationships/hyperlink" Target="http://www.netdoctor.co.uk/conditions/eyes/a5329/foreign-body-in-the-eye/" TargetMode="External"/><Relationship Id="rId64" Type="http://schemas.openxmlformats.org/officeDocument/2006/relationships/header" Target="header10.xml"/><Relationship Id="rId65" Type="http://schemas.openxmlformats.org/officeDocument/2006/relationships/header" Target="header11.xml"/><Relationship Id="rId66" Type="http://schemas.openxmlformats.org/officeDocument/2006/relationships/footer" Target="footer11.xml"/><Relationship Id="rId67" Type="http://schemas.openxmlformats.org/officeDocument/2006/relationships/footer" Target="footer12.xml"/><Relationship Id="rId68" Type="http://schemas.openxmlformats.org/officeDocument/2006/relationships/header" Target="header12.xml"/><Relationship Id="rId69" Type="http://schemas.openxmlformats.org/officeDocument/2006/relationships/hyperlink" Target="http://www.icmje.org/" TargetMode="External"/><Relationship Id="rId70" Type="http://schemas.openxmlformats.org/officeDocument/2006/relationships/header" Target="header13.xml"/><Relationship Id="rId71" Type="http://schemas.openxmlformats.org/officeDocument/2006/relationships/hyperlink" Target="http://www.scielo.cl/scielo.php?script=sci_arttext&amp;amp;pid=S0370-41062013000400012&amp;amp;lng=es&amp;amp;tlng=es" TargetMode="External"/><Relationship Id="rId72" Type="http://schemas.openxmlformats.org/officeDocument/2006/relationships/header" Target="header14.xml"/><Relationship Id="rId73" Type="http://schemas.openxmlformats.org/officeDocument/2006/relationships/footer" Target="footer13.xml"/><Relationship Id="rId74" Type="http://schemas.openxmlformats.org/officeDocument/2006/relationships/header" Target="header15.xml"/><Relationship Id="rId75" Type="http://schemas.openxmlformats.org/officeDocument/2006/relationships/footer" Target="footer14.xml"/><Relationship Id="rId76" Type="http://schemas.openxmlformats.org/officeDocument/2006/relationships/image" Target="media/image41.png"/><Relationship Id="rId77" Type="http://schemas.openxmlformats.org/officeDocument/2006/relationships/image" Target="media/image42.jpeg"/><Relationship Id="rId78" Type="http://schemas.openxmlformats.org/officeDocument/2006/relationships/header" Target="header16.xml"/><Relationship Id="rId79" Type="http://schemas.openxmlformats.org/officeDocument/2006/relationships/footer" Target="footer15.xml"/><Relationship Id="rId80" Type="http://schemas.openxmlformats.org/officeDocument/2006/relationships/image" Target="media/image43.png"/><Relationship Id="rId81" Type="http://schemas.openxmlformats.org/officeDocument/2006/relationships/image" Target="media/image44.png"/><Relationship Id="rId8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0.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1.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1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13.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2.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3.xml.rels><?xml version="1.0" encoding="UTF-8" standalone="yes"?>
<Relationships xmlns="http://schemas.openxmlformats.org/package/2006/relationships"><Relationship Id="rId1" Type="http://schemas.openxmlformats.org/officeDocument/2006/relationships/image" Target="media/image34.png"/><Relationship Id="rId2" Type="http://schemas.openxmlformats.org/officeDocument/2006/relationships/image" Target="media/image29.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5.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7.xml.rels><?xml version="1.0" encoding="UTF-8" standalone="yes"?>
<Relationships xmlns="http://schemas.openxmlformats.org/package/2006/relationships"><Relationship Id="rId1" Type="http://schemas.openxmlformats.org/officeDocument/2006/relationships/image" Target="media/image30.png"/><Relationship Id="rId2" Type="http://schemas.openxmlformats.org/officeDocument/2006/relationships/image" Target="media/image29.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_rels/footer9.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2018-03-26T21:27:16Z</dcterms:created>
  <dcterms:modified xsi:type="dcterms:W3CDTF">2018-03-26T21:27:16Z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