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Default Extension="jpeg" ContentType="image/jpeg"/>
  <Override PartName="/word/header15.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31096"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8764"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292;height:368" type="#_x0000_t75" stroked="false">
              <v:imagedata r:id="rId13" o:title=""/>
            </v:shape>
            <v:shape style="position:absolute;left:7621;top:11985;width:1650;height:1665"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5"/>
        </w:rPr>
      </w:pPr>
    </w:p>
    <w:p>
      <w:pPr>
        <w:pStyle w:val="Heading2"/>
        <w:spacing w:before="89"/>
        <w:ind w:left="7910"/>
      </w:pPr>
      <w:r>
        <w:rPr>
          <w:color w:val="3A3838"/>
        </w:rPr>
        <w:t>ARTICULOS</w:t>
      </w:r>
    </w:p>
    <w:p>
      <w:pPr>
        <w:pStyle w:val="BodyText"/>
        <w:rPr>
          <w:b/>
          <w:sz w:val="20"/>
        </w:rPr>
      </w:pPr>
    </w:p>
    <w:p>
      <w:pPr>
        <w:pStyle w:val="BodyText"/>
        <w:rPr>
          <w:b/>
          <w:sz w:val="20"/>
        </w:rPr>
      </w:pPr>
    </w:p>
    <w:p>
      <w:pPr>
        <w:pStyle w:val="BodyText"/>
        <w:spacing w:before="6"/>
        <w:rPr>
          <w:b/>
          <w:sz w:val="24"/>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1"/>
      </w:tblGrid>
      <w:tr>
        <w:trPr>
          <w:trHeight w:val="1879" w:hRule="atLeast"/>
        </w:trPr>
        <w:tc>
          <w:tcPr>
            <w:tcW w:w="4121" w:type="dxa"/>
          </w:tcPr>
          <w:p>
            <w:pPr>
              <w:pStyle w:val="TableParagraph"/>
              <w:numPr>
                <w:ilvl w:val="0"/>
                <w:numId w:val="1"/>
              </w:numPr>
              <w:tabs>
                <w:tab w:pos="560" w:val="left" w:leader="none"/>
                <w:tab w:pos="561" w:val="left" w:leader="none"/>
              </w:tabs>
              <w:spacing w:line="273" w:lineRule="auto" w:before="0" w:after="0"/>
              <w:ind w:left="560" w:right="198" w:hanging="360"/>
              <w:jc w:val="left"/>
              <w:rPr>
                <w:sz w:val="24"/>
              </w:rPr>
            </w:pPr>
            <w:r>
              <w:rPr>
                <w:sz w:val="24"/>
              </w:rPr>
              <w:t>Enfermedad diarrieca aguda</w:t>
            </w:r>
            <w:r>
              <w:rPr>
                <w:spacing w:val="-13"/>
                <w:sz w:val="24"/>
              </w:rPr>
              <w:t> </w:t>
            </w:r>
            <w:r>
              <w:rPr>
                <w:sz w:val="24"/>
              </w:rPr>
              <w:t>en pediatría</w:t>
            </w:r>
          </w:p>
          <w:p>
            <w:pPr>
              <w:pStyle w:val="TableParagraph"/>
              <w:rPr>
                <w:b/>
                <w:sz w:val="26"/>
              </w:rPr>
            </w:pPr>
          </w:p>
          <w:p>
            <w:pPr>
              <w:pStyle w:val="TableParagraph"/>
              <w:spacing w:before="6"/>
              <w:rPr>
                <w:b/>
                <w:sz w:val="29"/>
              </w:rPr>
            </w:pPr>
          </w:p>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Esófago de</w:t>
            </w:r>
            <w:r>
              <w:rPr>
                <w:spacing w:val="-3"/>
                <w:sz w:val="24"/>
              </w:rPr>
              <w:t> </w:t>
            </w:r>
            <w:r>
              <w:rPr>
                <w:sz w:val="24"/>
              </w:rPr>
              <w:t>barrett</w:t>
            </w:r>
          </w:p>
        </w:tc>
      </w:tr>
      <w:tr>
        <w:trPr>
          <w:trHeight w:val="591" w:hRule="atLeast"/>
        </w:trPr>
        <w:tc>
          <w:tcPr>
            <w:tcW w:w="4121" w:type="dxa"/>
          </w:tcPr>
          <w:p>
            <w:pPr>
              <w:pStyle w:val="TableParagraph"/>
              <w:spacing w:before="9"/>
              <w:rPr>
                <w:b/>
                <w:sz w:val="25"/>
              </w:rPr>
            </w:pPr>
          </w:p>
          <w:p>
            <w:pPr>
              <w:pStyle w:val="TableParagraph"/>
              <w:numPr>
                <w:ilvl w:val="0"/>
                <w:numId w:val="2"/>
              </w:numPr>
              <w:tabs>
                <w:tab w:pos="560" w:val="left" w:leader="none"/>
                <w:tab w:pos="561" w:val="left" w:leader="none"/>
              </w:tabs>
              <w:spacing w:line="274" w:lineRule="exact" w:before="0" w:after="0"/>
              <w:ind w:left="560" w:right="0" w:hanging="360"/>
              <w:jc w:val="left"/>
              <w:rPr>
                <w:sz w:val="24"/>
              </w:rPr>
            </w:pPr>
            <w:r>
              <w:rPr>
                <w:sz w:val="24"/>
              </w:rPr>
              <w:t>Estenosis hipertrófica del</w:t>
            </w:r>
            <w:r>
              <w:rPr>
                <w:spacing w:val="-10"/>
                <w:sz w:val="24"/>
              </w:rPr>
              <w:t> </w:t>
            </w:r>
            <w:r>
              <w:rPr>
                <w:sz w:val="24"/>
              </w:rPr>
              <w:t>píloro</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79"/>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853" w:val="left" w:leader="none"/>
          <w:tab w:pos="5365" w:val="left" w:leader="none"/>
          <w:tab w:pos="8154" w:val="left" w:leader="none"/>
          <w:tab w:pos="9334" w:val="left" w:leader="none"/>
        </w:tabs>
        <w:spacing w:before="35"/>
        <w:ind w:left="648" w:right="0" w:firstLine="0"/>
        <w:jc w:val="left"/>
        <w:rPr>
          <w:rFonts w:ascii="Calibri" w:hAnsi="Calibri"/>
          <w:b/>
          <w:sz w:val="32"/>
        </w:rPr>
      </w:pPr>
      <w:r>
        <w:rPr>
          <w:rFonts w:ascii="Calibri" w:hAnsi="Calibri"/>
          <w:b/>
          <w:color w:val="FFFFFF"/>
          <w:spacing w:val="6"/>
          <w:sz w:val="32"/>
        </w:rPr>
        <w:t>AGOSTO</w:t>
      </w:r>
      <w:r>
        <w:rPr>
          <w:rFonts w:ascii="Calibri" w:hAnsi="Calibri"/>
          <w:b/>
          <w:color w:val="FFFFFF"/>
          <w:spacing w:val="16"/>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0"/>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3"/>
          <w:sz w:val="32"/>
        </w:rPr>
        <w:t> </w:t>
      </w:r>
      <w:r>
        <w:rPr>
          <w:rFonts w:ascii="Calibri" w:hAnsi="Calibri"/>
          <w:b/>
          <w:color w:val="FFFFFF"/>
          <w:sz w:val="32"/>
        </w:rPr>
        <w:t>8</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404575">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7" o:title=""/>
            </v:shape>
            <v:shape style="position:absolute;left:289;top:213;width:4081;height:366" type="#_x0000_t75" stroked="false">
              <v:imagedata r:id="rId28" o:title=""/>
            </v:shape>
            <v:shape style="position:absolute;left:892;top:856;width:3284;height:976" type="#_x0000_t75" stroked="false">
              <v:imagedata r:id="rId29" o:title=""/>
            </v:shape>
            <v:shape style="position:absolute;left:1164;top:1069;width:2322;height:366" type="#_x0000_t75" stroked="false">
              <v:imagedata r:id="rId30" o:title=""/>
            </v:shape>
            <v:shape style="position:absolute;left:2048;top:1632;width:832;height:976" type="#_x0000_t75" stroked="false">
              <v:imagedata r:id="rId31"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6.png" descr=""/>
            <wp:cNvGraphicFramePr>
              <a:graphicFrameLocks noChangeAspect="1"/>
            </wp:cNvGraphicFramePr>
            <a:graphic>
              <a:graphicData uri="http://schemas.openxmlformats.org/drawingml/2006/picture">
                <pic:pic>
                  <pic:nvPicPr>
                    <pic:cNvPr id="4" name="image26.png"/>
                    <pic:cNvPicPr/>
                  </pic:nvPicPr>
                  <pic:blipFill>
                    <a:blip r:embed="rId32"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673" w:val="left" w:leader="none"/>
          <w:tab w:pos="6025" w:val="left" w:leader="none"/>
        </w:tabs>
        <w:spacing w:line="259" w:lineRule="auto" w:before="0"/>
        <w:ind w:left="4609" w:right="4603" w:firstLine="0"/>
        <w:jc w:val="center"/>
        <w:rPr>
          <w:sz w:val="18"/>
        </w:rPr>
      </w:pPr>
      <w:r>
        <w:rPr>
          <w:sz w:val="18"/>
        </w:rPr>
        <w:t>Fecha de publicación: AGOSTO</w:t>
      </w:r>
      <w:r>
        <w:rPr>
          <w:spacing w:val="-7"/>
          <w:sz w:val="18"/>
        </w:rPr>
        <w:t> </w:t>
      </w:r>
      <w:r>
        <w:rPr>
          <w:sz w:val="18"/>
        </w:rPr>
        <w:t>2016 Volumen:1</w:t>
        <w:tab/>
        <w:t>–</w:t>
        <w:tab/>
        <w:t>Numero:8</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608" w:right="4603"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4">
        <w:r>
          <w:rPr>
            <w:sz w:val="18"/>
          </w:rPr>
          <w:t>revistamedicasinergia@gmail.com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drawing>
          <wp:anchor distT="0" distB="0" distL="0" distR="0" allowOverlap="1" layoutInCell="1" locked="0" behindDoc="0" simplePos="0" relativeHeight="1312">
            <wp:simplePos x="0" y="0"/>
            <wp:positionH relativeFrom="page">
              <wp:posOffset>3721100</wp:posOffset>
            </wp:positionH>
            <wp:positionV relativeFrom="paragraph">
              <wp:posOffset>177186</wp:posOffset>
            </wp:positionV>
            <wp:extent cx="519009" cy="608838"/>
            <wp:effectExtent l="0" t="0" r="0" b="0"/>
            <wp:wrapTopAndBottom/>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1" cstate="print"/>
                    <a:stretch>
                      <a:fillRect/>
                    </a:stretch>
                  </pic:blipFill>
                  <pic:spPr>
                    <a:xfrm>
                      <a:off x="0" y="0"/>
                      <a:ext cx="519009" cy="608838"/>
                    </a:xfrm>
                    <a:prstGeom prst="rect">
                      <a:avLst/>
                    </a:prstGeom>
                  </pic:spPr>
                </pic:pic>
              </a:graphicData>
            </a:graphic>
          </wp:anchor>
        </w:drawing>
      </w:r>
    </w:p>
    <w:p>
      <w:pPr>
        <w:spacing w:after="0"/>
        <w:rPr>
          <w:sz w:val="20"/>
        </w:rPr>
        <w:sectPr>
          <w:pgSz w:w="12240" w:h="15840"/>
          <w:pgMar w:top="1500" w:bottom="280" w:left="0" w:right="0"/>
        </w:sectPr>
      </w:pPr>
    </w:p>
    <w:p>
      <w:pPr>
        <w:pStyle w:val="Heading2"/>
        <w:ind w:right="1732"/>
        <w:jc w:val="center"/>
      </w:pPr>
      <w:r>
        <w:rPr/>
        <w:drawing>
          <wp:anchor distT="0" distB="0" distL="0" distR="0" allowOverlap="1" layoutInCell="1" locked="0" behindDoc="1" simplePos="0" relativeHeight="268404671">
            <wp:simplePos x="0" y="0"/>
            <wp:positionH relativeFrom="page">
              <wp:posOffset>-3175</wp:posOffset>
            </wp:positionH>
            <wp:positionV relativeFrom="paragraph">
              <wp:posOffset>-3634</wp:posOffset>
            </wp:positionV>
            <wp:extent cx="7755255" cy="485775"/>
            <wp:effectExtent l="0" t="0" r="0" b="0"/>
            <wp:wrapNone/>
            <wp:docPr id="15" name="image30.png" descr=""/>
            <wp:cNvGraphicFramePr>
              <a:graphicFrameLocks noChangeAspect="1"/>
            </wp:cNvGraphicFramePr>
            <a:graphic>
              <a:graphicData uri="http://schemas.openxmlformats.org/drawingml/2006/picture">
                <pic:pic>
                  <pic:nvPicPr>
                    <pic:cNvPr id="16" name="image30.png"/>
                    <pic:cNvPicPr/>
                  </pic:nvPicPr>
                  <pic:blipFill>
                    <a:blip r:embed="rId35" cstate="print"/>
                    <a:stretch>
                      <a:fillRect/>
                    </a:stretch>
                  </pic:blipFill>
                  <pic:spPr>
                    <a:xfrm>
                      <a:off x="0" y="0"/>
                      <a:ext cx="7755255"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BodyText"/>
        <w:spacing w:before="1"/>
        <w:ind w:left="1440"/>
      </w:pPr>
      <w:r>
        <w:rPr/>
        <w:t>Shary Abadía Guerrero</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pPr>
    </w:p>
    <w:p>
      <w:pPr>
        <w:pStyle w:val="BodyText"/>
        <w:ind w:left="1440"/>
      </w:pPr>
      <w:r>
        <w:rPr/>
        <w:t>Daniel Mondragón Bustos</w:t>
      </w:r>
    </w:p>
    <w:p>
      <w:pPr>
        <w:pStyle w:val="BodyText"/>
        <w:spacing w:before="126"/>
        <w:ind w:left="1440"/>
      </w:pPr>
      <w:r>
        <w:rPr/>
        <w:t>Médico General. Universidad de Ciencias Médicas.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19"/>
        </w:rPr>
      </w:pPr>
    </w:p>
    <w:p>
      <w:pPr>
        <w:pStyle w:val="BodyText"/>
        <w:ind w:left="1440"/>
      </w:pPr>
      <w:r>
        <w:rPr/>
        <w:t>Nohelia Zeledón Rojas</w:t>
      </w:r>
    </w:p>
    <w:p>
      <w:pPr>
        <w:pStyle w:val="BodyText"/>
        <w:spacing w:before="127"/>
        <w:ind w:left="1440"/>
      </w:pPr>
      <w:r>
        <w:rPr/>
        <w:t>Médico General. Universidad de Ciencias Médicas.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line="259"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3"/>
          <w:footerReference w:type="default" r:id="rId34"/>
          <w:pgSz w:w="12240" w:h="15840"/>
          <w:pgMar w:footer="872" w:header="0" w:top="1320" w:bottom="1060" w:left="0" w:right="0"/>
          <w:pgNumType w:start="2"/>
        </w:sectPr>
      </w:pPr>
    </w:p>
    <w:p>
      <w:pPr>
        <w:pStyle w:val="BodyText"/>
        <w:rPr>
          <w:sz w:val="18"/>
        </w:rPr>
      </w:pPr>
    </w:p>
    <w:p>
      <w:pPr>
        <w:pStyle w:val="BodyText"/>
        <w:spacing w:before="6"/>
        <w:rPr>
          <w:sz w:val="14"/>
        </w:rPr>
      </w:pPr>
    </w:p>
    <w:p>
      <w:pPr>
        <w:spacing w:line="400" w:lineRule="atLeast" w:before="0"/>
        <w:ind w:left="1660" w:right="0" w:firstLine="0"/>
        <w:jc w:val="center"/>
        <w:rPr>
          <w:sz w:val="16"/>
        </w:rPr>
      </w:pPr>
      <w:r>
        <w:rPr>
          <w:sz w:val="16"/>
        </w:rPr>
        <w:t>Revista Médica</w:t>
      </w:r>
      <w:r>
        <w:rPr>
          <w:spacing w:val="-15"/>
          <w:sz w:val="16"/>
        </w:rPr>
        <w:t> </w:t>
      </w:r>
      <w:r>
        <w:rPr>
          <w:sz w:val="16"/>
        </w:rPr>
        <w:t>Sinergia ISSN</w:t>
      </w:r>
      <w:r>
        <w:rPr>
          <w:spacing w:val="-1"/>
          <w:sz w:val="16"/>
        </w:rPr>
        <w:t> </w:t>
      </w:r>
      <w:r>
        <w:rPr>
          <w:sz w:val="16"/>
        </w:rPr>
        <w:t>2215-4523</w:t>
      </w:r>
    </w:p>
    <w:p>
      <w:pPr>
        <w:spacing w:before="11"/>
        <w:ind w:left="1663" w:right="0" w:firstLine="0"/>
        <w:jc w:val="center"/>
        <w:rPr>
          <w:sz w:val="16"/>
        </w:rPr>
      </w:pPr>
      <w:r>
        <w:rPr>
          <w:sz w:val="16"/>
        </w:rPr>
        <w:t>Vol.1 Num: 8</w:t>
      </w:r>
    </w:p>
    <w:p>
      <w:pPr>
        <w:spacing w:before="15"/>
        <w:ind w:left="1664" w:right="0" w:firstLine="0"/>
        <w:jc w:val="center"/>
        <w:rPr>
          <w:sz w:val="16"/>
        </w:rPr>
      </w:pPr>
      <w:r>
        <w:rPr>
          <w:sz w:val="16"/>
        </w:rPr>
        <w:t>Agosto 2016 pp:3-6</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86"/>
        <w:ind w:left="302"/>
      </w:pPr>
      <w:r>
        <w:rPr/>
        <w:t>RESUMEN</w:t>
      </w:r>
    </w:p>
    <w:p>
      <w:pPr>
        <w:pStyle w:val="Heading3"/>
        <w:spacing w:line="259" w:lineRule="auto"/>
        <w:ind w:left="1920" w:right="625" w:hanging="1841"/>
      </w:pPr>
      <w:r>
        <w:rPr>
          <w:b w:val="0"/>
        </w:rPr>
        <w:br w:type="column"/>
      </w:r>
      <w:r>
        <w:rPr/>
        <w:t>ENFERMEDAD DIARREICA AGUDA EN PEDIATRIA</w:t>
      </w:r>
    </w:p>
    <w:p>
      <w:pPr>
        <w:spacing w:before="6"/>
        <w:ind w:left="147" w:right="0" w:firstLine="0"/>
        <w:jc w:val="left"/>
        <w:rPr>
          <w:sz w:val="24"/>
        </w:rPr>
      </w:pPr>
      <w:r>
        <w:rPr/>
        <w:pict>
          <v:group style="position:absolute;margin-left:73.800003pt;margin-top:-8.474170pt;width:465.45pt;height:340.6pt;mso-position-horizontal-relative:page;mso-position-vertical-relative:paragraph;z-index:-30760" coordorigin="1476,-169" coordsize="9309,6812">
            <v:shape style="position:absolute;left:3570;top:717;width:7215;height:5925" type="#_x0000_t75" stroked="false">
              <v:imagedata r:id="rId36" o:title=""/>
            </v:shape>
            <v:shape style="position:absolute;left:1476;top:-170;width:2088;height:6812" type="#_x0000_t75" stroked="false">
              <v:imagedata r:id="rId37" o:title=""/>
            </v:shape>
            <w10:wrap type="none"/>
          </v:group>
        </w:pict>
      </w:r>
      <w:r>
        <w:rPr>
          <w:sz w:val="24"/>
        </w:rPr>
        <w:t>(</w:t>
      </w:r>
      <w:hyperlink r:id="rId38">
        <w:r>
          <w:rPr>
            <w:sz w:val="20"/>
          </w:rPr>
          <w:t>ACUTE INFECTIOUS DIARRHEA IN CHILDREN</w:t>
        </w:r>
      </w:hyperlink>
      <w:r>
        <w:rPr>
          <w:sz w:val="24"/>
        </w:rPr>
        <w:t>)</w:t>
      </w:r>
    </w:p>
    <w:p>
      <w:pPr>
        <w:pStyle w:val="BodyText"/>
        <w:spacing w:before="38"/>
        <w:ind w:left="3516"/>
      </w:pPr>
      <w:r>
        <w:rPr/>
        <w:t>* Shary Abadía Guerrero</w:t>
      </w:r>
    </w:p>
    <w:p>
      <w:pPr>
        <w:spacing w:after="0"/>
        <w:sectPr>
          <w:pgSz w:w="12240" w:h="15840"/>
          <w:pgMar w:header="0" w:footer="882" w:top="1360" w:bottom="1080" w:left="0" w:right="0"/>
          <w:cols w:num="3" w:equalWidth="0">
            <w:col w:w="3379" w:space="40"/>
            <w:col w:w="1408" w:space="39"/>
            <w:col w:w="7374"/>
          </w:cols>
        </w:sectPr>
      </w:pPr>
    </w:p>
    <w:p>
      <w:pPr>
        <w:pStyle w:val="BodyText"/>
        <w:spacing w:line="276" w:lineRule="auto"/>
        <w:ind w:left="3721" w:right="1588"/>
        <w:jc w:val="both"/>
      </w:pPr>
      <w:r>
        <w:rPr/>
        <w:t>La diarrea aguda en </w:t>
      </w:r>
      <w:r>
        <w:rPr>
          <w:spacing w:val="-3"/>
        </w:rPr>
        <w:t>la </w:t>
      </w:r>
      <w:r>
        <w:rPr/>
        <w:t>población pediátrica es un ítem a considerar por </w:t>
      </w:r>
      <w:r>
        <w:rPr>
          <w:spacing w:val="-3"/>
        </w:rPr>
        <w:t>lo </w:t>
      </w:r>
      <w:r>
        <w:rPr/>
        <w:t>variada que puede ser su evolución, es una de las patologías más frecuentes de consulta y puede llegar a ser potencialmente grave. El examen físico es primordial, ningún examen complementario puede reemplazar </w:t>
      </w:r>
      <w:r>
        <w:rPr>
          <w:spacing w:val="-3"/>
        </w:rPr>
        <w:t>la </w:t>
      </w:r>
      <w:r>
        <w:rPr/>
        <w:t>exploración del médico, sin embargo puede ser una herramienta de apoyo</w:t>
      </w:r>
      <w:r>
        <w:rPr>
          <w:spacing w:val="-1"/>
        </w:rPr>
        <w:t> </w:t>
      </w:r>
      <w:r>
        <w:rPr/>
        <w:t>diagnóstico.</w:t>
      </w:r>
    </w:p>
    <w:p>
      <w:pPr>
        <w:pStyle w:val="BodyText"/>
        <w:spacing w:before="8"/>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1"/>
        </w:rPr>
      </w:pPr>
    </w:p>
    <w:p>
      <w:pPr>
        <w:spacing w:line="278" w:lineRule="auto" w:before="0"/>
        <w:ind w:left="1476" w:right="-18" w:firstLine="0"/>
        <w:jc w:val="left"/>
        <w:rPr>
          <w:sz w:val="16"/>
        </w:rPr>
      </w:pPr>
      <w:r>
        <w:rPr>
          <w:sz w:val="16"/>
        </w:rPr>
        <w:t>*Médico General. Universidad de Ciencia Médica (UCIMED) . San José - Costa Rica</w:t>
      </w:r>
    </w:p>
    <w:p>
      <w:pPr>
        <w:pStyle w:val="BodyText"/>
        <w:spacing w:before="93"/>
        <w:ind w:left="487"/>
      </w:pPr>
      <w:r>
        <w:rPr/>
        <w:br w:type="column"/>
      </w:r>
      <w:r>
        <w:rPr/>
        <w:t>DESCRIPTORES</w:t>
      </w:r>
    </w:p>
    <w:p>
      <w:pPr>
        <w:pStyle w:val="BodyText"/>
        <w:spacing w:before="39"/>
        <w:ind w:left="487"/>
      </w:pPr>
      <w:r>
        <w:rPr/>
        <w:t>Pediatría, enfermedad aguda, infección, rehidratación.</w:t>
      </w:r>
    </w:p>
    <w:p>
      <w:pPr>
        <w:pStyle w:val="BodyText"/>
        <w:spacing w:before="5"/>
        <w:rPr>
          <w:sz w:val="20"/>
        </w:rPr>
      </w:pPr>
    </w:p>
    <w:p>
      <w:pPr>
        <w:pStyle w:val="BodyText"/>
        <w:ind w:left="487"/>
      </w:pPr>
      <w:r>
        <w:rPr/>
        <w:t>SUMMARY:</w:t>
      </w:r>
    </w:p>
    <w:p>
      <w:pPr>
        <w:pStyle w:val="BodyText"/>
        <w:spacing w:line="276" w:lineRule="auto" w:before="38"/>
        <w:ind w:left="487" w:right="1740"/>
      </w:pPr>
      <w:r>
        <w:rPr/>
        <w:t>Acute diarrhea </w:t>
      </w:r>
      <w:r>
        <w:rPr>
          <w:spacing w:val="-3"/>
        </w:rPr>
        <w:t>in </w:t>
      </w:r>
      <w:r>
        <w:rPr/>
        <w:t>pediatric population has a varied evolution may be, it </w:t>
      </w:r>
      <w:r>
        <w:rPr>
          <w:spacing w:val="-3"/>
        </w:rPr>
        <w:t>is </w:t>
      </w:r>
      <w:r>
        <w:rPr/>
        <w:t>one of the most frequent pathologies for pediatrics</w:t>
      </w:r>
      <w:r>
        <w:rPr>
          <w:spacing w:val="-17"/>
        </w:rPr>
        <w:t> </w:t>
      </w:r>
      <w:r>
        <w:rPr/>
        <w:t>consultation.</w:t>
      </w:r>
    </w:p>
    <w:p>
      <w:pPr>
        <w:pStyle w:val="BodyText"/>
        <w:spacing w:line="276" w:lineRule="auto" w:before="2"/>
        <w:ind w:left="487" w:right="1645"/>
      </w:pPr>
      <w:r>
        <w:rPr/>
        <w:t>The physical examination is paramount, no complementary examination can replace the doctor's examination, however it can be a diagnostic support tool.</w:t>
      </w:r>
    </w:p>
    <w:p>
      <w:pPr>
        <w:pStyle w:val="BodyText"/>
        <w:spacing w:before="2"/>
        <w:rPr>
          <w:sz w:val="25"/>
        </w:rPr>
      </w:pPr>
    </w:p>
    <w:p>
      <w:pPr>
        <w:pStyle w:val="BodyText"/>
        <w:ind w:left="487"/>
      </w:pPr>
      <w:r>
        <w:rPr/>
        <w:t>KEYWORDS</w:t>
      </w:r>
    </w:p>
    <w:p>
      <w:pPr>
        <w:pStyle w:val="BodyText"/>
        <w:spacing w:before="38"/>
        <w:ind w:left="487"/>
      </w:pPr>
      <w:r>
        <w:rPr/>
        <w:t>Pediatrics, acute illness, infection, rehydration.</w:t>
      </w:r>
    </w:p>
    <w:p>
      <w:pPr>
        <w:spacing w:after="0"/>
        <w:sectPr>
          <w:type w:val="continuous"/>
          <w:pgSz w:w="12240" w:h="15840"/>
          <w:pgMar w:top="1500" w:bottom="0" w:left="0" w:right="0"/>
          <w:cols w:num="2" w:equalWidth="0">
            <w:col w:w="3194" w:space="40"/>
            <w:col w:w="9006"/>
          </w:cols>
        </w:sectPr>
      </w:pPr>
    </w:p>
    <w:p>
      <w:pPr>
        <w:pStyle w:val="BodyText"/>
        <w:spacing w:before="6"/>
        <w:rPr>
          <w:sz w:val="16"/>
        </w:rPr>
      </w:pPr>
    </w:p>
    <w:p>
      <w:pPr>
        <w:spacing w:after="0"/>
        <w:rPr>
          <w:sz w:val="16"/>
        </w:rPr>
        <w:sectPr>
          <w:type w:val="continuous"/>
          <w:pgSz w:w="12240" w:h="15840"/>
          <w:pgMar w:top="1500" w:bottom="0" w:left="0" w:right="0"/>
        </w:sectPr>
      </w:pPr>
    </w:p>
    <w:p>
      <w:pPr>
        <w:pStyle w:val="BodyText"/>
        <w:spacing w:before="8"/>
        <w:rPr>
          <w:sz w:val="29"/>
        </w:rPr>
      </w:pPr>
    </w:p>
    <w:p>
      <w:pPr>
        <w:pStyle w:val="Heading4"/>
      </w:pPr>
      <w:r>
        <w:rPr/>
        <w:t>INTRODUCCION</w:t>
      </w:r>
    </w:p>
    <w:p>
      <w:pPr>
        <w:pStyle w:val="BodyText"/>
        <w:spacing w:before="6"/>
        <w:rPr>
          <w:b/>
          <w:sz w:val="24"/>
        </w:rPr>
      </w:pPr>
    </w:p>
    <w:p>
      <w:pPr>
        <w:pStyle w:val="BodyText"/>
        <w:spacing w:line="276" w:lineRule="auto"/>
        <w:ind w:left="1440"/>
        <w:jc w:val="both"/>
      </w:pPr>
      <w:r>
        <w:rPr/>
        <w:t>Habitualmente se trata de un cuadro autolimitado que no requiere estudios de laboratorio específicos y cuyo manejo debe basarse en </w:t>
      </w:r>
      <w:r>
        <w:rPr>
          <w:spacing w:val="-3"/>
        </w:rPr>
        <w:t>la </w:t>
      </w:r>
      <w:r>
        <w:rPr/>
        <w:t>reposición hidroelectrolítica oral o intravenosa, dependiendo del grado de deshidratación. Ante una diarrea persistente debe investigarse el riesgo de paso a </w:t>
      </w:r>
      <w:r>
        <w:rPr>
          <w:spacing w:val="-3"/>
        </w:rPr>
        <w:t>la </w:t>
      </w:r>
      <w:r>
        <w:rPr/>
        <w:t>cronicidad, pues es una de las principales causas de desnutrición que debe prevenirse de manera</w:t>
      </w:r>
      <w:r>
        <w:rPr>
          <w:spacing w:val="-8"/>
        </w:rPr>
        <w:t> </w:t>
      </w:r>
      <w:r>
        <w:rPr/>
        <w:t>oportuna.</w:t>
      </w:r>
    </w:p>
    <w:p>
      <w:pPr>
        <w:pStyle w:val="BodyText"/>
        <w:spacing w:before="5"/>
        <w:rPr>
          <w:sz w:val="27"/>
        </w:rPr>
      </w:pPr>
    </w:p>
    <w:p>
      <w:pPr>
        <w:pStyle w:val="Heading4"/>
        <w:spacing w:line="276" w:lineRule="auto"/>
        <w:ind w:right="83"/>
        <w:jc w:val="both"/>
      </w:pPr>
      <w:r>
        <w:rPr/>
        <w:t>IMPACTO DE </w:t>
      </w:r>
      <w:r>
        <w:rPr>
          <w:spacing w:val="1"/>
        </w:rPr>
        <w:t>LA</w:t>
      </w:r>
      <w:r>
        <w:rPr>
          <w:spacing w:val="-21"/>
        </w:rPr>
        <w:t> </w:t>
      </w:r>
      <w:r>
        <w:rPr/>
        <w:t>GASTROENTERITIS AGUDA A NIVEL</w:t>
      </w:r>
      <w:r>
        <w:rPr>
          <w:spacing w:val="-7"/>
        </w:rPr>
        <w:t> </w:t>
      </w:r>
      <w:r>
        <w:rPr/>
        <w:t>MUNDIAL</w:t>
      </w:r>
    </w:p>
    <w:p>
      <w:pPr>
        <w:pStyle w:val="BodyText"/>
        <w:spacing w:line="276" w:lineRule="auto" w:before="2"/>
        <w:ind w:left="1440"/>
        <w:jc w:val="both"/>
      </w:pPr>
      <w:r>
        <w:rPr/>
        <w:t>En los últimos 30 años se ha observado una disminución en </w:t>
      </w:r>
      <w:r>
        <w:rPr>
          <w:spacing w:val="-3"/>
        </w:rPr>
        <w:t>la </w:t>
      </w:r>
      <w:r>
        <w:rPr/>
        <w:t>mortalidad por gastroenteritis aguda infecciosa,</w:t>
      </w:r>
      <w:r>
        <w:rPr>
          <w:spacing w:val="55"/>
        </w:rPr>
        <w:t> </w:t>
      </w:r>
      <w:r>
        <w:rPr/>
        <w:t>esto</w:t>
      </w:r>
    </w:p>
    <w:p>
      <w:pPr>
        <w:pStyle w:val="BodyText"/>
        <w:spacing w:line="276" w:lineRule="auto" w:before="93"/>
        <w:ind w:left="679" w:right="1431"/>
        <w:jc w:val="both"/>
      </w:pPr>
      <w:r>
        <w:rPr/>
        <w:br w:type="column"/>
      </w:r>
      <w:r>
        <w:rPr/>
        <w:t>debido a las grandes mejorías en las condiciones sanitarias, nutricionales y guías de tratamiento enfocadas en la rehidratación, sin embargo en la actualidad sigue siendo una causa importante de morbilidad. Las poblaciones más afectadas son los extremos de la vida, con 1700 millones de episodios por año y 700 mil muertes en menores de cinco años a nivel mundial. En mayores de cinco años el impacto está en el ausentismo escolar y la disminución de la funcionalidad transitoria.</w:t>
      </w:r>
    </w:p>
    <w:p>
      <w:pPr>
        <w:pStyle w:val="BodyText"/>
        <w:spacing w:before="9"/>
        <w:rPr>
          <w:sz w:val="35"/>
        </w:rPr>
      </w:pPr>
    </w:p>
    <w:p>
      <w:pPr>
        <w:pStyle w:val="Heading4"/>
        <w:ind w:left="679"/>
      </w:pPr>
      <w:r>
        <w:rPr/>
        <w:t>FISIOPATOLOGÍA</w:t>
      </w:r>
    </w:p>
    <w:p>
      <w:pPr>
        <w:pStyle w:val="BodyText"/>
        <w:spacing w:line="276" w:lineRule="auto" w:before="142"/>
        <w:ind w:left="679" w:right="1435"/>
        <w:jc w:val="both"/>
      </w:pPr>
      <w:r>
        <w:rPr/>
        <w:t>La gastroenteritis aguda se define como una disminución de </w:t>
      </w:r>
      <w:r>
        <w:rPr>
          <w:spacing w:val="-3"/>
        </w:rPr>
        <w:t>la </w:t>
      </w:r>
      <w:r>
        <w:rPr/>
        <w:t>consistencia de las heces acompañado por un aumento en su frecuencia</w:t>
      </w:r>
      <w:r>
        <w:rPr>
          <w:spacing w:val="20"/>
        </w:rPr>
        <w:t> </w:t>
      </w:r>
      <w:r>
        <w:rPr/>
        <w:t>(mayor</w:t>
      </w:r>
      <w:r>
        <w:rPr>
          <w:spacing w:val="17"/>
        </w:rPr>
        <w:t> </w:t>
      </w:r>
      <w:r>
        <w:rPr/>
        <w:t>o</w:t>
      </w:r>
      <w:r>
        <w:rPr>
          <w:spacing w:val="20"/>
        </w:rPr>
        <w:t> </w:t>
      </w:r>
      <w:r>
        <w:rPr/>
        <w:t>igual</w:t>
      </w:r>
      <w:r>
        <w:rPr>
          <w:spacing w:val="13"/>
        </w:rPr>
        <w:t> </w:t>
      </w:r>
      <w:r>
        <w:rPr/>
        <w:t>a</w:t>
      </w:r>
      <w:r>
        <w:rPr>
          <w:spacing w:val="20"/>
        </w:rPr>
        <w:t> </w:t>
      </w:r>
      <w:r>
        <w:rPr/>
        <w:t>3</w:t>
      </w:r>
      <w:r>
        <w:rPr>
          <w:spacing w:val="20"/>
        </w:rPr>
        <w:t> </w:t>
      </w:r>
      <w:r>
        <w:rPr/>
        <w:t>deposiciones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even" r:id="rId39"/>
          <w:pgSz w:w="12240" w:h="15840"/>
          <w:pgMar w:header="723" w:footer="872" w:top="940" w:bottom="1060" w:left="0" w:right="0"/>
        </w:sectPr>
      </w:pPr>
    </w:p>
    <w:p>
      <w:pPr>
        <w:pStyle w:val="BodyText"/>
        <w:spacing w:before="8"/>
      </w:pPr>
    </w:p>
    <w:p>
      <w:pPr>
        <w:pStyle w:val="BodyText"/>
        <w:spacing w:line="276" w:lineRule="auto"/>
        <w:ind w:left="1440"/>
        <w:jc w:val="both"/>
      </w:pPr>
      <w:r>
        <w:rPr/>
        <w:t>anormales en 24 horas) acompañada en ocasiones por vómitos, dolor abdominal y fiebre. Su duración es de 7-14 días considerada en un rango aceptable y agudo.</w:t>
      </w:r>
    </w:p>
    <w:p>
      <w:pPr>
        <w:pStyle w:val="BodyText"/>
        <w:spacing w:line="276" w:lineRule="auto" w:before="2"/>
        <w:ind w:left="1440"/>
        <w:jc w:val="both"/>
      </w:pPr>
      <w:r>
        <w:rPr/>
        <w:t>Se da una eliminación muy rápida de las deposiciones de contenido acuoso principalmente. Existen 3 mecanismos por los que se da esta eliminación rápida:</w:t>
      </w:r>
    </w:p>
    <w:p>
      <w:pPr>
        <w:pStyle w:val="ListParagraph"/>
        <w:numPr>
          <w:ilvl w:val="0"/>
          <w:numId w:val="3"/>
        </w:numPr>
        <w:tabs>
          <w:tab w:pos="2161" w:val="left" w:leader="none"/>
        </w:tabs>
        <w:spacing w:line="276" w:lineRule="auto" w:before="2" w:after="0"/>
        <w:ind w:left="2160" w:right="0" w:hanging="360"/>
        <w:jc w:val="both"/>
        <w:rPr>
          <w:sz w:val="22"/>
        </w:rPr>
      </w:pPr>
      <w:r>
        <w:rPr>
          <w:sz w:val="22"/>
          <w:u w:val="single"/>
        </w:rPr>
        <w:t>Trastornos de secreción</w:t>
      </w:r>
      <w:r>
        <w:rPr>
          <w:sz w:val="22"/>
        </w:rPr>
        <w:t>: las toxinas de ciertos patógenos causan aumento de </w:t>
      </w:r>
      <w:r>
        <w:rPr>
          <w:spacing w:val="-3"/>
          <w:sz w:val="22"/>
        </w:rPr>
        <w:t>la </w:t>
      </w:r>
      <w:r>
        <w:rPr>
          <w:sz w:val="22"/>
        </w:rPr>
        <w:t>secreción de sodio y cloro a </w:t>
      </w:r>
      <w:r>
        <w:rPr>
          <w:spacing w:val="-3"/>
          <w:sz w:val="22"/>
        </w:rPr>
        <w:t>la </w:t>
      </w:r>
      <w:r>
        <w:rPr>
          <w:sz w:val="22"/>
        </w:rPr>
        <w:t>luz intestinal, esto arrastra agua y produce una diarrea de tipo acuoso.</w:t>
      </w:r>
    </w:p>
    <w:p>
      <w:pPr>
        <w:pStyle w:val="ListParagraph"/>
        <w:numPr>
          <w:ilvl w:val="0"/>
          <w:numId w:val="3"/>
        </w:numPr>
        <w:tabs>
          <w:tab w:pos="2161" w:val="left" w:leader="none"/>
        </w:tabs>
        <w:spacing w:line="276" w:lineRule="auto" w:before="2" w:after="0"/>
        <w:ind w:left="2160" w:right="1" w:hanging="360"/>
        <w:jc w:val="both"/>
        <w:rPr>
          <w:sz w:val="22"/>
        </w:rPr>
      </w:pPr>
      <w:r>
        <w:rPr>
          <w:sz w:val="22"/>
          <w:u w:val="single"/>
        </w:rPr>
        <w:t>Trastornos de absorción</w:t>
      </w:r>
      <w:r>
        <w:rPr>
          <w:sz w:val="22"/>
        </w:rPr>
        <w:t>: (diarreas invasivas): destrucción de enterocitos y pérdida de </w:t>
      </w:r>
      <w:r>
        <w:rPr>
          <w:spacing w:val="-3"/>
          <w:sz w:val="22"/>
        </w:rPr>
        <w:t>la </w:t>
      </w:r>
      <w:r>
        <w:rPr>
          <w:sz w:val="22"/>
        </w:rPr>
        <w:t>continuidad vellositaria ya sea en el intestino delgado (por virus) o en </w:t>
      </w:r>
      <w:r>
        <w:rPr>
          <w:spacing w:val="-3"/>
          <w:sz w:val="22"/>
        </w:rPr>
        <w:t>la </w:t>
      </w:r>
      <w:r>
        <w:rPr>
          <w:sz w:val="22"/>
        </w:rPr>
        <w:t>porción ileocólica (por</w:t>
      </w:r>
      <w:r>
        <w:rPr>
          <w:spacing w:val="-8"/>
          <w:sz w:val="22"/>
        </w:rPr>
        <w:t> </w:t>
      </w:r>
      <w:r>
        <w:rPr>
          <w:sz w:val="22"/>
        </w:rPr>
        <w:t>bacterias).</w:t>
      </w:r>
    </w:p>
    <w:p>
      <w:pPr>
        <w:pStyle w:val="ListParagraph"/>
        <w:numPr>
          <w:ilvl w:val="0"/>
          <w:numId w:val="3"/>
        </w:numPr>
        <w:tabs>
          <w:tab w:pos="2161" w:val="left" w:leader="none"/>
        </w:tabs>
        <w:spacing w:line="276" w:lineRule="auto" w:before="0" w:after="0"/>
        <w:ind w:left="2160" w:right="0" w:hanging="360"/>
        <w:jc w:val="both"/>
        <w:rPr>
          <w:sz w:val="22"/>
        </w:rPr>
      </w:pPr>
      <w:r>
        <w:rPr>
          <w:sz w:val="22"/>
          <w:u w:val="single"/>
        </w:rPr>
        <w:t>Trastorno de secreción + absorción</w:t>
      </w:r>
      <w:r>
        <w:rPr>
          <w:sz w:val="22"/>
        </w:rPr>
        <w:t>: el problema de absorción de los líquidos intraluminales se asocia a </w:t>
      </w:r>
      <w:r>
        <w:rPr>
          <w:spacing w:val="-3"/>
          <w:sz w:val="22"/>
        </w:rPr>
        <w:t>la </w:t>
      </w:r>
      <w:r>
        <w:rPr>
          <w:sz w:val="22"/>
        </w:rPr>
        <w:t>necrosis celular y se produce un síndrome</w:t>
      </w:r>
      <w:r>
        <w:rPr>
          <w:spacing w:val="-1"/>
          <w:sz w:val="22"/>
        </w:rPr>
        <w:t> </w:t>
      </w:r>
      <w:r>
        <w:rPr>
          <w:sz w:val="22"/>
        </w:rPr>
        <w:t>disentérico.</w:t>
      </w:r>
    </w:p>
    <w:p>
      <w:pPr>
        <w:pStyle w:val="BodyText"/>
        <w:spacing w:before="6"/>
        <w:rPr>
          <w:sz w:val="25"/>
        </w:rPr>
      </w:pPr>
    </w:p>
    <w:p>
      <w:pPr>
        <w:pStyle w:val="Heading4"/>
      </w:pPr>
      <w:r>
        <w:rPr/>
        <w:t>CAUSAS</w:t>
      </w:r>
    </w:p>
    <w:p>
      <w:pPr>
        <w:pStyle w:val="BodyText"/>
        <w:rPr>
          <w:b/>
          <w:sz w:val="21"/>
        </w:rPr>
      </w:pPr>
    </w:p>
    <w:p>
      <w:pPr>
        <w:pStyle w:val="BodyText"/>
        <w:spacing w:line="276" w:lineRule="auto" w:before="1"/>
        <w:ind w:left="1440" w:right="1"/>
        <w:jc w:val="both"/>
      </w:pPr>
      <w:r>
        <w:rPr/>
        <w:t>Los agentes más frecuentemente involucrados, varían dependiendo de las condiciones socioeconómicas y sanitarias de cada región. Existen 3 causa principales:</w:t>
      </w:r>
    </w:p>
    <w:p>
      <w:pPr>
        <w:pStyle w:val="ListParagraph"/>
        <w:numPr>
          <w:ilvl w:val="0"/>
          <w:numId w:val="4"/>
        </w:numPr>
        <w:tabs>
          <w:tab w:pos="2161" w:val="left" w:leader="none"/>
        </w:tabs>
        <w:spacing w:line="276" w:lineRule="auto" w:before="198" w:after="0"/>
        <w:ind w:left="2160" w:right="2" w:hanging="360"/>
        <w:jc w:val="both"/>
        <w:rPr>
          <w:sz w:val="22"/>
        </w:rPr>
      </w:pPr>
      <w:r>
        <w:rPr>
          <w:sz w:val="22"/>
          <w:u w:val="single"/>
        </w:rPr>
        <w:t>Viral</w:t>
      </w:r>
      <w:r>
        <w:rPr>
          <w:sz w:val="22"/>
        </w:rPr>
        <w:t> (más frecuentes): </w:t>
      </w:r>
      <w:r>
        <w:rPr>
          <w:b/>
          <w:sz w:val="22"/>
        </w:rPr>
        <w:t>Rotavirus </w:t>
      </w:r>
      <w:r>
        <w:rPr>
          <w:sz w:val="22"/>
        </w:rPr>
        <w:t>(principal causa de gastroenteritis aguda infecciosa endémica en niños menores de cinco años), Norovirus, Sapovirus, Adenovirus</w:t>
      </w:r>
      <w:r>
        <w:rPr>
          <w:spacing w:val="-6"/>
          <w:sz w:val="22"/>
        </w:rPr>
        <w:t> </w:t>
      </w:r>
      <w:r>
        <w:rPr>
          <w:sz w:val="22"/>
        </w:rPr>
        <w:t>entéricos</w:t>
      </w:r>
    </w:p>
    <w:p>
      <w:pPr>
        <w:pStyle w:val="ListParagraph"/>
        <w:numPr>
          <w:ilvl w:val="0"/>
          <w:numId w:val="4"/>
        </w:numPr>
        <w:tabs>
          <w:tab w:pos="2161" w:val="left" w:leader="none"/>
        </w:tabs>
        <w:spacing w:line="276" w:lineRule="auto" w:before="0" w:after="0"/>
        <w:ind w:left="2160" w:right="0" w:hanging="360"/>
        <w:jc w:val="both"/>
        <w:rPr>
          <w:sz w:val="22"/>
        </w:rPr>
      </w:pPr>
      <w:r>
        <w:rPr>
          <w:sz w:val="22"/>
          <w:u w:val="single"/>
        </w:rPr>
        <w:t>Bacteriana</w:t>
      </w:r>
      <w:r>
        <w:rPr>
          <w:sz w:val="22"/>
        </w:rPr>
        <w:t>: </w:t>
      </w:r>
      <w:r>
        <w:rPr>
          <w:b/>
          <w:sz w:val="22"/>
        </w:rPr>
        <w:t>Escherichia coli </w:t>
      </w:r>
      <w:r>
        <w:rPr>
          <w:sz w:val="22"/>
        </w:rPr>
        <w:t>(principal causa de gastroenteritis aguda infecciosa endémica en niños mayores a cinco años) enterotoxigénica / enteropatogénica, Salmonella, Shigella,</w:t>
      </w:r>
      <w:r>
        <w:rPr>
          <w:spacing w:val="-14"/>
          <w:sz w:val="22"/>
        </w:rPr>
        <w:t> </w:t>
      </w:r>
      <w:r>
        <w:rPr>
          <w:sz w:val="22"/>
        </w:rPr>
        <w:t>Campylobacter</w:t>
      </w:r>
    </w:p>
    <w:p>
      <w:pPr>
        <w:pStyle w:val="BodyText"/>
        <w:spacing w:before="8"/>
      </w:pPr>
      <w:r>
        <w:rPr/>
        <w:br w:type="column"/>
      </w:r>
      <w:r>
        <w:rPr/>
      </w:r>
    </w:p>
    <w:p>
      <w:pPr>
        <w:pStyle w:val="ListParagraph"/>
        <w:numPr>
          <w:ilvl w:val="0"/>
          <w:numId w:val="4"/>
        </w:numPr>
        <w:tabs>
          <w:tab w:pos="1398" w:val="left" w:leader="none"/>
        </w:tabs>
        <w:spacing w:line="278" w:lineRule="auto" w:before="0" w:after="0"/>
        <w:ind w:left="1397" w:right="1436" w:hanging="361"/>
        <w:jc w:val="both"/>
        <w:rPr>
          <w:sz w:val="22"/>
        </w:rPr>
      </w:pPr>
      <w:r>
        <w:rPr>
          <w:sz w:val="22"/>
          <w:u w:val="single"/>
        </w:rPr>
        <w:t>Parasitaria</w:t>
      </w:r>
      <w:r>
        <w:rPr>
          <w:sz w:val="22"/>
        </w:rPr>
        <w:t>: Cryptosporidium sp., Giardia</w:t>
      </w:r>
      <w:r>
        <w:rPr>
          <w:spacing w:val="2"/>
          <w:sz w:val="22"/>
        </w:rPr>
        <w:t> </w:t>
      </w:r>
      <w:r>
        <w:rPr>
          <w:sz w:val="22"/>
        </w:rPr>
        <w:t>intestinalis</w:t>
      </w:r>
    </w:p>
    <w:p>
      <w:pPr>
        <w:pStyle w:val="BodyText"/>
        <w:spacing w:before="8"/>
        <w:rPr>
          <w:sz w:val="24"/>
        </w:rPr>
      </w:pPr>
    </w:p>
    <w:p>
      <w:pPr>
        <w:pStyle w:val="Heading4"/>
        <w:ind w:left="676"/>
      </w:pPr>
      <w:r>
        <w:rPr/>
        <w:t>DIAGNÓSTICO</w:t>
      </w:r>
    </w:p>
    <w:p>
      <w:pPr>
        <w:pStyle w:val="BodyText"/>
        <w:spacing w:before="5"/>
        <w:rPr>
          <w:b/>
          <w:sz w:val="21"/>
        </w:rPr>
      </w:pPr>
    </w:p>
    <w:p>
      <w:pPr>
        <w:pStyle w:val="BodyText"/>
        <w:spacing w:line="276" w:lineRule="auto" w:before="1"/>
        <w:ind w:left="676" w:right="1431"/>
        <w:jc w:val="both"/>
      </w:pPr>
      <w:r>
        <w:rPr/>
        <w:t>El diagnóstico de </w:t>
      </w:r>
      <w:r>
        <w:rPr>
          <w:spacing w:val="-3"/>
        </w:rPr>
        <w:t>la </w:t>
      </w:r>
      <w:r>
        <w:rPr/>
        <w:t>gastroenteritis aguda se basa en </w:t>
      </w:r>
      <w:r>
        <w:rPr>
          <w:spacing w:val="-3"/>
        </w:rPr>
        <w:t>la </w:t>
      </w:r>
      <w:r>
        <w:rPr/>
        <w:t>historia clínica y examen físico inicialmente, pues </w:t>
      </w:r>
      <w:r>
        <w:rPr>
          <w:spacing w:val="-3"/>
        </w:rPr>
        <w:t>la </w:t>
      </w:r>
      <w:r>
        <w:rPr/>
        <w:t>causa más común es </w:t>
      </w:r>
      <w:r>
        <w:rPr>
          <w:spacing w:val="-3"/>
        </w:rPr>
        <w:t>la </w:t>
      </w:r>
      <w:r>
        <w:rPr/>
        <w:t>viral (rotavirus). En </w:t>
      </w:r>
      <w:r>
        <w:rPr>
          <w:spacing w:val="-3"/>
        </w:rPr>
        <w:t>la </w:t>
      </w:r>
      <w:r>
        <w:rPr/>
        <w:t>evaluación  inicial es importante determinar que estemos ante a un cuadro agudo (menos de 2 semanas de duración) y no crónico, determinar su severidad (grado de deshidratación) y posibles complicaciones, y distinguir </w:t>
      </w:r>
      <w:r>
        <w:rPr>
          <w:spacing w:val="-3"/>
        </w:rPr>
        <w:t>la </w:t>
      </w:r>
      <w:r>
        <w:rPr/>
        <w:t>causa más probable. Siempre debe descartarse por medio de historia clínica exhaustiva, </w:t>
      </w:r>
      <w:r>
        <w:rPr>
          <w:spacing w:val="-3"/>
        </w:rPr>
        <w:t>la </w:t>
      </w:r>
      <w:r>
        <w:rPr/>
        <w:t>diarrea secundaria a fármacos, intolerancia a alimentos (lactosa, gluten) o de causas no</w:t>
      </w:r>
      <w:r>
        <w:rPr>
          <w:spacing w:val="-7"/>
        </w:rPr>
        <w:t> </w:t>
      </w:r>
      <w:r>
        <w:rPr/>
        <w:t>infecciosas.</w:t>
      </w:r>
    </w:p>
    <w:p>
      <w:pPr>
        <w:pStyle w:val="BodyText"/>
        <w:spacing w:line="276" w:lineRule="auto" w:before="3"/>
        <w:ind w:left="676" w:right="1438"/>
        <w:jc w:val="both"/>
      </w:pPr>
      <w:r>
        <w:rPr/>
        <w:t>Los tres estadios de gravedad de la deshidratación basados en signos y síntomas son:</w:t>
      </w:r>
    </w:p>
    <w:p>
      <w:pPr>
        <w:pStyle w:val="BodyText"/>
        <w:spacing w:line="276" w:lineRule="auto" w:before="2"/>
        <w:ind w:left="676" w:right="1429"/>
        <w:jc w:val="both"/>
      </w:pPr>
      <w:r>
        <w:rPr>
          <w:u w:val="single"/>
        </w:rPr>
        <w:t>Sin signos de deshidratación o</w:t>
      </w:r>
      <w:r>
        <w:rPr/>
        <w:t> </w:t>
      </w:r>
      <w:r>
        <w:rPr>
          <w:u w:val="single"/>
        </w:rPr>
        <w:t>deshidratación leve</w:t>
      </w:r>
      <w:r>
        <w:rPr/>
        <w:t>: Niño alerta, agitado, irritable, ojos normales, lágrimas presentes, boca y lengua húmedas, no tiene sed y bebe.</w:t>
      </w:r>
    </w:p>
    <w:p>
      <w:pPr>
        <w:pStyle w:val="BodyText"/>
        <w:spacing w:before="9"/>
        <w:rPr>
          <w:sz w:val="24"/>
        </w:rPr>
      </w:pPr>
    </w:p>
    <w:p>
      <w:pPr>
        <w:pStyle w:val="ListParagraph"/>
        <w:numPr>
          <w:ilvl w:val="0"/>
          <w:numId w:val="5"/>
        </w:numPr>
        <w:tabs>
          <w:tab w:pos="1398" w:val="left" w:leader="none"/>
        </w:tabs>
        <w:spacing w:line="360" w:lineRule="auto" w:before="0" w:after="0"/>
        <w:ind w:left="1397" w:right="1434" w:hanging="361"/>
        <w:jc w:val="both"/>
        <w:rPr>
          <w:sz w:val="22"/>
        </w:rPr>
      </w:pPr>
      <w:r>
        <w:rPr>
          <w:sz w:val="22"/>
        </w:rPr>
        <w:t>normalmente, pliegue cutáneo se retrae inmediatamente, pérdida de peso menor al 5%, flujo urinario normal o</w:t>
      </w:r>
      <w:r>
        <w:rPr>
          <w:spacing w:val="-7"/>
          <w:sz w:val="22"/>
        </w:rPr>
        <w:t> </w:t>
      </w:r>
      <w:r>
        <w:rPr>
          <w:sz w:val="22"/>
        </w:rPr>
        <w:t>disminuido.</w:t>
      </w:r>
    </w:p>
    <w:p>
      <w:pPr>
        <w:pStyle w:val="ListParagraph"/>
        <w:numPr>
          <w:ilvl w:val="0"/>
          <w:numId w:val="5"/>
        </w:numPr>
        <w:tabs>
          <w:tab w:pos="1398" w:val="left" w:leader="none"/>
        </w:tabs>
        <w:spacing w:line="276" w:lineRule="auto" w:before="8" w:after="0"/>
        <w:ind w:left="1397" w:right="1430" w:hanging="361"/>
        <w:jc w:val="both"/>
        <w:rPr>
          <w:sz w:val="22"/>
        </w:rPr>
      </w:pPr>
      <w:r>
        <w:rPr>
          <w:sz w:val="22"/>
          <w:u w:val="single"/>
        </w:rPr>
        <w:t>Deshidratación moderada</w:t>
      </w:r>
      <w:r>
        <w:rPr>
          <w:sz w:val="22"/>
        </w:rPr>
        <w:t>: Niño agitado, irritable, ojos hundidos, lágrimas ausentes, boca y lengua secas, sediento, bebe con avidez, pliegue cutáneo se retrae lentamente, pérdida de peso 5-10%, flujo urinario</w:t>
      </w:r>
      <w:r>
        <w:rPr>
          <w:spacing w:val="-2"/>
          <w:sz w:val="22"/>
        </w:rPr>
        <w:t> </w:t>
      </w:r>
      <w:r>
        <w:rPr>
          <w:sz w:val="22"/>
        </w:rPr>
        <w:t>disminuido.</w:t>
      </w:r>
    </w:p>
    <w:p>
      <w:pPr>
        <w:pStyle w:val="ListParagraph"/>
        <w:numPr>
          <w:ilvl w:val="0"/>
          <w:numId w:val="5"/>
        </w:numPr>
        <w:tabs>
          <w:tab w:pos="1398" w:val="left" w:leader="none"/>
        </w:tabs>
        <w:spacing w:line="276" w:lineRule="auto" w:before="2" w:after="0"/>
        <w:ind w:left="1397" w:right="1432" w:hanging="361"/>
        <w:jc w:val="both"/>
        <w:rPr>
          <w:sz w:val="22"/>
        </w:rPr>
      </w:pPr>
      <w:r>
        <w:rPr>
          <w:sz w:val="22"/>
          <w:u w:val="single"/>
        </w:rPr>
        <w:t>Deshidratación severa</w:t>
      </w:r>
      <w:r>
        <w:rPr>
          <w:sz w:val="22"/>
        </w:rPr>
        <w:t>: Niño letárgico o inconsciente, flácido. Ojos muy hundidos y secos, lágrimas ausentes, boca y</w:t>
      </w:r>
      <w:r>
        <w:rPr>
          <w:spacing w:val="0"/>
          <w:sz w:val="22"/>
        </w:rPr>
        <w:t> </w:t>
      </w:r>
      <w:r>
        <w:rPr>
          <w:sz w:val="22"/>
        </w:rPr>
        <w:t>lengua</w:t>
      </w:r>
    </w:p>
    <w:p>
      <w:pPr>
        <w:spacing w:after="0" w:line="276" w:lineRule="auto"/>
        <w:jc w:val="both"/>
        <w:rPr>
          <w:sz w:val="22"/>
        </w:rPr>
        <w:sectPr>
          <w:type w:val="continuous"/>
          <w:pgSz w:w="12240" w:h="15840"/>
          <w:pgMar w:top="1500" w:bottom="0" w:left="0" w:right="0"/>
          <w:cols w:num="2" w:equalWidth="0">
            <w:col w:w="5766" w:space="40"/>
            <w:col w:w="6434"/>
          </w:cols>
        </w:sectPr>
      </w:pPr>
    </w:p>
    <w:p>
      <w:pPr>
        <w:spacing w:before="76"/>
        <w:ind w:left="4577" w:right="0" w:firstLine="0"/>
        <w:jc w:val="left"/>
        <w:rPr>
          <w:i/>
          <w:sz w:val="20"/>
        </w:rPr>
      </w:pPr>
      <w:r>
        <w:rPr>
          <w:i/>
          <w:color w:val="2D74B5"/>
          <w:sz w:val="20"/>
        </w:rPr>
        <w:t>ENFERMEDAD DIARREICA EN PEDIATRIA - Shary Abadia Guerrero</w:t>
      </w:r>
    </w:p>
    <w:p>
      <w:pPr>
        <w:pStyle w:val="BodyText"/>
        <w:rPr>
          <w:i/>
          <w:sz w:val="20"/>
        </w:rPr>
      </w:pPr>
    </w:p>
    <w:p>
      <w:pPr>
        <w:spacing w:after="0"/>
        <w:rPr>
          <w:sz w:val="20"/>
        </w:rPr>
        <w:sectPr>
          <w:headerReference w:type="default" r:id="rId40"/>
          <w:pgSz w:w="12240" w:h="15840"/>
          <w:pgMar w:header="0" w:footer="882" w:top="640" w:bottom="1080" w:left="0" w:right="0"/>
        </w:sectPr>
      </w:pPr>
    </w:p>
    <w:p>
      <w:pPr>
        <w:pStyle w:val="BodyText"/>
        <w:spacing w:before="8"/>
        <w:rPr>
          <w:i/>
        </w:rPr>
      </w:pPr>
    </w:p>
    <w:p>
      <w:pPr>
        <w:pStyle w:val="BodyText"/>
        <w:spacing w:line="276" w:lineRule="auto"/>
        <w:ind w:left="2160"/>
        <w:jc w:val="both"/>
      </w:pPr>
      <w:r>
        <w:rPr/>
        <w:t>muy secas, bebe inadecuadamente o no es capaz de beber, pliegue cutáneo se retrae muy lentamente, pérdida de peso mayor al 10%, flujo urinario</w:t>
      </w:r>
      <w:r>
        <w:rPr>
          <w:spacing w:val="-1"/>
        </w:rPr>
        <w:t> </w:t>
      </w:r>
      <w:r>
        <w:rPr/>
        <w:t>mínimo.</w:t>
      </w:r>
    </w:p>
    <w:p>
      <w:pPr>
        <w:pStyle w:val="BodyText"/>
        <w:spacing w:before="2"/>
        <w:ind w:left="1440"/>
      </w:pPr>
      <w:r>
        <w:rPr/>
        <w:t>Factores de riesgo de deshidratación:</w:t>
      </w:r>
    </w:p>
    <w:p>
      <w:pPr>
        <w:pStyle w:val="ListParagraph"/>
        <w:numPr>
          <w:ilvl w:val="1"/>
          <w:numId w:val="5"/>
        </w:numPr>
        <w:tabs>
          <w:tab w:pos="2161" w:val="left" w:leader="none"/>
        </w:tabs>
        <w:spacing w:line="240" w:lineRule="auto" w:before="34" w:after="0"/>
        <w:ind w:left="2160" w:right="0" w:hanging="360"/>
        <w:jc w:val="left"/>
        <w:rPr>
          <w:sz w:val="22"/>
        </w:rPr>
      </w:pPr>
      <w:r>
        <w:rPr>
          <w:sz w:val="22"/>
        </w:rPr>
        <w:t>Edad menor a 6</w:t>
      </w:r>
      <w:r>
        <w:rPr>
          <w:spacing w:val="-7"/>
          <w:sz w:val="22"/>
        </w:rPr>
        <w:t> </w:t>
      </w:r>
      <w:r>
        <w:rPr>
          <w:sz w:val="22"/>
        </w:rPr>
        <w:t>meses</w:t>
      </w:r>
    </w:p>
    <w:p>
      <w:pPr>
        <w:pStyle w:val="ListParagraph"/>
        <w:numPr>
          <w:ilvl w:val="1"/>
          <w:numId w:val="5"/>
        </w:numPr>
        <w:tabs>
          <w:tab w:pos="2161" w:val="left" w:leader="none"/>
        </w:tabs>
        <w:spacing w:line="276" w:lineRule="auto" w:before="38" w:after="0"/>
        <w:ind w:left="2160" w:right="6" w:hanging="360"/>
        <w:jc w:val="both"/>
        <w:rPr>
          <w:sz w:val="22"/>
        </w:rPr>
      </w:pPr>
      <w:r>
        <w:rPr>
          <w:sz w:val="22"/>
        </w:rPr>
        <w:t>Antecedentes de prematuridad, restricción del crecimiento intrauterino</w:t>
      </w:r>
    </w:p>
    <w:p>
      <w:pPr>
        <w:pStyle w:val="ListParagraph"/>
        <w:numPr>
          <w:ilvl w:val="1"/>
          <w:numId w:val="5"/>
        </w:numPr>
        <w:tabs>
          <w:tab w:pos="2161" w:val="left" w:leader="none"/>
          <w:tab w:pos="4563" w:val="left" w:leader="none"/>
        </w:tabs>
        <w:spacing w:line="276" w:lineRule="auto" w:before="0" w:after="0"/>
        <w:ind w:left="2160" w:right="2" w:hanging="360"/>
        <w:jc w:val="both"/>
        <w:rPr>
          <w:sz w:val="22"/>
        </w:rPr>
      </w:pPr>
      <w:r>
        <w:rPr>
          <w:sz w:val="22"/>
        </w:rPr>
        <w:t>Cardiopatía,</w:t>
        <w:tab/>
      </w:r>
      <w:r>
        <w:rPr>
          <w:spacing w:val="-1"/>
          <w:sz w:val="22"/>
        </w:rPr>
        <w:t>insuficiencia </w:t>
      </w:r>
      <w:r>
        <w:rPr>
          <w:sz w:val="22"/>
        </w:rPr>
        <w:t>respiratoria crónica, enfermedad metabólica, diabetes, insuficiencia renal crónica e insuficiencia suprarrenal</w:t>
      </w:r>
    </w:p>
    <w:p>
      <w:pPr>
        <w:pStyle w:val="ListParagraph"/>
        <w:numPr>
          <w:ilvl w:val="1"/>
          <w:numId w:val="5"/>
        </w:numPr>
        <w:tabs>
          <w:tab w:pos="2161" w:val="left" w:leader="none"/>
        </w:tabs>
        <w:spacing w:line="276" w:lineRule="auto" w:before="4" w:after="0"/>
        <w:ind w:left="2160" w:right="6" w:hanging="360"/>
        <w:jc w:val="both"/>
        <w:rPr>
          <w:sz w:val="22"/>
        </w:rPr>
      </w:pPr>
      <w:r>
        <w:rPr>
          <w:sz w:val="22"/>
        </w:rPr>
        <w:t>Frecuencia de deposiciones mayor a 8 / día o vómitos mayor a 4 /</w:t>
      </w:r>
      <w:r>
        <w:rPr>
          <w:spacing w:val="-13"/>
          <w:sz w:val="22"/>
        </w:rPr>
        <w:t> </w:t>
      </w:r>
      <w:r>
        <w:rPr>
          <w:sz w:val="22"/>
        </w:rPr>
        <w:t>día</w:t>
      </w:r>
    </w:p>
    <w:p>
      <w:pPr>
        <w:pStyle w:val="BodyText"/>
        <w:spacing w:line="276" w:lineRule="auto"/>
        <w:ind w:left="1440" w:right="2"/>
        <w:jc w:val="both"/>
      </w:pPr>
      <w:r>
        <w:rPr>
          <w:u w:val="single"/>
        </w:rPr>
        <w:t>Signos de gravedad</w:t>
      </w:r>
      <w:r>
        <w:rPr/>
        <w:t>: Pliegue cutáneo persistente, llenado capilar mayor a 2 segundos, alteración del estado general, ausencia de lágrima en el llanto, taquipnea, mucosas secas, ojeras, taquicardia.</w:t>
      </w:r>
    </w:p>
    <w:p>
      <w:pPr>
        <w:pStyle w:val="BodyText"/>
        <w:spacing w:before="6"/>
        <w:rPr>
          <w:sz w:val="25"/>
        </w:rPr>
      </w:pPr>
    </w:p>
    <w:p>
      <w:pPr>
        <w:pStyle w:val="Heading4"/>
      </w:pPr>
      <w:r>
        <w:rPr/>
        <w:t>ESTUDIOS COMPLEMENTARIOS</w:t>
      </w:r>
    </w:p>
    <w:p>
      <w:pPr>
        <w:pStyle w:val="BodyText"/>
        <w:rPr>
          <w:b/>
          <w:sz w:val="21"/>
        </w:rPr>
      </w:pPr>
    </w:p>
    <w:p>
      <w:pPr>
        <w:pStyle w:val="BodyText"/>
        <w:spacing w:line="276" w:lineRule="auto" w:before="1"/>
        <w:ind w:left="1440" w:right="5"/>
        <w:jc w:val="both"/>
      </w:pPr>
      <w:r>
        <w:rPr/>
        <w:t>La mayoría de los cuadros son leves a moderados, autolimitados y es posible establecer una sospecha epidemiológica y clínica, por lo que no es necesario realizar exámenes de laboratorio. Sin embargo existen casos en donde hay sospecha de sepsis o se debe hacer diagnóstico diferencial (neumonía o infección del tracto urinario) por lo que sería de gran utilidad utilizar los exámenes complementarios como apoyo diagnóstico:</w:t>
      </w:r>
    </w:p>
    <w:p>
      <w:pPr>
        <w:pStyle w:val="ListParagraph"/>
        <w:numPr>
          <w:ilvl w:val="0"/>
          <w:numId w:val="6"/>
        </w:numPr>
        <w:tabs>
          <w:tab w:pos="2161" w:val="left" w:leader="none"/>
        </w:tabs>
        <w:spacing w:line="360" w:lineRule="auto" w:before="0" w:after="0"/>
        <w:ind w:left="2160" w:right="3" w:hanging="360"/>
        <w:jc w:val="both"/>
        <w:rPr>
          <w:sz w:val="22"/>
        </w:rPr>
      </w:pPr>
      <w:r>
        <w:rPr>
          <w:sz w:val="22"/>
        </w:rPr>
        <w:t>Hemograma, PCR, hemocultivos, examen general de orina, urocultivo y radiografía de tórax según corresponda.</w:t>
      </w:r>
    </w:p>
    <w:p>
      <w:pPr>
        <w:pStyle w:val="BodyText"/>
        <w:spacing w:line="276" w:lineRule="auto" w:before="10"/>
        <w:ind w:left="1440" w:right="4"/>
        <w:jc w:val="both"/>
      </w:pPr>
      <w:r>
        <w:rPr/>
        <w:t>En el caso de deposiciones con sangre, fiebre alta persistente, compromiso del estado general severo, diarrea persistente</w:t>
      </w:r>
    </w:p>
    <w:p>
      <w:pPr>
        <w:pStyle w:val="BodyText"/>
        <w:spacing w:before="8"/>
      </w:pPr>
      <w:r>
        <w:rPr/>
        <w:br w:type="column"/>
      </w:r>
      <w:r>
        <w:rPr/>
      </w:r>
    </w:p>
    <w:p>
      <w:pPr>
        <w:pStyle w:val="BodyText"/>
        <w:spacing w:line="276" w:lineRule="auto"/>
        <w:ind w:left="674" w:right="1432"/>
        <w:jc w:val="both"/>
      </w:pPr>
      <w:r>
        <w:rPr/>
        <w:t>mayor a 7 días, uso reciente de antibióticos, paciente inmunocomprometido, son situaciones clínicas en las cuales es recomendable realizar un estudio etiológico de gastroenteritis aguda por medio de un examen general de heces y un coprocultivo pues existe </w:t>
      </w:r>
      <w:r>
        <w:rPr>
          <w:spacing w:val="-3"/>
        </w:rPr>
        <w:t>la </w:t>
      </w:r>
      <w:r>
        <w:rPr/>
        <w:t>alta sospecha de un agente invasor. Se debe buscar leucocitos fecales y lactoferrina en heces para diagnosticar Disentería. El examen parasitológico seriado de deposiciones sigue siendo el examen de primera línea para </w:t>
      </w:r>
      <w:r>
        <w:rPr>
          <w:spacing w:val="-3"/>
        </w:rPr>
        <w:t>la </w:t>
      </w:r>
      <w:r>
        <w:rPr/>
        <w:t>identificación de estos agentes pese a que tiene baja sensibilidad y es operador dependiente.</w:t>
      </w:r>
    </w:p>
    <w:p>
      <w:pPr>
        <w:pStyle w:val="BodyText"/>
        <w:spacing w:before="3"/>
        <w:rPr>
          <w:sz w:val="25"/>
        </w:rPr>
      </w:pPr>
    </w:p>
    <w:p>
      <w:pPr>
        <w:pStyle w:val="Heading4"/>
        <w:ind w:left="674"/>
      </w:pPr>
      <w:r>
        <w:rPr/>
        <w:t>TRATAMIENTO</w:t>
      </w:r>
    </w:p>
    <w:p>
      <w:pPr>
        <w:pStyle w:val="BodyText"/>
        <w:spacing w:before="2"/>
        <w:rPr>
          <w:b/>
          <w:sz w:val="29"/>
        </w:rPr>
      </w:pPr>
    </w:p>
    <w:p>
      <w:pPr>
        <w:pStyle w:val="Heading5"/>
        <w:jc w:val="left"/>
      </w:pPr>
      <w:r>
        <w:rPr>
          <w:u w:val="single"/>
        </w:rPr>
        <w:t>Rehidratación vía oral</w:t>
      </w:r>
    </w:p>
    <w:p>
      <w:pPr>
        <w:pStyle w:val="BodyText"/>
        <w:spacing w:line="276" w:lineRule="auto" w:before="135"/>
        <w:ind w:left="674" w:right="1437"/>
        <w:jc w:val="both"/>
      </w:pPr>
      <w:r>
        <w:rPr/>
        <w:t>Favorecen </w:t>
      </w:r>
      <w:r>
        <w:rPr>
          <w:spacing w:val="-3"/>
        </w:rPr>
        <w:t>la </w:t>
      </w:r>
      <w:r>
        <w:rPr/>
        <w:t>absorción de electrolitos y a su vez de agua por </w:t>
      </w:r>
      <w:r>
        <w:rPr>
          <w:spacing w:val="-3"/>
        </w:rPr>
        <w:t>la </w:t>
      </w:r>
      <w:r>
        <w:rPr/>
        <w:t>presencia concomitante de glucosa y sodio. Debe darse en pocas cantidades pero con mucha frecuencia. La presencia de vómitos no contraindica su uso. La cantidad varía según </w:t>
      </w:r>
      <w:r>
        <w:rPr>
          <w:spacing w:val="-3"/>
        </w:rPr>
        <w:t>la </w:t>
      </w:r>
      <w:r>
        <w:rPr/>
        <w:t>edad, peso, grado de deshidratación y estado clínico del</w:t>
      </w:r>
      <w:r>
        <w:rPr>
          <w:spacing w:val="-15"/>
        </w:rPr>
        <w:t> </w:t>
      </w:r>
      <w:r>
        <w:rPr/>
        <w:t>menor.</w:t>
      </w:r>
    </w:p>
    <w:p>
      <w:pPr>
        <w:pStyle w:val="BodyText"/>
        <w:spacing w:line="276" w:lineRule="auto" w:before="2"/>
        <w:ind w:left="674" w:right="1437"/>
        <w:jc w:val="both"/>
      </w:pPr>
      <w:r>
        <w:rPr/>
        <w:t>Bebidas como gaseosas, zumos de frutas y bebidas hidratantes no deben ser utilizadas para terapia de rehidratación. Cuando fracasa esta vía se implementa la rehidratación por sonda nasogástrica</w:t>
      </w:r>
    </w:p>
    <w:p>
      <w:pPr>
        <w:pStyle w:val="BodyText"/>
        <w:spacing w:before="8"/>
        <w:rPr>
          <w:sz w:val="25"/>
        </w:rPr>
      </w:pPr>
    </w:p>
    <w:p>
      <w:pPr>
        <w:pStyle w:val="Heading5"/>
        <w:jc w:val="left"/>
      </w:pPr>
      <w:r>
        <w:rPr>
          <w:u w:val="single"/>
        </w:rPr>
        <w:t>Rehidratación vía venosa</w:t>
      </w:r>
    </w:p>
    <w:p>
      <w:pPr>
        <w:pStyle w:val="BodyText"/>
        <w:spacing w:line="276" w:lineRule="auto" w:before="134"/>
        <w:ind w:left="674" w:right="1436"/>
        <w:jc w:val="both"/>
      </w:pPr>
      <w:r>
        <w:rPr/>
        <w:t>Se toma en cuenta </w:t>
      </w:r>
      <w:r>
        <w:rPr>
          <w:spacing w:val="-3"/>
        </w:rPr>
        <w:t>la </w:t>
      </w:r>
      <w:r>
        <w:rPr/>
        <w:t>edad, el peso actual, </w:t>
      </w:r>
      <w:r>
        <w:rPr>
          <w:spacing w:val="-3"/>
        </w:rPr>
        <w:t>la </w:t>
      </w:r>
      <w:r>
        <w:rPr/>
        <w:t>pérdida de peso y las necesidades básicas del niño por medio de las fórmulas aplicadas en los servicios de urgencias. Esto implica hospitalización. En un inicio </w:t>
      </w:r>
      <w:r>
        <w:rPr>
          <w:spacing w:val="-3"/>
        </w:rPr>
        <w:t>la </w:t>
      </w:r>
      <w:r>
        <w:rPr/>
        <w:t>perfusión debe durar al menos 6</w:t>
      </w:r>
      <w:r>
        <w:rPr>
          <w:spacing w:val="-12"/>
        </w:rPr>
        <w:t> </w:t>
      </w:r>
      <w:r>
        <w:rPr/>
        <w:t>horas.</w:t>
      </w:r>
    </w:p>
    <w:p>
      <w:pPr>
        <w:pStyle w:val="BodyText"/>
        <w:spacing w:before="3"/>
        <w:rPr>
          <w:sz w:val="25"/>
        </w:rPr>
      </w:pPr>
    </w:p>
    <w:p>
      <w:pPr>
        <w:pStyle w:val="Heading5"/>
        <w:jc w:val="both"/>
      </w:pPr>
      <w:r>
        <w:rPr>
          <w:u w:val="single"/>
        </w:rPr>
        <w:t>Tratamiento farmacológico</w:t>
      </w:r>
    </w:p>
    <w:p>
      <w:pPr>
        <w:spacing w:after="0"/>
        <w:jc w:val="both"/>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headerReference w:type="even" r:id="rId41"/>
          <w:footerReference w:type="even" r:id="rId42"/>
          <w:footerReference w:type="default" r:id="rId43"/>
          <w:pgSz w:w="12240" w:h="15840"/>
          <w:pgMar w:header="723" w:footer="872" w:top="940" w:bottom="1060" w:left="0" w:right="0"/>
          <w:pgNumType w:start="6"/>
        </w:sectPr>
      </w:pPr>
    </w:p>
    <w:p>
      <w:pPr>
        <w:pStyle w:val="BodyText"/>
        <w:spacing w:before="8"/>
      </w:pPr>
    </w:p>
    <w:p>
      <w:pPr>
        <w:pStyle w:val="BodyText"/>
        <w:spacing w:line="276" w:lineRule="auto"/>
        <w:ind w:left="1440" w:right="1"/>
        <w:jc w:val="both"/>
      </w:pPr>
      <w:r>
        <w:rPr/>
        <w:t>Probióticos (Lactobacillus): eficaz en la reducción de la duración de la diarrea. No está demostrado que reduzcan el volumen de las heces. Estimulan la respuesta inflamatoria.</w:t>
      </w:r>
    </w:p>
    <w:p>
      <w:pPr>
        <w:pStyle w:val="BodyText"/>
        <w:spacing w:line="276" w:lineRule="auto" w:before="2"/>
        <w:ind w:left="1440"/>
        <w:jc w:val="both"/>
      </w:pPr>
      <w:r>
        <w:rPr/>
        <w:t>Antidiarreicos (Loperamida): opiáceo antisecretor y disminuye la motilidad intestinal. Eficaces disminuyendo la</w:t>
      </w:r>
    </w:p>
    <w:p>
      <w:pPr>
        <w:pStyle w:val="BodyText"/>
        <w:spacing w:before="8"/>
      </w:pPr>
      <w:r>
        <w:rPr/>
        <w:br w:type="column"/>
      </w:r>
      <w:r>
        <w:rPr/>
      </w:r>
    </w:p>
    <w:p>
      <w:pPr>
        <w:pStyle w:val="BodyText"/>
        <w:spacing w:line="276" w:lineRule="auto"/>
        <w:ind w:left="682" w:right="1435"/>
        <w:jc w:val="both"/>
      </w:pPr>
      <w:r>
        <w:rPr/>
        <w:t>duración de la diarrea y el volumen de las heces, pero pueden causar íleo paralítico. Contraindicado en menores de 2 años.</w:t>
      </w:r>
    </w:p>
    <w:p>
      <w:pPr>
        <w:pStyle w:val="BodyText"/>
        <w:tabs>
          <w:tab w:pos="2492" w:val="left" w:leader="none"/>
          <w:tab w:pos="3412" w:val="left" w:leader="none"/>
          <w:tab w:pos="4252" w:val="left" w:leader="none"/>
        </w:tabs>
        <w:spacing w:line="360" w:lineRule="auto"/>
        <w:ind w:left="682" w:right="1434"/>
        <w:jc w:val="both"/>
      </w:pPr>
      <w:r>
        <w:rPr/>
        <w:t>Antibióticos: indicados en las diarreas invasivas graves. Es importante educar a </w:t>
      </w:r>
      <w:r>
        <w:rPr>
          <w:spacing w:val="-3"/>
        </w:rPr>
        <w:t>la </w:t>
      </w:r>
      <w:r>
        <w:rPr/>
        <w:t>población acerca de las medidas preventidas</w:t>
        <w:tab/>
        <w:t>de</w:t>
        <w:tab/>
      </w:r>
      <w:r>
        <w:rPr>
          <w:spacing w:val="-3"/>
        </w:rPr>
        <w:t>la</w:t>
        <w:tab/>
      </w:r>
      <w:r>
        <w:rPr/>
        <w:t>diarrea.</w:t>
      </w:r>
    </w:p>
    <w:p>
      <w:pPr>
        <w:spacing w:after="0" w:line="360" w:lineRule="auto"/>
        <w:jc w:val="both"/>
        <w:sectPr>
          <w:type w:val="continuous"/>
          <w:pgSz w:w="12240" w:h="15840"/>
          <w:pgMar w:top="1500" w:bottom="0" w:left="0" w:right="0"/>
          <w:cols w:num="2" w:equalWidth="0">
            <w:col w:w="5760" w:space="40"/>
            <w:col w:w="6440"/>
          </w:cols>
        </w:sectPr>
      </w:pPr>
    </w:p>
    <w:p>
      <w:pPr>
        <w:pStyle w:val="BodyText"/>
        <w:rPr>
          <w:sz w:val="20"/>
        </w:rPr>
      </w:pPr>
    </w:p>
    <w:p>
      <w:pPr>
        <w:pStyle w:val="BodyText"/>
        <w:rPr>
          <w:sz w:val="21"/>
        </w:rPr>
      </w:pPr>
    </w:p>
    <w:p>
      <w:pPr>
        <w:pStyle w:val="Heading4"/>
        <w:spacing w:before="92"/>
      </w:pPr>
      <w:r>
        <w:rPr/>
        <w:t>BIBLIOGRAFIA</w:t>
      </w:r>
    </w:p>
    <w:p>
      <w:pPr>
        <w:pStyle w:val="BodyText"/>
        <w:spacing w:before="4"/>
        <w:rPr>
          <w:b/>
          <w:sz w:val="24"/>
        </w:rPr>
      </w:pPr>
    </w:p>
    <w:p>
      <w:pPr>
        <w:pStyle w:val="ListParagraph"/>
        <w:numPr>
          <w:ilvl w:val="0"/>
          <w:numId w:val="7"/>
        </w:numPr>
        <w:tabs>
          <w:tab w:pos="1800" w:val="left" w:leader="none"/>
          <w:tab w:pos="1801" w:val="left" w:leader="none"/>
        </w:tabs>
        <w:spacing w:line="240" w:lineRule="auto" w:before="0" w:after="0"/>
        <w:ind w:left="1800" w:right="1598" w:hanging="360"/>
        <w:jc w:val="left"/>
        <w:rPr>
          <w:sz w:val="20"/>
        </w:rPr>
      </w:pPr>
      <w:r>
        <w:rPr>
          <w:sz w:val="20"/>
        </w:rPr>
        <w:t>Dra. Yalda Lucero, Etiología y Manejo de Gastroenteritis Aguda Infecciosa en Niños y Adultos, Rev. Med. Clin. Condes – 2014; 25(3)</w:t>
      </w:r>
      <w:r>
        <w:rPr>
          <w:spacing w:val="-1"/>
          <w:sz w:val="20"/>
        </w:rPr>
        <w:t> </w:t>
      </w:r>
      <w:r>
        <w:rPr>
          <w:sz w:val="20"/>
        </w:rPr>
        <w:t>463-472</w:t>
      </w:r>
    </w:p>
    <w:p>
      <w:pPr>
        <w:pStyle w:val="ListParagraph"/>
        <w:numPr>
          <w:ilvl w:val="0"/>
          <w:numId w:val="7"/>
        </w:numPr>
        <w:tabs>
          <w:tab w:pos="1800" w:val="left" w:leader="none"/>
          <w:tab w:pos="1801" w:val="left" w:leader="none"/>
        </w:tabs>
        <w:spacing w:line="245" w:lineRule="exact" w:before="0" w:after="0"/>
        <w:ind w:left="1800" w:right="0" w:hanging="360"/>
        <w:jc w:val="left"/>
        <w:rPr>
          <w:sz w:val="20"/>
        </w:rPr>
      </w:pPr>
      <w:r>
        <w:rPr>
          <w:sz w:val="20"/>
        </w:rPr>
        <w:t>C. Dupont, Diarreas agudas del niño, Elsevier Masson SAS Paris, Pediatrie, 4-014-N-10,</w:t>
      </w:r>
      <w:r>
        <w:rPr>
          <w:spacing w:val="-16"/>
          <w:sz w:val="20"/>
        </w:rPr>
        <w:t> </w:t>
      </w:r>
      <w:r>
        <w:rPr>
          <w:sz w:val="20"/>
        </w:rPr>
        <w:t>2009</w:t>
      </w:r>
    </w:p>
    <w:p>
      <w:pPr>
        <w:pStyle w:val="ListParagraph"/>
        <w:numPr>
          <w:ilvl w:val="0"/>
          <w:numId w:val="7"/>
        </w:numPr>
        <w:tabs>
          <w:tab w:pos="1800" w:val="left" w:leader="none"/>
          <w:tab w:pos="1801" w:val="left" w:leader="none"/>
        </w:tabs>
        <w:spacing w:line="235" w:lineRule="auto" w:before="4" w:after="0"/>
        <w:ind w:left="1800" w:right="1432" w:hanging="360"/>
        <w:jc w:val="left"/>
        <w:rPr>
          <w:sz w:val="20"/>
        </w:rPr>
      </w:pPr>
      <w:r>
        <w:rPr>
          <w:sz w:val="20"/>
        </w:rPr>
        <w:t>Paris, Sánchez, Beltramino, Copto, Meneghello Pediatría, 2013, Editorial Panamericana, </w:t>
      </w:r>
      <w:r>
        <w:rPr>
          <w:spacing w:val="5"/>
          <w:sz w:val="20"/>
        </w:rPr>
        <w:t>6ª </w:t>
      </w:r>
      <w:r>
        <w:rPr>
          <w:sz w:val="20"/>
        </w:rPr>
        <w:t>Edición, Tomo 2, Pag</w:t>
      </w:r>
      <w:r>
        <w:rPr>
          <w:spacing w:val="-1"/>
          <w:sz w:val="20"/>
        </w:rPr>
        <w:t> </w:t>
      </w:r>
      <w:r>
        <w:rPr>
          <w:sz w:val="20"/>
        </w:rPr>
        <w:t>1414-1419</w:t>
      </w:r>
    </w:p>
    <w:p>
      <w:pPr>
        <w:pStyle w:val="BodyText"/>
        <w:spacing w:before="1"/>
        <w:rPr>
          <w:sz w:val="23"/>
        </w:rPr>
      </w:pPr>
    </w:p>
    <w:p>
      <w:pPr>
        <w:tabs>
          <w:tab w:pos="7358" w:val="left" w:leader="none"/>
        </w:tabs>
        <w:spacing w:before="0"/>
        <w:ind w:left="1440" w:right="0" w:firstLine="0"/>
        <w:jc w:val="left"/>
        <w:rPr>
          <w:sz w:val="20"/>
        </w:rPr>
      </w:pPr>
      <w:r>
        <w:rPr>
          <w:sz w:val="20"/>
        </w:rPr>
        <w:t>Recepción: 11 Julio</w:t>
      </w:r>
      <w:r>
        <w:rPr>
          <w:spacing w:val="-2"/>
          <w:sz w:val="20"/>
        </w:rPr>
        <w:t> </w:t>
      </w:r>
      <w:r>
        <w:rPr>
          <w:sz w:val="20"/>
        </w:rPr>
        <w:t>de</w:t>
      </w:r>
      <w:r>
        <w:rPr>
          <w:spacing w:val="-2"/>
          <w:sz w:val="20"/>
        </w:rPr>
        <w:t> </w:t>
      </w:r>
      <w:r>
        <w:rPr>
          <w:sz w:val="20"/>
        </w:rPr>
        <w:t>2016</w:t>
        <w:tab/>
        <w:t>Aprobación:17 Julio de</w:t>
      </w:r>
      <w:r>
        <w:rPr>
          <w:spacing w:val="-1"/>
          <w:sz w:val="20"/>
        </w:rPr>
        <w:t> </w:t>
      </w:r>
      <w:r>
        <w:rPr>
          <w:sz w:val="20"/>
        </w:rPr>
        <w:t>2016</w:t>
      </w:r>
    </w:p>
    <w:p>
      <w:pPr>
        <w:spacing w:after="0"/>
        <w:jc w:val="left"/>
        <w:rPr>
          <w:sz w:val="20"/>
        </w:rPr>
        <w:sectPr>
          <w:type w:val="continuous"/>
          <w:pgSz w:w="12240" w:h="15840"/>
          <w:pgMar w:top="1500" w:bottom="0" w:left="0" w:right="0"/>
        </w:sectPr>
      </w:pPr>
    </w:p>
    <w:p>
      <w:pPr>
        <w:pStyle w:val="Heading3"/>
        <w:ind w:left="2776" w:right="521"/>
        <w:jc w:val="center"/>
      </w:pPr>
      <w:r>
        <w:rPr/>
        <w:pict>
          <v:group style="position:absolute;margin-left:72.199997pt;margin-top:4.179631pt;width:103pt;height:292.850pt;mso-position-horizontal-relative:page;mso-position-vertical-relative:paragraph;z-index:1480" coordorigin="1444,84" coordsize="2060,5857">
            <v:shape style="position:absolute;left:1444;top:84;width:2060;height:5856" type="#_x0000_t75" stroked="false">
              <v:imagedata r:id="rId45"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51" w:right="0" w:firstLine="367"/>
                      <w:jc w:val="left"/>
                      <w:rPr>
                        <w:sz w:val="16"/>
                      </w:rPr>
                    </w:pPr>
                    <w:r>
                      <w:rPr>
                        <w:sz w:val="16"/>
                      </w:rPr>
                      <w:t>Vol.1 Num:8 Agosto 2016 pp:7 -11</w:t>
                    </w:r>
                  </w:p>
                </w:txbxContent>
              </v:textbox>
              <w10:wrap type="none"/>
            </v:shape>
            <v:shape style="position:absolute;left:1444;top:4852;width:1774;height:776" type="#_x0000_t202" filled="false" stroked="false">
              <v:textbox inset="0,0,0,0">
                <w:txbxContent>
                  <w:p>
                    <w:pPr>
                      <w:spacing w:line="259" w:lineRule="auto" w:before="0"/>
                      <w:ind w:left="0" w:right="2" w:firstLine="0"/>
                      <w:jc w:val="left"/>
                      <w:rPr>
                        <w:sz w:val="16"/>
                      </w:rPr>
                    </w:pPr>
                    <w:r>
                      <w:rPr>
                        <w:sz w:val="16"/>
                      </w:rPr>
                      <w:t>*Médico General. Universidad Ciencias Médicas (UCIMED). San José - Costa Rica</w:t>
                    </w:r>
                  </w:p>
                </w:txbxContent>
              </v:textbox>
              <w10:wrap type="none"/>
            </v:shape>
            <w10:wrap type="none"/>
          </v:group>
        </w:pict>
      </w:r>
      <w:r>
        <w:rPr/>
        <w:t>ESOFAGO DE BARRET</w:t>
      </w:r>
    </w:p>
    <w:p>
      <w:pPr>
        <w:spacing w:before="53"/>
        <w:ind w:left="2776" w:right="522" w:firstLine="0"/>
        <w:jc w:val="center"/>
        <w:rPr>
          <w:sz w:val="20"/>
        </w:rPr>
      </w:pPr>
      <w:r>
        <w:rPr>
          <w:sz w:val="20"/>
        </w:rPr>
        <w:t>(BARRETT ESOPHAGUS)</w:t>
      </w:r>
    </w:p>
    <w:p>
      <w:pPr>
        <w:pStyle w:val="BodyText"/>
        <w:spacing w:before="6"/>
        <w:rPr>
          <w:sz w:val="23"/>
        </w:rPr>
      </w:pPr>
    </w:p>
    <w:p>
      <w:pPr>
        <w:pStyle w:val="BodyText"/>
        <w:ind w:left="8122"/>
      </w:pPr>
      <w:r>
        <w:rPr/>
        <w:t>* Daniel Mondragón Bustos</w:t>
      </w:r>
    </w:p>
    <w:p>
      <w:pPr>
        <w:pStyle w:val="BodyText"/>
        <w:spacing w:before="10"/>
        <w:rPr>
          <w:sz w:val="18"/>
        </w:rPr>
      </w:pPr>
      <w:r>
        <w:rPr/>
        <w:pict>
          <v:group style="position:absolute;margin-left:183.75pt;margin-top:12.804956pt;width:365.25pt;height:228.75pt;mso-position-horizontal-relative:page;mso-position-vertical-relative:paragraph;z-index:1408;mso-wrap-distance-left:0;mso-wrap-distance-right:0" coordorigin="3675,256" coordsize="7305,4575">
            <v:shape style="position:absolute;left:3675;top:256;width:7305;height:4575" type="#_x0000_t75" stroked="false">
              <v:imagedata r:id="rId46" o:title=""/>
            </v:shape>
            <v:shape style="position:absolute;left:3675;top:256;width:7305;height:4575" type="#_x0000_t202" filled="false" stroked="false">
              <v:textbox inset="0,0,0,0">
                <w:txbxContent>
                  <w:p>
                    <w:pPr>
                      <w:spacing w:before="78"/>
                      <w:ind w:left="154" w:right="0" w:firstLine="0"/>
                      <w:jc w:val="left"/>
                      <w:rPr>
                        <w:sz w:val="22"/>
                      </w:rPr>
                    </w:pPr>
                    <w:r>
                      <w:rPr>
                        <w:sz w:val="22"/>
                      </w:rPr>
                      <w:t>RESUMEN</w:t>
                    </w:r>
                  </w:p>
                  <w:p>
                    <w:pPr>
                      <w:spacing w:line="276" w:lineRule="auto" w:before="34"/>
                      <w:ind w:left="154" w:right="140" w:firstLine="0"/>
                      <w:jc w:val="both"/>
                      <w:rPr>
                        <w:sz w:val="22"/>
                      </w:rPr>
                    </w:pPr>
                    <w:r>
                      <w:rPr>
                        <w:sz w:val="22"/>
                      </w:rPr>
                      <w:t>Esta condición es un factor de riesgo para desarrollar carcinoma de esófago, por lo que debe conocerse sus rangos de evolución a cáncer por año, métodos de vigilancia y las nuevas terapias endoscópicas.</w:t>
                    </w:r>
                  </w:p>
                  <w:p>
                    <w:pPr>
                      <w:spacing w:before="201"/>
                      <w:ind w:left="154" w:right="0" w:firstLine="0"/>
                      <w:jc w:val="left"/>
                      <w:rPr>
                        <w:sz w:val="22"/>
                      </w:rPr>
                    </w:pPr>
                    <w:r>
                      <w:rPr>
                        <w:sz w:val="22"/>
                      </w:rPr>
                      <w:t>DESCRIPTORES</w:t>
                    </w:r>
                  </w:p>
                  <w:p>
                    <w:pPr>
                      <w:spacing w:before="34"/>
                      <w:ind w:left="154" w:right="0" w:firstLine="0"/>
                      <w:jc w:val="left"/>
                      <w:rPr>
                        <w:sz w:val="22"/>
                      </w:rPr>
                    </w:pPr>
                    <w:r>
                      <w:rPr>
                        <w:sz w:val="22"/>
                      </w:rPr>
                      <w:t>Esofago de Barret, displasia, adenocarcinoma, reflujo.</w:t>
                    </w:r>
                  </w:p>
                  <w:p>
                    <w:pPr>
                      <w:spacing w:line="240" w:lineRule="auto" w:before="9"/>
                      <w:rPr>
                        <w:sz w:val="28"/>
                      </w:rPr>
                    </w:pPr>
                  </w:p>
                  <w:p>
                    <w:pPr>
                      <w:spacing w:before="0"/>
                      <w:ind w:left="154" w:right="0" w:firstLine="0"/>
                      <w:jc w:val="left"/>
                      <w:rPr>
                        <w:sz w:val="22"/>
                      </w:rPr>
                    </w:pPr>
                    <w:r>
                      <w:rPr>
                        <w:sz w:val="22"/>
                      </w:rPr>
                      <w:t>SUMMARY</w:t>
                    </w:r>
                  </w:p>
                  <w:p>
                    <w:pPr>
                      <w:spacing w:line="276" w:lineRule="auto" w:before="38"/>
                      <w:ind w:left="154" w:right="0" w:firstLine="0"/>
                      <w:jc w:val="left"/>
                      <w:rPr>
                        <w:sz w:val="22"/>
                      </w:rPr>
                    </w:pPr>
                    <w:r>
                      <w:rPr>
                        <w:sz w:val="22"/>
                      </w:rPr>
                      <w:t>This condition is a risk factor for the development of esophageal carcinoma. Therefore, it is necessary to know its ranges of evolution to cancer per year, surveillance methods and new endoscopic therapies.</w:t>
                    </w:r>
                  </w:p>
                  <w:p>
                    <w:pPr>
                      <w:spacing w:line="240" w:lineRule="auto" w:before="6"/>
                      <w:rPr>
                        <w:sz w:val="25"/>
                      </w:rPr>
                    </w:pPr>
                  </w:p>
                  <w:p>
                    <w:pPr>
                      <w:spacing w:before="0"/>
                      <w:ind w:left="154" w:right="0" w:firstLine="0"/>
                      <w:jc w:val="left"/>
                      <w:rPr>
                        <w:sz w:val="22"/>
                      </w:rPr>
                    </w:pPr>
                    <w:r>
                      <w:rPr>
                        <w:sz w:val="22"/>
                      </w:rPr>
                      <w:t>KEYWORDS</w:t>
                    </w:r>
                  </w:p>
                  <w:p>
                    <w:pPr>
                      <w:spacing w:before="39"/>
                      <w:ind w:left="154" w:right="0" w:firstLine="0"/>
                      <w:jc w:val="left"/>
                      <w:rPr>
                        <w:sz w:val="22"/>
                      </w:rPr>
                    </w:pPr>
                    <w:r>
                      <w:rPr>
                        <w:sz w:val="22"/>
                      </w:rPr>
                      <w:t>Barrett's esophagus, dysplasia, adenocarcinoma, reflux.</w:t>
                    </w:r>
                  </w:p>
                </w:txbxContent>
              </v:textbox>
              <w10:wrap type="none"/>
            </v:shape>
            <w10:wrap type="topAndBottom"/>
          </v:group>
        </w:pict>
      </w:r>
    </w:p>
    <w:p>
      <w:pPr>
        <w:pStyle w:val="BodyText"/>
        <w:spacing w:before="5"/>
        <w:rPr>
          <w:sz w:val="9"/>
        </w:rPr>
      </w:pPr>
    </w:p>
    <w:p>
      <w:pPr>
        <w:spacing w:after="0"/>
        <w:rPr>
          <w:sz w:val="9"/>
        </w:rPr>
        <w:sectPr>
          <w:headerReference w:type="default" r:id="rId44"/>
          <w:pgSz w:w="12240" w:h="15840"/>
          <w:pgMar w:header="0" w:footer="882" w:top="1360" w:bottom="1080" w:left="0" w:right="0"/>
        </w:sectPr>
      </w:pPr>
    </w:p>
    <w:p>
      <w:pPr>
        <w:pStyle w:val="Heading4"/>
        <w:spacing w:before="92"/>
      </w:pPr>
      <w:r>
        <w:rPr/>
        <w:t>INTRODUCCIÓN</w:t>
      </w:r>
    </w:p>
    <w:p>
      <w:pPr>
        <w:pStyle w:val="BodyText"/>
        <w:spacing w:before="4"/>
        <w:rPr>
          <w:b/>
          <w:sz w:val="21"/>
        </w:rPr>
      </w:pPr>
    </w:p>
    <w:p>
      <w:pPr>
        <w:pStyle w:val="BodyText"/>
        <w:spacing w:line="276" w:lineRule="auto" w:before="1"/>
        <w:ind w:left="1440" w:right="1"/>
        <w:jc w:val="both"/>
      </w:pPr>
      <w:r>
        <w:rPr/>
        <w:t>El esófago de Barrett (EB) se refiere a la condición en la que el epitelio escamoso estratificado del esófago sufre una metaplasia, y se transforma en epitelio columnar similar al del intestino, por lo que se le ha llamado metaplasia intestinal o metaplasia intestinal especializada. Este proceso se da como resultado de una enfermedad por reflujo gastroesofágico (ERGE) de larga data, donde el epitelio dañado por el material de reflujo gástrico y biliar sana mediante este proceso.</w:t>
      </w:r>
    </w:p>
    <w:p>
      <w:pPr>
        <w:pStyle w:val="Heading4"/>
        <w:spacing w:before="195"/>
      </w:pPr>
      <w:r>
        <w:rPr/>
        <w:t>EPIDEMIOLOGÍA</w:t>
      </w:r>
    </w:p>
    <w:p>
      <w:pPr>
        <w:pStyle w:val="BodyText"/>
        <w:spacing w:before="4"/>
        <w:rPr>
          <w:b/>
          <w:sz w:val="21"/>
        </w:rPr>
      </w:pPr>
    </w:p>
    <w:p>
      <w:pPr>
        <w:pStyle w:val="BodyText"/>
        <w:spacing w:line="276" w:lineRule="auto" w:before="1"/>
        <w:ind w:left="1440"/>
        <w:jc w:val="both"/>
      </w:pPr>
      <w:r>
        <w:rPr/>
        <w:t>El esófago de Barrett comúnmente se identifica en pacientes evaluados por síntomas de ERGE (acidez, regurgitación, disfagia, pirosis, nausea y vómitos), el EB es un hallazgo endoscópico del 15% de los pacientes con ERGE y 1-2% de </w:t>
      </w:r>
      <w:r>
        <w:rPr>
          <w:spacing w:val="-3"/>
        </w:rPr>
        <w:t>la </w:t>
      </w:r>
      <w:r>
        <w:rPr/>
        <w:t>población. Estudios recientes han</w:t>
      </w:r>
      <w:r>
        <w:rPr>
          <w:spacing w:val="-12"/>
        </w:rPr>
        <w:t> </w:t>
      </w:r>
      <w:r>
        <w:rPr/>
        <w:t>sugerido</w:t>
      </w:r>
    </w:p>
    <w:p>
      <w:pPr>
        <w:pStyle w:val="BodyText"/>
        <w:spacing w:line="276" w:lineRule="auto" w:before="95"/>
        <w:ind w:left="678" w:right="1438"/>
        <w:jc w:val="both"/>
      </w:pPr>
      <w:r>
        <w:rPr/>
        <w:br w:type="column"/>
      </w:r>
      <w:r>
        <w:rPr/>
        <w:t>que el riesgo de cáncer en pacientes con EB sin displasia es de 0.12-0.33% al</w:t>
      </w:r>
      <w:r>
        <w:rPr>
          <w:spacing w:val="-10"/>
        </w:rPr>
        <w:t> </w:t>
      </w:r>
      <w:r>
        <w:rPr/>
        <w:t>año.</w:t>
      </w:r>
    </w:p>
    <w:p>
      <w:pPr>
        <w:pStyle w:val="Heading4"/>
        <w:spacing w:line="276" w:lineRule="auto" w:before="199"/>
        <w:ind w:left="678" w:right="2271"/>
      </w:pPr>
      <w:r>
        <w:rPr/>
        <w:t>FACTORES DE RIESGO PARA ESÓFAGO DE BARRETT</w:t>
      </w:r>
    </w:p>
    <w:p>
      <w:pPr>
        <w:pStyle w:val="BodyText"/>
        <w:spacing w:line="276" w:lineRule="auto" w:before="199"/>
        <w:ind w:left="678" w:right="1434"/>
        <w:jc w:val="both"/>
      </w:pPr>
      <w:r>
        <w:rPr>
          <w:i/>
          <w:u w:val="single"/>
        </w:rPr>
        <w:t>Edad:</w:t>
      </w:r>
      <w:r>
        <w:rPr>
          <w:i/>
        </w:rPr>
        <w:t> </w:t>
      </w:r>
      <w:r>
        <w:rPr/>
        <w:t>se ha visto un aumento linear del riesgo de EB en pacientes con inicio temprano de síntomas ERGE, se documentó un riesgo de 2% y 9%, para pacientes de raza blanca con ERGE de 30 y 60 años</w:t>
      </w:r>
      <w:r>
        <w:rPr>
          <w:spacing w:val="-5"/>
        </w:rPr>
        <w:t> </w:t>
      </w:r>
      <w:r>
        <w:rPr/>
        <w:t>respectivamente.</w:t>
      </w:r>
    </w:p>
    <w:p>
      <w:pPr>
        <w:pStyle w:val="BodyText"/>
        <w:spacing w:line="276" w:lineRule="auto" w:before="198"/>
        <w:ind w:left="678" w:right="1438"/>
        <w:jc w:val="both"/>
      </w:pPr>
      <w:r>
        <w:rPr>
          <w:i/>
          <w:u w:val="single"/>
        </w:rPr>
        <w:t>Género masculino</w:t>
      </w:r>
      <w:r>
        <w:rPr>
          <w:u w:val="single"/>
        </w:rPr>
        <w:t>:</w:t>
      </w:r>
      <w:r>
        <w:rPr/>
        <w:t> tiene una prevalencia predominante en los casos reportados de EB y mayor incidencia de carcinoma de esófago.</w:t>
      </w:r>
    </w:p>
    <w:p>
      <w:pPr>
        <w:pStyle w:val="BodyText"/>
        <w:spacing w:line="276" w:lineRule="auto" w:before="197"/>
        <w:ind w:left="678" w:right="1437"/>
        <w:jc w:val="both"/>
      </w:pPr>
      <w:r>
        <w:rPr>
          <w:i/>
          <w:u w:val="single"/>
        </w:rPr>
        <w:t>Obesidad:</w:t>
      </w:r>
      <w:r>
        <w:rPr>
          <w:i/>
        </w:rPr>
        <w:t> </w:t>
      </w:r>
      <w:r>
        <w:rPr/>
        <w:t>se considera un factor independiente para EB, especialmente </w:t>
      </w:r>
      <w:r>
        <w:rPr>
          <w:spacing w:val="-3"/>
        </w:rPr>
        <w:t>la </w:t>
      </w:r>
      <w:r>
        <w:rPr/>
        <w:t>obesidad central, se cree que es debido a </w:t>
      </w:r>
      <w:r>
        <w:rPr>
          <w:spacing w:val="-3"/>
        </w:rPr>
        <w:t>la </w:t>
      </w:r>
      <w:r>
        <w:rPr/>
        <w:t>predisposición a desarrollar ERGE, ya que </w:t>
      </w:r>
      <w:r>
        <w:rPr>
          <w:spacing w:val="-3"/>
        </w:rPr>
        <w:t>la </w:t>
      </w:r>
      <w:r>
        <w:rPr/>
        <w:t>obesidad aumenta </w:t>
      </w:r>
      <w:r>
        <w:rPr>
          <w:spacing w:val="-3"/>
        </w:rPr>
        <w:t>la </w:t>
      </w:r>
      <w:r>
        <w:rPr/>
        <w:t>presión intra gástrica y el gradiente de presión</w:t>
      </w:r>
      <w:r>
        <w:rPr>
          <w:spacing w:val="-14"/>
        </w:rPr>
        <w:t> </w:t>
      </w:r>
      <w:r>
        <w:rPr/>
        <w:t>abdomen-</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even" r:id="rId47"/>
          <w:headerReference w:type="default" r:id="rId48"/>
          <w:footerReference w:type="even" r:id="rId49"/>
          <w:footerReference w:type="default" r:id="rId50"/>
          <w:pgSz w:w="12240" w:h="15840"/>
          <w:pgMar w:header="723" w:footer="872" w:top="940" w:bottom="1060" w:left="0" w:right="0"/>
          <w:pgNumType w:start="8"/>
        </w:sectPr>
      </w:pPr>
    </w:p>
    <w:p>
      <w:pPr>
        <w:pStyle w:val="BodyText"/>
        <w:spacing w:before="8"/>
      </w:pPr>
    </w:p>
    <w:p>
      <w:pPr>
        <w:pStyle w:val="BodyText"/>
        <w:spacing w:line="259" w:lineRule="auto"/>
        <w:ind w:left="1440" w:right="72"/>
      </w:pPr>
      <w:r>
        <w:rPr/>
        <w:t>tórax, además se asocia niveles elevados de hormonas proliferativas (IGF 1 y leptina) y disminución de hormonas antiproliferativas (adiponectina).</w:t>
      </w:r>
    </w:p>
    <w:p>
      <w:pPr>
        <w:pStyle w:val="BodyText"/>
        <w:spacing w:line="276" w:lineRule="auto" w:before="154"/>
        <w:ind w:left="1440"/>
        <w:jc w:val="both"/>
      </w:pPr>
      <w:r>
        <w:rPr>
          <w:i/>
          <w:u w:val="single"/>
        </w:rPr>
        <w:t>Historia familiar</w:t>
      </w:r>
      <w:r>
        <w:rPr/>
        <w:t>: se identificó mayor prevalencia de EB en pacientes con familiares de primer o segundo grado con EB. Apoyando esto, se realizó un estudio en familiares de primer grado de sujetos con EB, </w:t>
      </w:r>
      <w:r>
        <w:rPr>
          <w:spacing w:val="-3"/>
        </w:rPr>
        <w:t>lo </w:t>
      </w:r>
      <w:r>
        <w:rPr/>
        <w:t>que documento un rendimiento diagnóstico del</w:t>
      </w:r>
      <w:r>
        <w:rPr>
          <w:spacing w:val="-7"/>
        </w:rPr>
        <w:t> </w:t>
      </w:r>
      <w:r>
        <w:rPr/>
        <w:t>20%.</w:t>
      </w:r>
    </w:p>
    <w:p>
      <w:pPr>
        <w:pStyle w:val="BodyText"/>
        <w:spacing w:line="276" w:lineRule="auto" w:before="198"/>
        <w:ind w:left="1440" w:right="1"/>
        <w:jc w:val="both"/>
      </w:pPr>
      <w:r>
        <w:rPr>
          <w:i/>
          <w:u w:val="single"/>
        </w:rPr>
        <w:t>Raza blanca</w:t>
      </w:r>
      <w:r>
        <w:rPr/>
        <w:t>: por razones desconocidas </w:t>
      </w:r>
      <w:r>
        <w:rPr>
          <w:spacing w:val="-3"/>
        </w:rPr>
        <w:t>la </w:t>
      </w:r>
      <w:r>
        <w:rPr/>
        <w:t>raza blanca es </w:t>
      </w:r>
      <w:r>
        <w:rPr>
          <w:spacing w:val="-3"/>
        </w:rPr>
        <w:t>la </w:t>
      </w:r>
      <w:r>
        <w:rPr/>
        <w:t>predominante en los casos de EB, siendo muy inusual en asiáticos y en raza</w:t>
      </w:r>
      <w:r>
        <w:rPr>
          <w:spacing w:val="-5"/>
        </w:rPr>
        <w:t> </w:t>
      </w:r>
      <w:r>
        <w:rPr/>
        <w:t>negra.</w:t>
      </w:r>
    </w:p>
    <w:p>
      <w:pPr>
        <w:pStyle w:val="BodyText"/>
        <w:spacing w:line="276" w:lineRule="auto" w:before="198"/>
        <w:ind w:left="1440"/>
        <w:jc w:val="both"/>
      </w:pPr>
      <w:r>
        <w:rPr>
          <w:i/>
          <w:u w:val="single"/>
        </w:rPr>
        <w:t>Tabaco y alcohol</w:t>
      </w:r>
      <w:r>
        <w:rPr/>
        <w:t>: Se ha visto un aumento muy leve en el riesgo de EB con el fumado de cigarrillo. El alcohol no ha mostrado riesgo significante, incluso hay estudios que sugieren algún efecto protector por el consumo de vino.</w:t>
      </w:r>
    </w:p>
    <w:p>
      <w:pPr>
        <w:pStyle w:val="Heading4"/>
        <w:spacing w:line="276" w:lineRule="auto" w:before="195"/>
        <w:ind w:right="62"/>
      </w:pPr>
      <w:r>
        <w:rPr/>
        <w:t>FACTORES DE RIESGO ASOCIADOS CON DISPLASIA Y ADENOCARCINOMA DE ESÓFAGO EN PACIENTES CON EB</w:t>
      </w:r>
    </w:p>
    <w:p>
      <w:pPr>
        <w:pStyle w:val="BodyText"/>
        <w:spacing w:line="276" w:lineRule="auto" w:before="206"/>
        <w:ind w:left="1440"/>
        <w:jc w:val="both"/>
      </w:pPr>
      <w:r>
        <w:rPr/>
        <w:t>La edad avanzada cuenta con 3.3% aumento de riesgo de displasia por año. La longitud del segmento del EB es otro factor importante, se ha documentado un aumento de riesgo de displasia si el segmento mide más de 3 cm, y un riesgo de 14 % por cada cm de EB.</w:t>
      </w:r>
    </w:p>
    <w:p>
      <w:pPr>
        <w:pStyle w:val="BodyText"/>
        <w:spacing w:line="276" w:lineRule="auto" w:before="201"/>
        <w:ind w:left="1440" w:right="1"/>
        <w:jc w:val="both"/>
      </w:pPr>
      <w:r>
        <w:rPr/>
        <w:t>Algunos fármacos han mostrado una disminución de progresión a displasia o cáncer de esófago, entre ellos la aspirina y los antiinflamatorios no esteroideos (AINES) sin importar la duración de la terapia. Según algunos estudios que incluyeron 2,813 pacientes se documentó un riesgo reducido en el 71% de displasia o cáncer de esófago</w:t>
      </w:r>
    </w:p>
    <w:p>
      <w:pPr>
        <w:pStyle w:val="BodyText"/>
        <w:spacing w:before="8"/>
      </w:pPr>
      <w:r>
        <w:rPr/>
        <w:br w:type="column"/>
      </w:r>
      <w:r>
        <w:rPr/>
      </w:r>
    </w:p>
    <w:p>
      <w:pPr>
        <w:pStyle w:val="BodyText"/>
        <w:spacing w:line="276" w:lineRule="auto"/>
        <w:ind w:left="679" w:right="1437"/>
        <w:jc w:val="both"/>
      </w:pPr>
      <w:r>
        <w:rPr/>
        <w:t>con el uso de inhibidores de bombas de protones. Las estatinas documentaron un riesgo reducido de cáncer de esófago en el 41%, se cree que esto es debido a su efecto antiproliferativo, proapoptótico e inmunomodulador.</w:t>
      </w:r>
    </w:p>
    <w:p>
      <w:pPr>
        <w:pStyle w:val="Heading4"/>
        <w:spacing w:before="194"/>
        <w:ind w:left="679"/>
        <w:jc w:val="both"/>
      </w:pPr>
      <w:r>
        <w:rPr/>
        <w:t>DIAGNÓSTICO</w:t>
      </w:r>
    </w:p>
    <w:p>
      <w:pPr>
        <w:pStyle w:val="BodyText"/>
        <w:spacing w:before="4"/>
        <w:rPr>
          <w:b/>
          <w:sz w:val="21"/>
        </w:rPr>
      </w:pPr>
    </w:p>
    <w:p>
      <w:pPr>
        <w:pStyle w:val="BodyText"/>
        <w:spacing w:line="276" w:lineRule="auto"/>
        <w:ind w:left="679" w:right="1434"/>
        <w:jc w:val="both"/>
      </w:pPr>
      <w:r>
        <w:rPr/>
        <w:t>Para realizar el diagnóstico del esófago de Barrett se necesitan 2 criterios a nivel endoscópico. El médico debe comprobar que hay metaplasia intestinal a nivel esófago distal, colocándose en </w:t>
      </w:r>
      <w:r>
        <w:rPr>
          <w:spacing w:val="-3"/>
        </w:rPr>
        <w:t>la </w:t>
      </w:r>
      <w:r>
        <w:rPr/>
        <w:t>unión gastroesofágica (UGE) y determinando que este epitelio color salmón o rojizo con textura de terciopelo se extienda 1 cm o más por encima de </w:t>
      </w:r>
      <w:r>
        <w:rPr>
          <w:spacing w:val="-3"/>
        </w:rPr>
        <w:t>la </w:t>
      </w:r>
      <w:r>
        <w:rPr/>
        <w:t>UGE. La biopsia debe documentar metaplasia</w:t>
      </w:r>
      <w:r>
        <w:rPr>
          <w:spacing w:val="-5"/>
        </w:rPr>
        <w:t> </w:t>
      </w:r>
      <w:r>
        <w:rPr/>
        <w:t>intestinal.</w:t>
      </w:r>
    </w:p>
    <w:p>
      <w:pPr>
        <w:pStyle w:val="BodyText"/>
        <w:spacing w:line="276" w:lineRule="auto" w:before="202"/>
        <w:ind w:left="679" w:right="1434"/>
        <w:jc w:val="both"/>
      </w:pPr>
      <w:r>
        <w:rPr/>
        <w:t>Según las recomendaciones del Colegio Americano de Gastroenterología no se debería realizar biopsia si la línea Z esta normal, o hay variabilidad menor a 1cm. Si hubiera sospecha EB se deberían tomar por lo menos 8 biopsias para maximizar el rendimiento de la histología, si el segmento en el que hay sospecha de EB es muy corto (1-2 cm) se deberían tomar por lo menos 4 biopsias. En pacientes con sospecha de EB y ausencia histológica de metaplasia intestinal se debería considerar repetir la endoscopía en 1-2 años para descartar EB.</w:t>
      </w:r>
    </w:p>
    <w:p>
      <w:pPr>
        <w:pStyle w:val="Heading4"/>
        <w:spacing w:before="199"/>
        <w:ind w:left="679"/>
        <w:jc w:val="both"/>
      </w:pPr>
      <w:r>
        <w:rPr/>
        <w:t>PATOGÉNESIS</w:t>
      </w:r>
    </w:p>
    <w:p>
      <w:pPr>
        <w:pStyle w:val="BodyText"/>
        <w:rPr>
          <w:b/>
          <w:sz w:val="21"/>
        </w:rPr>
      </w:pPr>
    </w:p>
    <w:p>
      <w:pPr>
        <w:pStyle w:val="BodyText"/>
        <w:spacing w:line="276" w:lineRule="auto"/>
        <w:ind w:left="679" w:right="1434"/>
        <w:jc w:val="both"/>
      </w:pPr>
      <w:r>
        <w:rPr/>
        <w:t>El EB es una consecuencia de </w:t>
      </w:r>
      <w:r>
        <w:rPr>
          <w:spacing w:val="-3"/>
        </w:rPr>
        <w:t>la </w:t>
      </w:r>
      <w:r>
        <w:rPr/>
        <w:t>inflamación crónica, inducida por el reflujo de acido, bilis y otras sustancias al esófago, en algunos casos este tejido dañado se va sanar por medio de una metaplasia intestinal, que es un tejido más resistente al daño inducido por el reflujo, algunas características que </w:t>
      </w:r>
      <w:r>
        <w:rPr>
          <w:spacing w:val="-3"/>
        </w:rPr>
        <w:t>le </w:t>
      </w:r>
      <w:r>
        <w:rPr/>
        <w:t>brindan esta resistencia, son </w:t>
      </w:r>
      <w:r>
        <w:rPr>
          <w:spacing w:val="-3"/>
        </w:rPr>
        <w:t>la </w:t>
      </w:r>
      <w:r>
        <w:rPr/>
        <w:t>secreción de mucina y </w:t>
      </w:r>
      <w:r>
        <w:rPr>
          <w:spacing w:val="-3"/>
        </w:rPr>
        <w:t>la </w:t>
      </w:r>
      <w:r>
        <w:rPr/>
        <w:t>expresión de proteína Claudina 18 en</w:t>
      </w:r>
      <w:r>
        <w:rPr>
          <w:spacing w:val="-12"/>
        </w:rPr>
        <w:t> </w:t>
      </w:r>
      <w:r>
        <w:rPr/>
        <w:t>las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rPr>
          <w:sz w:val="20"/>
        </w:rPr>
      </w:pPr>
    </w:p>
    <w:p>
      <w:pPr>
        <w:pStyle w:val="BodyText"/>
        <w:spacing w:before="4"/>
        <w:rPr>
          <w:sz w:val="21"/>
        </w:rPr>
      </w:pPr>
    </w:p>
    <w:tbl>
      <w:tblPr>
        <w:tblW w:w="0" w:type="auto"/>
        <w:jc w:val="left"/>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8"/>
        <w:gridCol w:w="4538"/>
      </w:tblGrid>
      <w:tr>
        <w:trPr>
          <w:trHeight w:val="778" w:hRule="atLeast"/>
        </w:trPr>
        <w:tc>
          <w:tcPr>
            <w:tcW w:w="9996" w:type="dxa"/>
            <w:gridSpan w:val="2"/>
          </w:tcPr>
          <w:p>
            <w:pPr>
              <w:pStyle w:val="TableParagraph"/>
              <w:spacing w:line="276" w:lineRule="auto"/>
              <w:ind w:left="4616" w:right="212" w:hanging="4386"/>
              <w:rPr>
                <w:b/>
                <w:sz w:val="22"/>
              </w:rPr>
            </w:pPr>
            <w:r>
              <w:rPr>
                <w:b/>
                <w:sz w:val="22"/>
              </w:rPr>
              <w:t>Tabla 1.1 Anormalidades fisiológicas propuestas que contribuyen al ERGE in los pacientes con EB</w:t>
            </w:r>
          </w:p>
        </w:tc>
      </w:tr>
      <w:tr>
        <w:trPr>
          <w:trHeight w:val="493" w:hRule="atLeast"/>
        </w:trPr>
        <w:tc>
          <w:tcPr>
            <w:tcW w:w="5458" w:type="dxa"/>
          </w:tcPr>
          <w:p>
            <w:pPr>
              <w:pStyle w:val="TableParagraph"/>
              <w:ind w:left="2086" w:right="2086"/>
              <w:jc w:val="center"/>
              <w:rPr>
                <w:sz w:val="22"/>
              </w:rPr>
            </w:pPr>
            <w:r>
              <w:rPr>
                <w:sz w:val="22"/>
              </w:rPr>
              <w:t>Anormalidad</w:t>
            </w:r>
          </w:p>
        </w:tc>
        <w:tc>
          <w:tcPr>
            <w:tcW w:w="4538" w:type="dxa"/>
          </w:tcPr>
          <w:p>
            <w:pPr>
              <w:pStyle w:val="TableParagraph"/>
              <w:ind w:left="910"/>
              <w:rPr>
                <w:sz w:val="22"/>
              </w:rPr>
            </w:pPr>
            <w:r>
              <w:rPr>
                <w:sz w:val="22"/>
              </w:rPr>
              <w:t>Consecuencias Potenciales</w:t>
            </w:r>
          </w:p>
        </w:tc>
      </w:tr>
      <w:tr>
        <w:trPr>
          <w:trHeight w:val="502" w:hRule="atLeast"/>
        </w:trPr>
        <w:tc>
          <w:tcPr>
            <w:tcW w:w="5458" w:type="dxa"/>
          </w:tcPr>
          <w:p>
            <w:pPr>
              <w:pStyle w:val="TableParagraph"/>
              <w:spacing w:line="250" w:lineRule="exact"/>
              <w:ind w:left="106"/>
              <w:rPr>
                <w:sz w:val="22"/>
              </w:rPr>
            </w:pPr>
            <w:r>
              <w:rPr>
                <w:sz w:val="22"/>
              </w:rPr>
              <w:t>Hipotensión extrema del esfínter esofágico inferior</w:t>
            </w:r>
          </w:p>
        </w:tc>
        <w:tc>
          <w:tcPr>
            <w:tcW w:w="4538" w:type="dxa"/>
          </w:tcPr>
          <w:p>
            <w:pPr>
              <w:pStyle w:val="TableParagraph"/>
              <w:spacing w:line="250" w:lineRule="exact"/>
              <w:ind w:left="107"/>
              <w:rPr>
                <w:sz w:val="22"/>
              </w:rPr>
            </w:pPr>
            <w:r>
              <w:rPr>
                <w:sz w:val="22"/>
              </w:rPr>
              <w:t>Reflujo gastroesofágico</w:t>
            </w:r>
          </w:p>
        </w:tc>
      </w:tr>
      <w:tr>
        <w:trPr>
          <w:trHeight w:val="581" w:hRule="atLeast"/>
        </w:trPr>
        <w:tc>
          <w:tcPr>
            <w:tcW w:w="5458" w:type="dxa"/>
          </w:tcPr>
          <w:p>
            <w:pPr>
              <w:pStyle w:val="TableParagraph"/>
              <w:spacing w:line="250" w:lineRule="exact"/>
              <w:ind w:left="106"/>
              <w:rPr>
                <w:sz w:val="22"/>
              </w:rPr>
            </w:pPr>
            <w:r>
              <w:rPr>
                <w:sz w:val="22"/>
              </w:rPr>
              <w:t>Motilidad esofágica inefectiva</w:t>
            </w:r>
          </w:p>
        </w:tc>
        <w:tc>
          <w:tcPr>
            <w:tcW w:w="4538" w:type="dxa"/>
          </w:tcPr>
          <w:p>
            <w:pPr>
              <w:pStyle w:val="TableParagraph"/>
              <w:spacing w:line="250" w:lineRule="exact"/>
              <w:ind w:left="107"/>
              <w:rPr>
                <w:sz w:val="22"/>
              </w:rPr>
            </w:pPr>
            <w:r>
              <w:rPr>
                <w:sz w:val="22"/>
              </w:rPr>
              <w:t>Aclaramiento defectuoso del material</w:t>
            </w:r>
          </w:p>
          <w:p>
            <w:pPr>
              <w:pStyle w:val="TableParagraph"/>
              <w:spacing w:before="39"/>
              <w:ind w:left="107"/>
              <w:rPr>
                <w:sz w:val="22"/>
              </w:rPr>
            </w:pPr>
            <w:r>
              <w:rPr>
                <w:sz w:val="22"/>
              </w:rPr>
              <w:t>refluido</w:t>
            </w:r>
          </w:p>
        </w:tc>
      </w:tr>
      <w:tr>
        <w:trPr>
          <w:trHeight w:val="290" w:hRule="atLeast"/>
        </w:trPr>
        <w:tc>
          <w:tcPr>
            <w:tcW w:w="5458" w:type="dxa"/>
          </w:tcPr>
          <w:p>
            <w:pPr>
              <w:pStyle w:val="TableParagraph"/>
              <w:spacing w:line="250" w:lineRule="exact"/>
              <w:ind w:left="106"/>
              <w:rPr>
                <w:sz w:val="22"/>
              </w:rPr>
            </w:pPr>
            <w:r>
              <w:rPr>
                <w:sz w:val="22"/>
              </w:rPr>
              <w:t>Hipersecreción gástrica</w:t>
            </w:r>
          </w:p>
        </w:tc>
        <w:tc>
          <w:tcPr>
            <w:tcW w:w="4538" w:type="dxa"/>
          </w:tcPr>
          <w:p>
            <w:pPr>
              <w:pStyle w:val="TableParagraph"/>
              <w:spacing w:line="250" w:lineRule="exact"/>
              <w:ind w:left="107"/>
              <w:rPr>
                <w:sz w:val="22"/>
              </w:rPr>
            </w:pPr>
            <w:r>
              <w:rPr>
                <w:sz w:val="22"/>
              </w:rPr>
              <w:t>Reflujo de jugo gástrico altamente acido</w:t>
            </w:r>
          </w:p>
        </w:tc>
      </w:tr>
      <w:tr>
        <w:trPr>
          <w:trHeight w:val="582" w:hRule="atLeast"/>
        </w:trPr>
        <w:tc>
          <w:tcPr>
            <w:tcW w:w="5458" w:type="dxa"/>
          </w:tcPr>
          <w:p>
            <w:pPr>
              <w:pStyle w:val="TableParagraph"/>
              <w:ind w:left="106"/>
              <w:rPr>
                <w:sz w:val="22"/>
              </w:rPr>
            </w:pPr>
            <w:r>
              <w:rPr>
                <w:sz w:val="22"/>
              </w:rPr>
              <w:t>Reflujo duodeno-gástrico</w:t>
            </w:r>
          </w:p>
        </w:tc>
        <w:tc>
          <w:tcPr>
            <w:tcW w:w="4538" w:type="dxa"/>
          </w:tcPr>
          <w:p>
            <w:pPr>
              <w:pStyle w:val="TableParagraph"/>
              <w:ind w:left="107"/>
              <w:rPr>
                <w:sz w:val="22"/>
              </w:rPr>
            </w:pPr>
            <w:r>
              <w:rPr>
                <w:sz w:val="22"/>
              </w:rPr>
              <w:t>Lesión esofágica causada por reflujo de</w:t>
            </w:r>
          </w:p>
          <w:p>
            <w:pPr>
              <w:pStyle w:val="TableParagraph"/>
              <w:spacing w:before="34"/>
              <w:ind w:left="107"/>
              <w:rPr>
                <w:sz w:val="22"/>
              </w:rPr>
            </w:pPr>
            <w:r>
              <w:rPr>
                <w:sz w:val="22"/>
              </w:rPr>
              <w:t>ácidos biliares y enzimas pancreáticas</w:t>
            </w:r>
          </w:p>
        </w:tc>
      </w:tr>
      <w:tr>
        <w:trPr>
          <w:trHeight w:val="582" w:hRule="atLeast"/>
        </w:trPr>
        <w:tc>
          <w:tcPr>
            <w:tcW w:w="5458" w:type="dxa"/>
          </w:tcPr>
          <w:p>
            <w:pPr>
              <w:pStyle w:val="TableParagraph"/>
              <w:spacing w:before="1"/>
              <w:ind w:left="106"/>
              <w:rPr>
                <w:sz w:val="22"/>
              </w:rPr>
            </w:pPr>
            <w:r>
              <w:rPr>
                <w:sz w:val="22"/>
              </w:rPr>
              <w:t>Disminución de la secreción salivar de EGF</w:t>
            </w:r>
          </w:p>
        </w:tc>
        <w:tc>
          <w:tcPr>
            <w:tcW w:w="4538" w:type="dxa"/>
          </w:tcPr>
          <w:p>
            <w:pPr>
              <w:pStyle w:val="TableParagraph"/>
              <w:spacing w:before="1"/>
              <w:ind w:left="107"/>
              <w:rPr>
                <w:sz w:val="22"/>
              </w:rPr>
            </w:pPr>
            <w:r>
              <w:rPr>
                <w:sz w:val="22"/>
              </w:rPr>
              <w:t>Curación retardada de la mucosa esofágica</w:t>
            </w:r>
          </w:p>
          <w:p>
            <w:pPr>
              <w:pStyle w:val="TableParagraph"/>
              <w:spacing w:before="35"/>
              <w:ind w:left="107"/>
              <w:rPr>
                <w:sz w:val="22"/>
              </w:rPr>
            </w:pPr>
            <w:r>
              <w:rPr>
                <w:sz w:val="22"/>
              </w:rPr>
              <w:t>dañada por reflujo</w:t>
            </w:r>
          </w:p>
        </w:tc>
      </w:tr>
      <w:tr>
        <w:trPr>
          <w:trHeight w:val="581" w:hRule="atLeast"/>
        </w:trPr>
        <w:tc>
          <w:tcPr>
            <w:tcW w:w="5458" w:type="dxa"/>
          </w:tcPr>
          <w:p>
            <w:pPr>
              <w:pStyle w:val="TableParagraph"/>
              <w:ind w:left="106"/>
              <w:rPr>
                <w:sz w:val="22"/>
              </w:rPr>
            </w:pPr>
            <w:r>
              <w:rPr>
                <w:sz w:val="22"/>
              </w:rPr>
              <w:t>Diminución esofágica de la sensibilidad dolorosa al</w:t>
            </w:r>
          </w:p>
          <w:p>
            <w:pPr>
              <w:pStyle w:val="TableParagraph"/>
              <w:spacing w:before="34"/>
              <w:ind w:left="106"/>
              <w:rPr>
                <w:sz w:val="22"/>
              </w:rPr>
            </w:pPr>
            <w:r>
              <w:rPr>
                <w:sz w:val="22"/>
              </w:rPr>
              <w:t>material cáustico del reflujo</w:t>
            </w:r>
          </w:p>
        </w:tc>
        <w:tc>
          <w:tcPr>
            <w:tcW w:w="4538" w:type="dxa"/>
          </w:tcPr>
          <w:p>
            <w:pPr>
              <w:pStyle w:val="TableParagraph"/>
              <w:ind w:left="107"/>
              <w:rPr>
                <w:sz w:val="22"/>
              </w:rPr>
            </w:pPr>
            <w:r>
              <w:rPr>
                <w:sz w:val="22"/>
              </w:rPr>
              <w:t>Fallo para iniciar terapia</w:t>
            </w:r>
          </w:p>
        </w:tc>
      </w:tr>
      <w:tr>
        <w:trPr>
          <w:trHeight w:val="810" w:hRule="atLeast"/>
        </w:trPr>
        <w:tc>
          <w:tcPr>
            <w:tcW w:w="9996" w:type="dxa"/>
            <w:gridSpan w:val="2"/>
          </w:tcPr>
          <w:p>
            <w:pPr>
              <w:pStyle w:val="TableParagraph"/>
              <w:spacing w:before="6"/>
              <w:rPr>
                <w:sz w:val="20"/>
              </w:rPr>
            </w:pPr>
          </w:p>
          <w:p>
            <w:pPr>
              <w:pStyle w:val="TableParagraph"/>
              <w:spacing w:before="1"/>
              <w:ind w:left="70"/>
              <w:rPr>
                <w:i/>
                <w:sz w:val="16"/>
              </w:rPr>
            </w:pPr>
            <w:r>
              <w:rPr>
                <w:i/>
                <w:sz w:val="16"/>
              </w:rPr>
              <w:t>Sleisenger and Fordtran´s GASTROINTESTINAL AND LIVER DISEASE. Barrett´s Esophagus 2015. 10</w:t>
            </w:r>
            <w:r>
              <w:rPr>
                <w:i/>
                <w:sz w:val="16"/>
                <w:vertAlign w:val="superscript"/>
              </w:rPr>
              <w:t>th</w:t>
            </w:r>
            <w:r>
              <w:rPr>
                <w:i/>
                <w:sz w:val="16"/>
                <w:vertAlign w:val="baseline"/>
              </w:rPr>
              <w:t> Edition, Vol 1, Chapter 45 page </w:t>
            </w:r>
            <w:r>
              <w:rPr>
                <w:i/>
                <w:sz w:val="16"/>
                <w:vertAlign w:val="baseline"/>
              </w:rPr>
              <w:t>756</w:t>
            </w:r>
          </w:p>
        </w:tc>
      </w:tr>
    </w:tbl>
    <w:p>
      <w:pPr>
        <w:spacing w:after="0"/>
        <w:rPr>
          <w:sz w:val="16"/>
        </w:rPr>
        <w:sectPr>
          <w:pgSz w:w="12240" w:h="15840"/>
          <w:pgMar w:header="723" w:footer="882" w:top="940" w:bottom="1080" w:left="0" w:right="0"/>
        </w:sectPr>
      </w:pPr>
    </w:p>
    <w:p>
      <w:pPr>
        <w:pStyle w:val="BodyText"/>
        <w:spacing w:before="5"/>
        <w:rPr>
          <w:sz w:val="23"/>
        </w:rPr>
      </w:pPr>
    </w:p>
    <w:p>
      <w:pPr>
        <w:pStyle w:val="BodyText"/>
        <w:spacing w:line="276" w:lineRule="auto"/>
        <w:ind w:left="1440" w:right="3"/>
        <w:jc w:val="both"/>
      </w:pPr>
      <w:r>
        <w:rPr/>
        <w:t>Uniones estrechas, desafortunadamente este tejido metaplásico predispone a cáncer de esófago.</w:t>
      </w:r>
    </w:p>
    <w:p>
      <w:pPr>
        <w:pStyle w:val="BodyText"/>
        <w:spacing w:line="276" w:lineRule="auto" w:before="197"/>
        <w:ind w:left="1440"/>
        <w:jc w:val="both"/>
      </w:pPr>
      <w:r>
        <w:rPr/>
        <w:t>Aun no se conoce el mecanismo exacto por el cual se da </w:t>
      </w:r>
      <w:r>
        <w:rPr>
          <w:spacing w:val="-3"/>
        </w:rPr>
        <w:t>la </w:t>
      </w:r>
      <w:r>
        <w:rPr/>
        <w:t>metaplasia intestinal, no hay evidencia de cuál sea </w:t>
      </w:r>
      <w:r>
        <w:rPr>
          <w:spacing w:val="-3"/>
        </w:rPr>
        <w:t>la </w:t>
      </w:r>
      <w:r>
        <w:rPr/>
        <w:t>célula progenitora. Se postuló </w:t>
      </w:r>
      <w:r>
        <w:rPr>
          <w:spacing w:val="-3"/>
        </w:rPr>
        <w:t>la </w:t>
      </w:r>
      <w:r>
        <w:rPr/>
        <w:t>hipótesis en </w:t>
      </w:r>
      <w:r>
        <w:rPr>
          <w:spacing w:val="-3"/>
        </w:rPr>
        <w:t>la </w:t>
      </w:r>
      <w:r>
        <w:rPr/>
        <w:t>cual </w:t>
      </w:r>
      <w:r>
        <w:rPr>
          <w:spacing w:val="-3"/>
        </w:rPr>
        <w:t>la </w:t>
      </w:r>
      <w:r>
        <w:rPr/>
        <w:t>metaplasia de Barrett es el resultado de un proceso en el que las células progenitoras en el esófago que normalmente se diferencien en células escamosas, se diferencian en células columnares; sin embargo estudios recientes sugieren que </w:t>
      </w:r>
      <w:r>
        <w:rPr>
          <w:spacing w:val="-3"/>
        </w:rPr>
        <w:t>la </w:t>
      </w:r>
      <w:r>
        <w:rPr/>
        <w:t>metaplasia de Barrett podría ser el resultado de </w:t>
      </w:r>
      <w:r>
        <w:rPr>
          <w:spacing w:val="-3"/>
        </w:rPr>
        <w:t>la </w:t>
      </w:r>
      <w:r>
        <w:rPr/>
        <w:t>migración proximal de las células madre del cardias gástrico, o de </w:t>
      </w:r>
      <w:r>
        <w:rPr>
          <w:spacing w:val="-3"/>
        </w:rPr>
        <w:t>la </w:t>
      </w:r>
      <w:r>
        <w:rPr/>
        <w:t>expansión de un nido de células embrionarias residuales en </w:t>
      </w:r>
      <w:r>
        <w:rPr>
          <w:spacing w:val="-3"/>
        </w:rPr>
        <w:t>la</w:t>
      </w:r>
      <w:r>
        <w:rPr>
          <w:spacing w:val="0"/>
        </w:rPr>
        <w:t> </w:t>
      </w:r>
      <w:r>
        <w:rPr/>
        <w:t>UGE.</w:t>
      </w:r>
    </w:p>
    <w:p>
      <w:pPr>
        <w:pStyle w:val="BodyText"/>
        <w:spacing w:line="276" w:lineRule="auto" w:before="198"/>
        <w:ind w:left="1440" w:right="5"/>
        <w:jc w:val="both"/>
      </w:pPr>
      <w:r>
        <w:rPr/>
        <w:t>Usualmente estos pacientes van a tener un reflujo gastroesofágico severo y se cree que es debido a ciertas anormalidades, como se ven en la tabla 1.1.</w:t>
      </w:r>
    </w:p>
    <w:p>
      <w:pPr>
        <w:pStyle w:val="Heading4"/>
        <w:spacing w:before="35"/>
        <w:ind w:left="676"/>
      </w:pPr>
      <w:r>
        <w:rPr>
          <w:b w:val="0"/>
        </w:rPr>
        <w:br w:type="column"/>
      </w:r>
      <w:r>
        <w:rPr/>
        <w:t>VIGILANCIA</w:t>
      </w:r>
    </w:p>
    <w:p>
      <w:pPr>
        <w:pStyle w:val="BodyText"/>
        <w:rPr>
          <w:b/>
          <w:sz w:val="26"/>
        </w:rPr>
      </w:pPr>
    </w:p>
    <w:p>
      <w:pPr>
        <w:pStyle w:val="BodyText"/>
        <w:spacing w:before="10"/>
        <w:rPr>
          <w:b/>
          <w:sz w:val="37"/>
        </w:rPr>
      </w:pPr>
    </w:p>
    <w:p>
      <w:pPr>
        <w:pStyle w:val="BodyText"/>
        <w:spacing w:line="276" w:lineRule="auto"/>
        <w:ind w:left="676" w:right="1435"/>
        <w:jc w:val="both"/>
      </w:pPr>
      <w:r>
        <w:rPr/>
        <w:t>El Colegio Americano de Gastroenterología recomienda en cuanto la vigilancia del esófago de Barrett:</w:t>
      </w:r>
    </w:p>
    <w:p>
      <w:pPr>
        <w:pStyle w:val="ListParagraph"/>
        <w:numPr>
          <w:ilvl w:val="0"/>
          <w:numId w:val="8"/>
        </w:numPr>
        <w:tabs>
          <w:tab w:pos="1397" w:val="left" w:leader="none"/>
        </w:tabs>
        <w:spacing w:line="273" w:lineRule="auto" w:before="200" w:after="0"/>
        <w:ind w:left="1396" w:right="1432" w:hanging="360"/>
        <w:jc w:val="both"/>
        <w:rPr>
          <w:sz w:val="22"/>
        </w:rPr>
      </w:pPr>
      <w:r>
        <w:rPr>
          <w:sz w:val="22"/>
        </w:rPr>
        <w:t>Realizar vigilancia después de un asesoramiento adecuado acerca de los riesgos y beneficios de </w:t>
      </w:r>
      <w:r>
        <w:rPr>
          <w:spacing w:val="-3"/>
          <w:sz w:val="22"/>
        </w:rPr>
        <w:t>la </w:t>
      </w:r>
      <w:r>
        <w:rPr>
          <w:sz w:val="22"/>
        </w:rPr>
        <w:t>vigilancia.</w:t>
      </w:r>
    </w:p>
    <w:p>
      <w:pPr>
        <w:pStyle w:val="ListParagraph"/>
        <w:numPr>
          <w:ilvl w:val="0"/>
          <w:numId w:val="8"/>
        </w:numPr>
        <w:tabs>
          <w:tab w:pos="1397" w:val="left" w:leader="none"/>
        </w:tabs>
        <w:spacing w:line="273" w:lineRule="auto" w:before="5" w:after="0"/>
        <w:ind w:left="1396" w:right="1437" w:hanging="360"/>
        <w:jc w:val="both"/>
        <w:rPr>
          <w:sz w:val="22"/>
        </w:rPr>
      </w:pPr>
      <w:r>
        <w:rPr>
          <w:sz w:val="22"/>
        </w:rPr>
        <w:t>Para pacientes con EB sin displasia, realizar vigilancia endoscópica cada 3-5</w:t>
      </w:r>
      <w:r>
        <w:rPr>
          <w:spacing w:val="-1"/>
          <w:sz w:val="22"/>
        </w:rPr>
        <w:t> </w:t>
      </w:r>
      <w:r>
        <w:rPr>
          <w:sz w:val="22"/>
        </w:rPr>
        <w:t>años.</w:t>
      </w:r>
    </w:p>
    <w:p>
      <w:pPr>
        <w:pStyle w:val="ListParagraph"/>
        <w:numPr>
          <w:ilvl w:val="0"/>
          <w:numId w:val="8"/>
        </w:numPr>
        <w:tabs>
          <w:tab w:pos="1397" w:val="left" w:leader="none"/>
        </w:tabs>
        <w:spacing w:line="273" w:lineRule="auto" w:before="5" w:after="0"/>
        <w:ind w:left="1396" w:right="1436" w:hanging="360"/>
        <w:jc w:val="both"/>
        <w:rPr>
          <w:sz w:val="22"/>
        </w:rPr>
      </w:pPr>
      <w:r>
        <w:rPr>
          <w:sz w:val="22"/>
        </w:rPr>
        <w:t>Se debe realizar vigilancia con endoscopio de luz blanca de alta resolución.</w:t>
      </w:r>
    </w:p>
    <w:p>
      <w:pPr>
        <w:pStyle w:val="ListParagraph"/>
        <w:numPr>
          <w:ilvl w:val="0"/>
          <w:numId w:val="8"/>
        </w:numPr>
        <w:tabs>
          <w:tab w:pos="1397" w:val="left" w:leader="none"/>
        </w:tabs>
        <w:spacing w:line="273" w:lineRule="auto" w:before="5" w:after="0"/>
        <w:ind w:left="1396" w:right="1436" w:hanging="360"/>
        <w:jc w:val="both"/>
        <w:rPr>
          <w:sz w:val="22"/>
        </w:rPr>
      </w:pPr>
      <w:r>
        <w:rPr>
          <w:sz w:val="22"/>
        </w:rPr>
        <w:t>La vigilancia endoscópica debería emplear una biopsia en los 4 cuadrantes a intervalos de 2 cm sin displasia e intervalos de 1 cm en pacientes con displasia</w:t>
      </w:r>
      <w:r>
        <w:rPr>
          <w:spacing w:val="-4"/>
          <w:sz w:val="22"/>
        </w:rPr>
        <w:t> </w:t>
      </w:r>
      <w:r>
        <w:rPr>
          <w:sz w:val="22"/>
        </w:rPr>
        <w:t>previa.</w:t>
      </w:r>
    </w:p>
    <w:p>
      <w:pPr>
        <w:pStyle w:val="Heading4"/>
        <w:spacing w:before="201"/>
        <w:ind w:left="676"/>
        <w:jc w:val="both"/>
      </w:pPr>
      <w:r>
        <w:rPr/>
        <w:t>TRATAMIENTO</w:t>
      </w:r>
    </w:p>
    <w:p>
      <w:pPr>
        <w:spacing w:after="0"/>
        <w:jc w:val="both"/>
        <w:sectPr>
          <w:type w:val="continuous"/>
          <w:pgSz w:w="12240" w:h="15840"/>
          <w:pgMar w:top="1500" w:bottom="0" w:left="0" w:right="0"/>
          <w:cols w:num="2" w:equalWidth="0">
            <w:col w:w="5766" w:space="40"/>
            <w:col w:w="6434"/>
          </w:cols>
        </w:sectPr>
      </w:pPr>
    </w:p>
    <w:p>
      <w:pPr>
        <w:pStyle w:val="BodyText"/>
        <w:rPr>
          <w:b/>
          <w:sz w:val="20"/>
        </w:rPr>
      </w:pPr>
    </w:p>
    <w:p>
      <w:pPr>
        <w:spacing w:after="0"/>
        <w:rPr>
          <w:sz w:val="20"/>
        </w:rPr>
        <w:sectPr>
          <w:footerReference w:type="even" r:id="rId51"/>
          <w:footerReference w:type="default" r:id="rId52"/>
          <w:pgSz w:w="12240" w:h="15840"/>
          <w:pgMar w:footer="872" w:header="723" w:top="940" w:bottom="1060" w:left="0" w:right="0"/>
          <w:pgNumType w:start="10"/>
        </w:sectPr>
      </w:pPr>
    </w:p>
    <w:p>
      <w:pPr>
        <w:pStyle w:val="BodyText"/>
        <w:spacing w:before="6"/>
        <w:rPr>
          <w:b/>
        </w:rPr>
      </w:pPr>
    </w:p>
    <w:p>
      <w:pPr>
        <w:pStyle w:val="Heading4"/>
      </w:pPr>
      <w:r>
        <w:rPr/>
        <w:t>Manejo del reflujo</w:t>
      </w:r>
    </w:p>
    <w:p>
      <w:pPr>
        <w:pStyle w:val="BodyText"/>
        <w:spacing w:before="1"/>
        <w:rPr>
          <w:b/>
          <w:sz w:val="21"/>
        </w:rPr>
      </w:pPr>
    </w:p>
    <w:p>
      <w:pPr>
        <w:pStyle w:val="BodyText"/>
        <w:spacing w:line="276" w:lineRule="auto"/>
        <w:ind w:left="1440" w:right="6"/>
        <w:jc w:val="both"/>
      </w:pPr>
      <w:r>
        <w:rPr/>
        <w:t>Debido a la importante evidencia sobre la relación del reflujo acido con la carcinogénesis, en la actualidad se</w:t>
      </w:r>
    </w:p>
    <w:p>
      <w:pPr>
        <w:pStyle w:val="BodyText"/>
        <w:spacing w:line="259" w:lineRule="auto" w:before="202"/>
        <w:ind w:left="1440" w:right="108"/>
        <w:rPr>
          <w:sz w:val="24"/>
        </w:rPr>
      </w:pPr>
      <w:r>
        <w:rPr/>
        <w:t>recomienda el uso de terapia con inhibidores de bomba de protones de inicio y mantenimiento. Se debe dar una dosis diaria y no se recomienda dar dos dosis diarias al menos que haya poco control de los síntomas</w:t>
      </w:r>
      <w:r>
        <w:rPr>
          <w:sz w:val="24"/>
        </w:rPr>
        <w:t>.</w:t>
      </w:r>
    </w:p>
    <w:p>
      <w:pPr>
        <w:pStyle w:val="Heading4"/>
        <w:spacing w:before="154"/>
      </w:pPr>
      <w:r>
        <w:rPr/>
        <w:t>Aspirina y AINES</w:t>
      </w:r>
    </w:p>
    <w:p>
      <w:pPr>
        <w:pStyle w:val="BodyText"/>
        <w:spacing w:before="4"/>
        <w:rPr>
          <w:b/>
          <w:sz w:val="21"/>
        </w:rPr>
      </w:pPr>
    </w:p>
    <w:p>
      <w:pPr>
        <w:pStyle w:val="BodyText"/>
        <w:spacing w:line="276" w:lineRule="auto" w:before="1"/>
        <w:ind w:left="1440"/>
        <w:jc w:val="both"/>
      </w:pPr>
      <w:r>
        <w:rPr/>
        <w:t>Los AINES y la aspirina por medio de la inhibición de la COX-2 y otros mecanismos como disminución de angiogénesis y proliferación celular, aumento en la apoptosis, han demostrado una disminución del riesgo de cáncer de esófago sin embargo no se recomienda su uso para quimio prevención, ya que no se ha comprobado que sus beneficios superen los riesgos de efectos secundarios a nivel gastrointestinal y cardiovascular.</w:t>
      </w:r>
    </w:p>
    <w:p>
      <w:pPr>
        <w:pStyle w:val="Heading4"/>
        <w:spacing w:before="200"/>
      </w:pPr>
      <w:r>
        <w:rPr/>
        <w:t>Terapias endoscópicas</w:t>
      </w:r>
    </w:p>
    <w:p>
      <w:pPr>
        <w:pStyle w:val="BodyText"/>
        <w:spacing w:before="1"/>
        <w:rPr>
          <w:b/>
          <w:sz w:val="21"/>
        </w:rPr>
      </w:pPr>
    </w:p>
    <w:p>
      <w:pPr>
        <w:pStyle w:val="BodyText"/>
        <w:spacing w:line="276" w:lineRule="auto"/>
        <w:ind w:left="1440"/>
        <w:jc w:val="both"/>
      </w:pPr>
      <w:r>
        <w:rPr/>
        <w:t>Se han desarrollado dos terapias a nivel endoscópico, al usar una o ambas se les denomina: terapia de erradicación endoscópica. La primera es la terapia ablativa que consiste en la destrucción de tejido metaplásico y la segunda es la resección mucosa endoscópica (EMR), que consiste en remover un segmento del epitelio de Barrett. Los ensayos controlados aleatorios se han realizado con la terapia fotodinámica (PDT) y la Ablación por radio frecuencia (RFA). La RFA ha documentado</w:t>
      </w:r>
    </w:p>
    <w:p>
      <w:pPr>
        <w:pStyle w:val="BodyText"/>
        <w:spacing w:before="8"/>
      </w:pPr>
      <w:r>
        <w:rPr/>
        <w:br w:type="column"/>
      </w:r>
      <w:r>
        <w:rPr/>
      </w:r>
    </w:p>
    <w:p>
      <w:pPr>
        <w:pStyle w:val="BodyText"/>
        <w:spacing w:line="276" w:lineRule="auto"/>
        <w:ind w:left="678" w:right="1432"/>
        <w:jc w:val="both"/>
      </w:pPr>
      <w:r>
        <w:rPr/>
        <w:t>menor cantidad de efectos adversos y un perfil similar a </w:t>
      </w:r>
      <w:r>
        <w:rPr>
          <w:spacing w:val="-3"/>
        </w:rPr>
        <w:t>la </w:t>
      </w:r>
      <w:r>
        <w:rPr/>
        <w:t>PDT para ablación del EB, por </w:t>
      </w:r>
      <w:r>
        <w:rPr>
          <w:spacing w:val="-3"/>
        </w:rPr>
        <w:t>lo </w:t>
      </w:r>
      <w:r>
        <w:rPr/>
        <w:t>que se está volviendo el procedimiento de elección para terapia ablativa. La EMR que nació como un procedimiento terapéutico, se ha visto su valor importante en el estadiaje de neoplasias en el EB. Los pacientes en los que </w:t>
      </w:r>
      <w:r>
        <w:rPr>
          <w:spacing w:val="-3"/>
        </w:rPr>
        <w:t>la </w:t>
      </w:r>
      <w:r>
        <w:rPr/>
        <w:t>neoplasia involucra </w:t>
      </w:r>
      <w:r>
        <w:rPr>
          <w:spacing w:val="-3"/>
        </w:rPr>
        <w:t>la </w:t>
      </w:r>
      <w:r>
        <w:rPr/>
        <w:t>submucosa tienen riesgo alto de metástasis a nódulos linfáticos, debido a esto el estadiaje es de suma importancia para valorar </w:t>
      </w:r>
      <w:r>
        <w:rPr>
          <w:spacing w:val="-3"/>
        </w:rPr>
        <w:t>la </w:t>
      </w:r>
      <w:r>
        <w:rPr/>
        <w:t>siguiente forma de actuar. Se recomienda tomar biopsia de las lesiones sospechosas, en lesiones nodulares realizar primeramente EMR como uso terapéutico  y diagnóstico, si </w:t>
      </w:r>
      <w:r>
        <w:rPr>
          <w:spacing w:val="-3"/>
        </w:rPr>
        <w:t>la </w:t>
      </w:r>
      <w:r>
        <w:rPr/>
        <w:t>muestra documenta displasia de bajo, alto grado o carcinoma confinado a </w:t>
      </w:r>
      <w:r>
        <w:rPr>
          <w:spacing w:val="-3"/>
        </w:rPr>
        <w:t>la </w:t>
      </w:r>
      <w:r>
        <w:rPr/>
        <w:t>mucosa el siguiente paso sería dar terapia endoscópica de ablación, pero si </w:t>
      </w:r>
      <w:r>
        <w:rPr>
          <w:spacing w:val="-3"/>
        </w:rPr>
        <w:t>la </w:t>
      </w:r>
      <w:r>
        <w:rPr/>
        <w:t>biopsia documenta un estadio T1b (invade submucosa) se recomienda dar un manejo integral con cirujanos</w:t>
      </w:r>
      <w:r>
        <w:rPr>
          <w:spacing w:val="-4"/>
        </w:rPr>
        <w:t> </w:t>
      </w:r>
      <w:r>
        <w:rPr/>
        <w:t>oncólogos.</w:t>
      </w:r>
    </w:p>
    <w:p>
      <w:pPr>
        <w:pStyle w:val="Heading4"/>
        <w:spacing w:before="198"/>
        <w:ind w:left="678"/>
      </w:pPr>
      <w:r>
        <w:rPr/>
        <w:t>Terapia Quirúrgica</w:t>
      </w:r>
    </w:p>
    <w:p>
      <w:pPr>
        <w:pStyle w:val="BodyText"/>
        <w:spacing w:before="1"/>
        <w:rPr>
          <w:b/>
          <w:sz w:val="21"/>
        </w:rPr>
      </w:pPr>
    </w:p>
    <w:p>
      <w:pPr>
        <w:pStyle w:val="BodyText"/>
        <w:spacing w:line="276" w:lineRule="auto"/>
        <w:ind w:left="678" w:right="1429"/>
        <w:jc w:val="both"/>
      </w:pPr>
      <w:r>
        <w:rPr/>
        <w:t>La esofagectomía es el tratamiento de elección para estadios T1b sm 2-3 o pacientes con T1a o T1b sm1 con pronóstico desfavorable. Tiene una importante asociación de complicaciones posoperatorias (infarto de miocardio, neumonía e infección de herida) en el 30- 50%. En pacientes con enfermedad invasiva se ha descrito una mortalidad operatoria del 20 % Se ha documentado una calidad de vida favorable a largo plazo con este</w:t>
      </w:r>
      <w:r>
        <w:rPr>
          <w:spacing w:val="-1"/>
        </w:rPr>
        <w:t> </w:t>
      </w:r>
      <w:r>
        <w:rPr/>
        <w:t>procedimiento.</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9"/>
        <w:rPr>
          <w:sz w:val="16"/>
        </w:rPr>
      </w:pPr>
    </w:p>
    <w:p>
      <w:pPr>
        <w:pStyle w:val="Heading4"/>
        <w:spacing w:before="92"/>
      </w:pPr>
      <w:r>
        <w:rPr/>
        <w:t>BIBLIOGRAFIA</w:t>
      </w:r>
    </w:p>
    <w:p>
      <w:pPr>
        <w:spacing w:after="0"/>
        <w:sectPr>
          <w:type w:val="continuous"/>
          <w:pgSz w:w="12240" w:h="15840"/>
          <w:pgMar w:top="1500" w:bottom="0" w:left="0" w:right="0"/>
        </w:sectPr>
      </w:pPr>
    </w:p>
    <w:p>
      <w:pPr>
        <w:pStyle w:val="BodyText"/>
        <w:rPr>
          <w:b/>
          <w:sz w:val="20"/>
        </w:rPr>
      </w:pPr>
    </w:p>
    <w:p>
      <w:pPr>
        <w:pStyle w:val="BodyText"/>
        <w:spacing w:before="6"/>
        <w:rPr>
          <w:b/>
        </w:rPr>
      </w:pPr>
    </w:p>
    <w:p>
      <w:pPr>
        <w:pStyle w:val="ListParagraph"/>
        <w:numPr>
          <w:ilvl w:val="1"/>
          <w:numId w:val="8"/>
        </w:numPr>
        <w:tabs>
          <w:tab w:pos="1801" w:val="left" w:leader="none"/>
        </w:tabs>
        <w:spacing w:line="240" w:lineRule="auto" w:before="0" w:after="0"/>
        <w:ind w:left="1800" w:right="1431" w:hanging="360"/>
        <w:jc w:val="both"/>
        <w:rPr>
          <w:rFonts w:ascii="Symbol" w:hAnsi="Symbol"/>
          <w:color w:val="212121"/>
          <w:sz w:val="20"/>
        </w:rPr>
      </w:pPr>
      <w:r>
        <w:rPr>
          <w:sz w:val="20"/>
        </w:rPr>
        <w:t>American College of Gastroenterology. (2015, november). ACG Clinical Guideline: Diagnosis and Management of Barrett’s Esophagus. The American Journal of GASTROENTEROLOGY, </w:t>
      </w:r>
      <w:r>
        <w:rPr>
          <w:spacing w:val="1"/>
          <w:sz w:val="20"/>
        </w:rPr>
        <w:t>1-21. </w:t>
      </w:r>
      <w:r>
        <w:rPr>
          <w:sz w:val="20"/>
        </w:rPr>
        <w:t>Retrieved from</w:t>
      </w:r>
      <w:r>
        <w:rPr>
          <w:spacing w:val="-8"/>
          <w:sz w:val="20"/>
        </w:rPr>
        <w:t> </w:t>
      </w:r>
      <w:hyperlink r:id="rId53">
        <w:r>
          <w:rPr>
            <w:sz w:val="20"/>
          </w:rPr>
          <w:t>http://www.nature.com/ajg</w:t>
        </w:r>
      </w:hyperlink>
    </w:p>
    <w:p>
      <w:pPr>
        <w:pStyle w:val="ListParagraph"/>
        <w:numPr>
          <w:ilvl w:val="1"/>
          <w:numId w:val="8"/>
        </w:numPr>
        <w:tabs>
          <w:tab w:pos="1801" w:val="left" w:leader="none"/>
        </w:tabs>
        <w:spacing w:line="271" w:lineRule="auto" w:before="0" w:after="0"/>
        <w:ind w:left="1800" w:right="1432" w:hanging="360"/>
        <w:jc w:val="both"/>
        <w:rPr>
          <w:rFonts w:ascii="Symbol" w:hAnsi="Symbol"/>
          <w:sz w:val="20"/>
        </w:rPr>
      </w:pPr>
      <w:r>
        <w:rPr>
          <w:sz w:val="20"/>
        </w:rPr>
        <w:t>Feldman, M., Friedman, L. S., &amp; Brandt, L. J. (2015). Barret´s Esophagus. Sleisenger and Fordtran's Gastrintestinal and Liver Disease (10th ed., pp. 755-761). Retrieved from</w:t>
      </w:r>
      <w:r>
        <w:rPr>
          <w:spacing w:val="-16"/>
          <w:sz w:val="20"/>
        </w:rPr>
        <w:t> </w:t>
      </w:r>
      <w:hyperlink r:id="rId54">
        <w:r>
          <w:rPr>
            <w:sz w:val="20"/>
          </w:rPr>
          <w:t>Expertconsult.com</w:t>
        </w:r>
      </w:hyperlink>
    </w:p>
    <w:p>
      <w:pPr>
        <w:pStyle w:val="ListParagraph"/>
        <w:numPr>
          <w:ilvl w:val="1"/>
          <w:numId w:val="8"/>
        </w:numPr>
        <w:tabs>
          <w:tab w:pos="1801" w:val="left" w:leader="none"/>
        </w:tabs>
        <w:spacing w:line="242" w:lineRule="auto" w:before="3" w:after="0"/>
        <w:ind w:left="1800" w:right="1435" w:hanging="360"/>
        <w:jc w:val="both"/>
        <w:rPr>
          <w:rFonts w:ascii="Symbol" w:hAnsi="Symbol"/>
          <w:color w:val="212121"/>
          <w:sz w:val="20"/>
        </w:rPr>
      </w:pPr>
      <w:r>
        <w:rPr>
          <w:color w:val="212121"/>
          <w:sz w:val="20"/>
        </w:rPr>
        <w:t>D. L. Longo, A. S. Fauci, D.L. Kasper, S.L. Hauser (2012). Enfermedades del Esófago HARRISON PRINCIPIOS DE MEDICINA INTERNA (18th ed., pp. 2427-2437). New York, United States: McGRAW-HILL INTERMERICANA</w:t>
      </w:r>
      <w:r>
        <w:rPr>
          <w:color w:val="212121"/>
          <w:spacing w:val="0"/>
          <w:sz w:val="20"/>
        </w:rPr>
        <w:t> </w:t>
      </w:r>
      <w:r>
        <w:rPr>
          <w:color w:val="212121"/>
          <w:sz w:val="20"/>
        </w:rPr>
        <w:t>EDITORES.</w:t>
      </w:r>
    </w:p>
    <w:p>
      <w:pPr>
        <w:pStyle w:val="BodyText"/>
        <w:spacing w:before="8"/>
        <w:rPr>
          <w:sz w:val="19"/>
        </w:rPr>
      </w:pPr>
    </w:p>
    <w:p>
      <w:pPr>
        <w:tabs>
          <w:tab w:pos="7482" w:val="left" w:leader="none"/>
        </w:tabs>
        <w:spacing w:before="1"/>
        <w:ind w:left="1440" w:right="0" w:firstLine="0"/>
        <w:jc w:val="left"/>
        <w:rPr>
          <w:sz w:val="20"/>
        </w:rPr>
      </w:pPr>
      <w:r>
        <w:rPr>
          <w:sz w:val="20"/>
        </w:rPr>
        <w:t>Recepción: 28 Junio</w:t>
      </w:r>
      <w:r>
        <w:rPr>
          <w:spacing w:val="0"/>
          <w:sz w:val="20"/>
        </w:rPr>
        <w:t> </w:t>
      </w:r>
      <w:r>
        <w:rPr>
          <w:sz w:val="20"/>
        </w:rPr>
        <w:t>de</w:t>
      </w:r>
      <w:r>
        <w:rPr>
          <w:spacing w:val="-5"/>
          <w:sz w:val="20"/>
        </w:rPr>
        <w:t> </w:t>
      </w:r>
      <w:r>
        <w:rPr>
          <w:sz w:val="20"/>
        </w:rPr>
        <w:t>2016</w:t>
        <w:tab/>
        <w:t>Aprobación: 10 Julio de</w:t>
      </w:r>
      <w:r>
        <w:rPr>
          <w:spacing w:val="-7"/>
          <w:sz w:val="20"/>
        </w:rPr>
        <w:t> </w:t>
      </w:r>
      <w:r>
        <w:rPr>
          <w:sz w:val="20"/>
        </w:rPr>
        <w:t>2016</w:t>
      </w:r>
    </w:p>
    <w:p>
      <w:pPr>
        <w:spacing w:after="0"/>
        <w:jc w:val="left"/>
        <w:rPr>
          <w:sz w:val="20"/>
        </w:rPr>
        <w:sectPr>
          <w:pgSz w:w="12240" w:h="15840"/>
          <w:pgMar w:header="723" w:footer="882" w:top="940" w:bottom="1080" w:left="0" w:right="0"/>
        </w:sectPr>
      </w:pPr>
    </w:p>
    <w:p>
      <w:pPr>
        <w:spacing w:before="78"/>
        <w:ind w:left="1544" w:right="0" w:firstLine="0"/>
        <w:jc w:val="left"/>
        <w:rPr>
          <w:sz w:val="16"/>
        </w:rPr>
      </w:pPr>
      <w:r>
        <w:rPr/>
        <w:pict>
          <v:group style="position:absolute;margin-left:72.199997pt;margin-top:4.183923pt;width:472.3pt;height:445.8pt;mso-position-horizontal-relative:page;mso-position-vertical-relative:paragraph;z-index:-30616" coordorigin="1444,84" coordsize="9446,8916">
            <v:shape style="position:absolute;left:3375;top:1324;width:7515;height:7515" type="#_x0000_t75" stroked="false">
              <v:imagedata r:id="rId58" o:title=""/>
            </v:shape>
            <v:shape style="position:absolute;left:1444;top:83;width:1928;height:8916" type="#_x0000_t75" stroked="false">
              <v:imagedata r:id="rId59"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572" w:right="0" w:firstLine="392"/>
        <w:jc w:val="left"/>
        <w:rPr>
          <w:sz w:val="16"/>
        </w:rPr>
      </w:pPr>
      <w:r>
        <w:rPr>
          <w:sz w:val="16"/>
        </w:rPr>
        <w:t>Vol.1 Num:8 Agosto 2016 pp:12-15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9"/>
        </w:rPr>
      </w:pPr>
    </w:p>
    <w:p>
      <w:pPr>
        <w:spacing w:line="259" w:lineRule="auto" w:before="1"/>
        <w:ind w:left="1444" w:right="75" w:firstLine="0"/>
        <w:jc w:val="left"/>
        <w:rPr>
          <w:sz w:val="16"/>
        </w:rPr>
      </w:pPr>
      <w:r>
        <w:rPr>
          <w:sz w:val="16"/>
        </w:rPr>
        <w:t>*Médico General. Universidad de Ciencias Médicas (UCIMED) San José -Costa Rica</w:t>
      </w:r>
    </w:p>
    <w:p>
      <w:pPr>
        <w:pStyle w:val="Heading3"/>
        <w:ind w:right="2334"/>
        <w:jc w:val="center"/>
      </w:pPr>
      <w:r>
        <w:rPr>
          <w:b w:val="0"/>
        </w:rPr>
        <w:br w:type="column"/>
      </w:r>
      <w:r>
        <w:rPr/>
        <w:t>ESTENOSIS HIPERTROFICA DE PILORO</w:t>
      </w:r>
    </w:p>
    <w:p>
      <w:pPr>
        <w:spacing w:before="53"/>
        <w:ind w:left="1162" w:right="2333" w:firstLine="0"/>
        <w:jc w:val="center"/>
        <w:rPr>
          <w:sz w:val="20"/>
        </w:rPr>
      </w:pPr>
      <w:r>
        <w:rPr>
          <w:sz w:val="20"/>
        </w:rPr>
        <w:t>(HYPERTROPHIC PYLORIC STENOSIS)</w:t>
      </w:r>
    </w:p>
    <w:p>
      <w:pPr>
        <w:pStyle w:val="BodyText"/>
        <w:spacing w:before="10"/>
        <w:rPr>
          <w:sz w:val="23"/>
        </w:rPr>
      </w:pPr>
    </w:p>
    <w:p>
      <w:pPr>
        <w:pStyle w:val="BodyText"/>
        <w:ind w:left="5270"/>
      </w:pPr>
      <w:r>
        <w:rPr/>
        <w:t>* Noelia Zeledón Rojas</w:t>
      </w:r>
    </w:p>
    <w:p>
      <w:pPr>
        <w:pStyle w:val="BodyText"/>
        <w:spacing w:before="194"/>
        <w:ind w:left="224"/>
      </w:pPr>
      <w:r>
        <w:rPr/>
        <w:t>RESUMEN</w:t>
      </w:r>
    </w:p>
    <w:p>
      <w:pPr>
        <w:pStyle w:val="BodyText"/>
        <w:spacing w:line="276" w:lineRule="auto" w:before="38"/>
        <w:ind w:left="224" w:right="1496"/>
        <w:jc w:val="both"/>
      </w:pPr>
      <w:r>
        <w:rPr/>
        <w:t>La estenosis pilórica, es una de las principales causas de obstrucción intestinal en lactantes. Su diagnóstico es principalmente clínico, se utiliza imágenes radiológicas en caso de duda diagnostica o cuando </w:t>
      </w:r>
      <w:r>
        <w:rPr>
          <w:spacing w:val="-3"/>
        </w:rPr>
        <w:t>la</w:t>
      </w:r>
      <w:r>
        <w:rPr>
          <w:spacing w:val="55"/>
        </w:rPr>
        <w:t> </w:t>
      </w:r>
      <w:r>
        <w:rPr/>
        <w:t>enfermedad se encuentra en etapa inicial, considerándose el ultrasonido de primera líneas por su alta sensibilidad y especificidad. Se desconoce su etiología a pesar de que se han descrito distintas teorías.</w:t>
      </w:r>
    </w:p>
    <w:p>
      <w:pPr>
        <w:pStyle w:val="BodyText"/>
        <w:spacing w:line="276" w:lineRule="auto" w:before="2"/>
        <w:ind w:left="224" w:right="1369"/>
      </w:pPr>
      <w:r>
        <w:rPr/>
        <w:t>La piloromiotomia es su tratamiento de elección el cual produce mínimas complicaciones y pocas resididas.</w:t>
      </w:r>
    </w:p>
    <w:p>
      <w:pPr>
        <w:pStyle w:val="BodyText"/>
        <w:spacing w:before="2"/>
        <w:rPr>
          <w:sz w:val="25"/>
        </w:rPr>
      </w:pPr>
    </w:p>
    <w:p>
      <w:pPr>
        <w:pStyle w:val="BodyText"/>
        <w:ind w:left="224"/>
      </w:pPr>
      <w:r>
        <w:rPr/>
        <w:t>DESCRIPTORES</w:t>
      </w:r>
    </w:p>
    <w:p>
      <w:pPr>
        <w:pStyle w:val="BodyText"/>
        <w:spacing w:before="39"/>
        <w:ind w:left="224"/>
      </w:pPr>
      <w:r>
        <w:rPr/>
        <w:t>Piloro, estenosis, patología pediátrica, obstrucción intestinal.</w:t>
      </w:r>
    </w:p>
    <w:p>
      <w:pPr>
        <w:pStyle w:val="BodyText"/>
        <w:spacing w:before="8"/>
        <w:rPr>
          <w:sz w:val="28"/>
        </w:rPr>
      </w:pPr>
    </w:p>
    <w:p>
      <w:pPr>
        <w:pStyle w:val="BodyText"/>
        <w:spacing w:before="1"/>
        <w:ind w:left="224"/>
      </w:pPr>
      <w:r>
        <w:rPr/>
        <w:t>SUMMARY</w:t>
      </w:r>
    </w:p>
    <w:p>
      <w:pPr>
        <w:pStyle w:val="BodyText"/>
        <w:spacing w:line="276" w:lineRule="auto" w:before="35"/>
        <w:ind w:left="224" w:right="1369"/>
      </w:pPr>
      <w:r>
        <w:rPr/>
        <w:t>Pyloric stenosis, is one of the main causes of intestinal obstruction in infants. Its diagnosis is mainly clinical, radiological images are used in cases of diagnostic doubt or when the disease is in the initial stage, considering the first-line ultrasound because of its high sensitivity and specificity. Its etiology is unknown despite the fact that different theories have been described.</w:t>
      </w:r>
    </w:p>
    <w:p>
      <w:pPr>
        <w:pStyle w:val="BodyText"/>
        <w:spacing w:before="1"/>
        <w:ind w:left="224"/>
      </w:pPr>
      <w:r>
        <w:rPr/>
        <w:t>A Pyloromyotomy is the treatment of choice which produces minimal</w:t>
      </w:r>
    </w:p>
    <w:p>
      <w:pPr>
        <w:pStyle w:val="BodyText"/>
        <w:spacing w:before="35"/>
        <w:ind w:left="224"/>
      </w:pPr>
      <w:r>
        <w:rPr/>
        <w:t>complications and few residences.</w:t>
      </w:r>
    </w:p>
    <w:p>
      <w:pPr>
        <w:pStyle w:val="BodyText"/>
        <w:spacing w:before="8"/>
        <w:rPr>
          <w:sz w:val="28"/>
        </w:rPr>
      </w:pPr>
    </w:p>
    <w:p>
      <w:pPr>
        <w:pStyle w:val="BodyText"/>
        <w:spacing w:before="1"/>
        <w:ind w:left="224"/>
      </w:pPr>
      <w:r>
        <w:rPr/>
        <w:t>KEYWORDS</w:t>
      </w:r>
    </w:p>
    <w:p>
      <w:pPr>
        <w:pStyle w:val="BodyText"/>
        <w:spacing w:before="39"/>
        <w:ind w:left="224"/>
      </w:pPr>
      <w:r>
        <w:rPr/>
        <w:t>Piloro, stenosis, pediatric pathology, intestinal obstruction.</w:t>
      </w:r>
    </w:p>
    <w:p>
      <w:pPr>
        <w:spacing w:after="0"/>
        <w:sectPr>
          <w:headerReference w:type="even" r:id="rId55"/>
          <w:footerReference w:type="even" r:id="rId56"/>
          <w:footerReference w:type="default" r:id="rId57"/>
          <w:pgSz w:w="12240" w:h="15840"/>
          <w:pgMar w:header="0" w:footer="872" w:top="1360" w:bottom="1060" w:left="0" w:right="0"/>
          <w:pgNumType w:start="12"/>
          <w:cols w:num="2" w:equalWidth="0">
            <w:col w:w="3265" w:space="40"/>
            <w:col w:w="8935"/>
          </w:cols>
        </w:sectPr>
      </w:pPr>
    </w:p>
    <w:p>
      <w:pPr>
        <w:pStyle w:val="BodyText"/>
        <w:spacing w:before="9"/>
        <w:rPr>
          <w:sz w:val="16"/>
        </w:rPr>
      </w:pPr>
    </w:p>
    <w:p>
      <w:pPr>
        <w:spacing w:after="0"/>
        <w:rPr>
          <w:sz w:val="16"/>
        </w:rPr>
        <w:sectPr>
          <w:type w:val="continuous"/>
          <w:pgSz w:w="12240" w:h="15840"/>
          <w:pgMar w:top="1500" w:bottom="0" w:left="0" w:right="0"/>
        </w:sectPr>
      </w:pPr>
    </w:p>
    <w:p>
      <w:pPr>
        <w:pStyle w:val="BodyText"/>
        <w:spacing w:before="4"/>
        <w:rPr>
          <w:sz w:val="35"/>
        </w:rPr>
      </w:pPr>
    </w:p>
    <w:p>
      <w:pPr>
        <w:pStyle w:val="Heading4"/>
      </w:pPr>
      <w:r>
        <w:rPr/>
        <w:t>Introducción</w:t>
      </w:r>
    </w:p>
    <w:p>
      <w:pPr>
        <w:pStyle w:val="BodyText"/>
        <w:spacing w:before="1"/>
        <w:rPr>
          <w:b/>
          <w:sz w:val="21"/>
        </w:rPr>
      </w:pPr>
    </w:p>
    <w:p>
      <w:pPr>
        <w:pStyle w:val="BodyText"/>
        <w:spacing w:line="276" w:lineRule="auto"/>
        <w:ind w:left="1440"/>
        <w:jc w:val="both"/>
      </w:pPr>
      <w:r>
        <w:rPr/>
        <w:t>La estenosis pilórica es un trastorno producido por la hipertrofia del musculo pilórico, generando una obstrucción progresiva de la salida gástrica, siendo esta patología la causa quirúrgica más común asociada a vómitos no biliosos en la infancia.</w:t>
      </w:r>
    </w:p>
    <w:p>
      <w:pPr>
        <w:pStyle w:val="BodyText"/>
        <w:spacing w:line="273" w:lineRule="auto" w:before="202"/>
        <w:ind w:left="1440"/>
        <w:jc w:val="both"/>
      </w:pPr>
      <w:r>
        <w:rPr/>
        <w:t>Se presenta en 2-5 de cada 1.000 nacimientos, con mayor prevalencia</w:t>
      </w:r>
      <w:r>
        <w:rPr>
          <w:spacing w:val="57"/>
        </w:rPr>
        <w:t> </w:t>
      </w:r>
      <w:r>
        <w:rPr/>
        <w:t>en</w:t>
      </w:r>
    </w:p>
    <w:p>
      <w:pPr>
        <w:pStyle w:val="BodyText"/>
        <w:spacing w:line="273" w:lineRule="auto" w:before="93"/>
        <w:ind w:left="679" w:right="1432"/>
        <w:jc w:val="both"/>
      </w:pPr>
      <w:r>
        <w:rPr/>
        <w:br w:type="column"/>
      </w:r>
      <w:r>
        <w:rPr/>
        <w:t>población blanca, con predominio menor en las poblaciones asiáticas y negras.</w:t>
      </w:r>
    </w:p>
    <w:p>
      <w:pPr>
        <w:pStyle w:val="BodyText"/>
        <w:spacing w:line="276" w:lineRule="auto" w:before="4"/>
        <w:ind w:left="679" w:right="1432"/>
        <w:jc w:val="both"/>
      </w:pPr>
      <w:r>
        <w:rPr/>
        <w:t>Los varones se ven afectados cuatro veces más que las mujeres, con una mayor incidencia en los varones primogénitos.</w:t>
      </w:r>
    </w:p>
    <w:p>
      <w:pPr>
        <w:pStyle w:val="BodyText"/>
        <w:spacing w:line="276" w:lineRule="auto"/>
        <w:ind w:left="679" w:right="1432"/>
        <w:jc w:val="both"/>
      </w:pPr>
      <w:r>
        <w:rPr/>
        <w:t>Existe una clara predisposición familiar, 5 veces mayor entre las parientes de primer grado. El noventa y cinco por ciento de los casos de estenosis pilórica hipertrófica se observan entre las semanas 3 al 12 de vida, con mayor incidencia en la cuarta semana y rara vez se confirma el diagnostico en pacientes menores de 10 días de edad.</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default" r:id="rId60"/>
          <w:pgSz w:w="12240" w:h="15840"/>
          <w:pgMar w:header="723" w:footer="882" w:top="940" w:bottom="1080" w:left="0" w:right="0"/>
        </w:sectPr>
      </w:pPr>
    </w:p>
    <w:p>
      <w:pPr>
        <w:pStyle w:val="BodyText"/>
        <w:spacing w:before="8"/>
      </w:pPr>
    </w:p>
    <w:p>
      <w:pPr>
        <w:pStyle w:val="BodyText"/>
        <w:spacing w:line="259" w:lineRule="auto"/>
        <w:ind w:left="1440" w:right="84"/>
      </w:pPr>
      <w:r>
        <w:rPr/>
        <w:t>Se desconoce etiología pero la literatura describe múltiples hipótesis: factores genéticos y ambientales, exceso de trabajo de la región pilórica, anormalidades de la actividad neuronal y elevaciones en la concentración de gastrina.</w:t>
      </w:r>
    </w:p>
    <w:p>
      <w:pPr>
        <w:pStyle w:val="BodyText"/>
        <w:spacing w:before="9"/>
        <w:rPr>
          <w:sz w:val="20"/>
        </w:rPr>
      </w:pPr>
    </w:p>
    <w:p>
      <w:pPr>
        <w:pStyle w:val="Heading4"/>
        <w:spacing w:before="1"/>
      </w:pPr>
      <w:r>
        <w:rPr/>
        <w:t>CLÍNICA</w:t>
      </w:r>
    </w:p>
    <w:p>
      <w:pPr>
        <w:pStyle w:val="BodyText"/>
        <w:spacing w:before="1"/>
        <w:rPr>
          <w:b/>
          <w:sz w:val="21"/>
        </w:rPr>
      </w:pPr>
    </w:p>
    <w:p>
      <w:pPr>
        <w:pStyle w:val="BodyText"/>
        <w:spacing w:line="276" w:lineRule="auto"/>
        <w:ind w:left="1440"/>
        <w:jc w:val="both"/>
      </w:pPr>
      <w:r>
        <w:rPr/>
        <w:t>La presentación clínica depende de </w:t>
      </w:r>
      <w:r>
        <w:rPr>
          <w:spacing w:val="-3"/>
        </w:rPr>
        <w:t>la </w:t>
      </w:r>
      <w:r>
        <w:rPr/>
        <w:t>duración de los síntomas. Los vómitos se hacen cada vez más frecuentes y forzados conforme pasa el tiempo de evolución, por su naturaleza de emesis forzada y con frecuencia en proyectil se diferencia de los producidos por regurgitación. Siendo estos de característica no biliosa, esto es debido a que </w:t>
      </w:r>
      <w:r>
        <w:rPr>
          <w:spacing w:val="-3"/>
        </w:rPr>
        <w:t>la </w:t>
      </w:r>
      <w:r>
        <w:rPr/>
        <w:t>obstrucción es proximal al duodeno, diferenciándose así con el resto de patologías obstructivas de </w:t>
      </w:r>
      <w:r>
        <w:rPr>
          <w:spacing w:val="-3"/>
        </w:rPr>
        <w:t>la </w:t>
      </w:r>
      <w:r>
        <w:rPr/>
        <w:t>niñez temprana.</w:t>
      </w:r>
    </w:p>
    <w:p>
      <w:pPr>
        <w:pStyle w:val="BodyText"/>
        <w:spacing w:line="276" w:lineRule="auto" w:before="201"/>
        <w:ind w:left="1440" w:right="2"/>
        <w:jc w:val="both"/>
      </w:pPr>
      <w:r>
        <w:rPr/>
        <w:t>Los lactantes se presenta muy hambrientos al inicio de </w:t>
      </w:r>
      <w:r>
        <w:rPr>
          <w:spacing w:val="-3"/>
        </w:rPr>
        <w:t>la </w:t>
      </w:r>
      <w:r>
        <w:rPr/>
        <w:t>enfermedad mostrándose posteriormente letárgicos conforme aumenta </w:t>
      </w:r>
      <w:r>
        <w:rPr>
          <w:spacing w:val="-3"/>
        </w:rPr>
        <w:t>la </w:t>
      </w:r>
      <w:r>
        <w:rPr/>
        <w:t>deshidratación y </w:t>
      </w:r>
      <w:r>
        <w:rPr>
          <w:spacing w:val="-3"/>
        </w:rPr>
        <w:t>la</w:t>
      </w:r>
      <w:r>
        <w:rPr/>
        <w:t> desnutrición.</w:t>
      </w:r>
    </w:p>
    <w:p>
      <w:pPr>
        <w:pStyle w:val="BodyText"/>
        <w:rPr>
          <w:sz w:val="21"/>
        </w:rPr>
      </w:pPr>
    </w:p>
    <w:p>
      <w:pPr>
        <w:pStyle w:val="BodyText"/>
        <w:spacing w:line="276" w:lineRule="auto"/>
        <w:ind w:left="1440"/>
        <w:jc w:val="both"/>
      </w:pPr>
      <w:r>
        <w:rPr/>
        <w:t>Así mismo se produce alcalosis metabólica hipopotasemica, hipocloremica y hiperbilirrubinemia de predominio indirecta secundaria al aumento de la circulación enterohepática e ictericia por la disminución de la glucoronil transferasa.</w:t>
      </w:r>
    </w:p>
    <w:p>
      <w:pPr>
        <w:pStyle w:val="BodyText"/>
        <w:spacing w:line="276" w:lineRule="auto" w:before="202"/>
        <w:ind w:left="1440"/>
        <w:jc w:val="both"/>
      </w:pPr>
      <w:r>
        <w:rPr/>
        <w:t>En la cámara gástrica se produce un agrandamiento masivo por los alimentos retenidos y las secreciones, y en muchas ocasiones se logran observar ondas peristálticas gástricas en el cuadrante superior izquierdo. Y quizás se palpe “la oliva” el píloro hipertrófico. Conforme el cuadro avance la cantidad de alimento que atraviesa el píloro es menor por lo que la apariencia del niño es cada vez más delgada y con mayor deshidratación.</w:t>
      </w:r>
    </w:p>
    <w:p>
      <w:pPr>
        <w:pStyle w:val="BodyText"/>
        <w:spacing w:before="8"/>
      </w:pPr>
      <w:r>
        <w:rPr/>
        <w:br w:type="column"/>
      </w:r>
      <w:r>
        <w:rPr/>
      </w:r>
    </w:p>
    <w:p>
      <w:pPr>
        <w:pStyle w:val="BodyText"/>
        <w:spacing w:line="276" w:lineRule="auto"/>
        <w:ind w:left="678" w:right="1436"/>
        <w:jc w:val="both"/>
      </w:pPr>
      <w:r>
        <w:rPr/>
        <w:t>Es importante realizar una diferenciación entre el vómito bilioso y no bilioso. Los pacientes que se presentan con vómitos biliosos deben de ser evaluados para descartar obstrucciones más distales al píloro como por ejemplo mala rotación con vólvulo del intestino medio.</w:t>
      </w:r>
    </w:p>
    <w:p>
      <w:pPr>
        <w:pStyle w:val="BodyText"/>
        <w:spacing w:before="8"/>
        <w:rPr>
          <w:sz w:val="20"/>
        </w:rPr>
      </w:pPr>
    </w:p>
    <w:p>
      <w:pPr>
        <w:pStyle w:val="Heading4"/>
        <w:ind w:left="678"/>
        <w:jc w:val="both"/>
      </w:pPr>
      <w:r>
        <w:rPr/>
        <w:t>DIAGNOSTICO</w:t>
      </w:r>
    </w:p>
    <w:p>
      <w:pPr>
        <w:pStyle w:val="BodyText"/>
        <w:rPr>
          <w:b/>
          <w:sz w:val="21"/>
        </w:rPr>
      </w:pPr>
    </w:p>
    <w:p>
      <w:pPr>
        <w:pStyle w:val="BodyText"/>
        <w:spacing w:line="276" w:lineRule="auto"/>
        <w:ind w:left="678" w:right="1433"/>
        <w:jc w:val="both"/>
      </w:pPr>
      <w:r>
        <w:rPr/>
        <w:t>Se realiza un diagnostico basado en </w:t>
      </w:r>
      <w:r>
        <w:rPr>
          <w:spacing w:val="-3"/>
        </w:rPr>
        <w:t>la </w:t>
      </w:r>
      <w:r>
        <w:rPr/>
        <w:t>historia clínica y </w:t>
      </w:r>
      <w:r>
        <w:rPr>
          <w:spacing w:val="1"/>
        </w:rPr>
        <w:t>el </w:t>
      </w:r>
      <w:r>
        <w:rPr/>
        <w:t>examen físico cuidadoso, el cual puede proporcionar un diagnóstico definitivo en el 80-90% de los pacientes, utilizando los estudios radiológicos como alternativa en casos de duda</w:t>
      </w:r>
      <w:r>
        <w:rPr>
          <w:spacing w:val="-1"/>
        </w:rPr>
        <w:t> </w:t>
      </w:r>
      <w:r>
        <w:rPr/>
        <w:t>diagnóstica.</w:t>
      </w:r>
    </w:p>
    <w:p>
      <w:pPr>
        <w:pStyle w:val="BodyText"/>
        <w:spacing w:line="276" w:lineRule="auto" w:before="201"/>
        <w:ind w:left="678" w:right="1434"/>
        <w:jc w:val="both"/>
      </w:pPr>
      <w:r>
        <w:rPr/>
        <w:t>Los estudios radiológicos empleados consisten en </w:t>
      </w:r>
      <w:r>
        <w:rPr>
          <w:spacing w:val="-3"/>
        </w:rPr>
        <w:t>la </w:t>
      </w:r>
      <w:r>
        <w:rPr/>
        <w:t>radiografía simple de abdomen, el ultrasonido y los estudios del tracto digestivo superior con medio de contraste. A </w:t>
      </w:r>
      <w:r>
        <w:rPr>
          <w:spacing w:val="-3"/>
        </w:rPr>
        <w:t>la </w:t>
      </w:r>
      <w:r>
        <w:rPr/>
        <w:t>exploración física los pacientes van a lucir irritables, con distensión de </w:t>
      </w:r>
      <w:r>
        <w:rPr>
          <w:spacing w:val="-3"/>
        </w:rPr>
        <w:t>la </w:t>
      </w:r>
      <w:r>
        <w:rPr/>
        <w:t>cámara gástrica y ondas peristálticas visibles desde el borde costal izquierdo hasta el epigastrio. Se podría palpar una masa “olivar” </w:t>
      </w:r>
      <w:r>
        <w:rPr>
          <w:spacing w:val="-3"/>
        </w:rPr>
        <w:t>la </w:t>
      </w:r>
      <w:r>
        <w:rPr/>
        <w:t>cual es firme, dura, mide aproximadamente 2 cm, localizándose en el epigastrio medio  junto al reborde hepático, siendo esta un signo patognomónico. Sin embargo estos signos pueden estar ausentes en estadios tempranos de </w:t>
      </w:r>
      <w:r>
        <w:rPr>
          <w:spacing w:val="-3"/>
        </w:rPr>
        <w:t>la </w:t>
      </w:r>
      <w:r>
        <w:rPr/>
        <w:t>enfermedad. Se deben realizar estudios por imagen cuando no es posible palpar </w:t>
      </w:r>
      <w:r>
        <w:rPr>
          <w:spacing w:val="-3"/>
        </w:rPr>
        <w:t>la </w:t>
      </w:r>
      <w:r>
        <w:rPr/>
        <w:t>masa pilórica o en casos donde el diagnóstico es</w:t>
      </w:r>
      <w:r>
        <w:rPr>
          <w:spacing w:val="-7"/>
        </w:rPr>
        <w:t> </w:t>
      </w:r>
      <w:r>
        <w:rPr/>
        <w:t>dudoso.</w:t>
      </w:r>
    </w:p>
    <w:p>
      <w:pPr>
        <w:pStyle w:val="BodyText"/>
        <w:spacing w:line="276" w:lineRule="auto" w:before="197"/>
        <w:ind w:left="678" w:right="1438"/>
        <w:jc w:val="both"/>
      </w:pPr>
      <w:r>
        <w:rPr/>
        <w:t>La radiografía de abdomen lo que se observa es una distención gástrica con disminución o ausencia de gas en el intestino.</w:t>
      </w:r>
    </w:p>
    <w:p>
      <w:pPr>
        <w:pStyle w:val="BodyText"/>
        <w:spacing w:line="276" w:lineRule="auto"/>
        <w:ind w:left="678" w:right="1438"/>
        <w:jc w:val="both"/>
      </w:pPr>
      <w:r>
        <w:rPr/>
        <w:t>El ultrasonido es el estudio de imagen de primera línea en esta patología por su costo menor, procedimiento rápido y al no</w:t>
      </w:r>
    </w:p>
    <w:p>
      <w:pPr>
        <w:spacing w:after="0" w:line="276" w:lineRule="auto"/>
        <w:jc w:val="both"/>
        <w:sectPr>
          <w:type w:val="continuous"/>
          <w:pgSz w:w="12240" w:h="15840"/>
          <w:pgMar w:top="1500" w:bottom="0" w:left="0" w:right="0"/>
          <w:cols w:num="2" w:equalWidth="0">
            <w:col w:w="5764" w:space="40"/>
            <w:col w:w="6436"/>
          </w:cols>
        </w:sectPr>
      </w:pPr>
    </w:p>
    <w:p>
      <w:pPr>
        <w:spacing w:before="76"/>
        <w:ind w:left="4765" w:right="0" w:firstLine="0"/>
        <w:jc w:val="left"/>
        <w:rPr>
          <w:i/>
          <w:sz w:val="20"/>
        </w:rPr>
      </w:pPr>
      <w:r>
        <w:rPr>
          <w:i/>
          <w:color w:val="2D74B5"/>
          <w:sz w:val="20"/>
        </w:rPr>
        <w:t>ESTENOSIS HIPERTROFICA DE PILORO - Nohelia Zeledón Rojas</w:t>
      </w:r>
    </w:p>
    <w:p>
      <w:pPr>
        <w:pStyle w:val="BodyText"/>
        <w:rPr>
          <w:i/>
          <w:sz w:val="20"/>
        </w:rPr>
      </w:pPr>
    </w:p>
    <w:p>
      <w:pPr>
        <w:spacing w:after="0"/>
        <w:rPr>
          <w:sz w:val="20"/>
        </w:rPr>
        <w:sectPr>
          <w:headerReference w:type="even" r:id="rId61"/>
          <w:pgSz w:w="12240" w:h="15840"/>
          <w:pgMar w:header="0" w:footer="872" w:top="640" w:bottom="1060" w:left="0" w:right="0"/>
        </w:sectPr>
      </w:pPr>
    </w:p>
    <w:p>
      <w:pPr>
        <w:pStyle w:val="BodyText"/>
        <w:spacing w:before="8"/>
        <w:rPr>
          <w:i/>
        </w:rPr>
      </w:pPr>
    </w:p>
    <w:p>
      <w:pPr>
        <w:pStyle w:val="BodyText"/>
        <w:spacing w:line="259" w:lineRule="auto"/>
        <w:ind w:left="1440" w:right="9"/>
      </w:pPr>
      <w:r>
        <w:rPr/>
        <w:t>producir exposición a la radiación. En personal con experiencia tiene una sensibilidad del 97% y una especificidad del 100%. En el que se debe evaluar el diámetro, longitud y grosor de la pared muscular del canal pilórico. Se realiza en decúbito lateral derecho y en posición supina. Se pueden identificar dos signos ultrasonograficos que son:</w:t>
      </w:r>
    </w:p>
    <w:p>
      <w:pPr>
        <w:pStyle w:val="BodyText"/>
        <w:spacing w:line="276" w:lineRule="auto" w:before="159"/>
        <w:ind w:left="1440"/>
        <w:jc w:val="both"/>
      </w:pPr>
      <w:r>
        <w:rPr/>
        <w:t>En forma transversal “el signo de la diana”, observándose una mucosa (ecogénica) rodeada de un anillo hipoecoico de musculo pilórico hipertrofiado, y de forma longitudinal se observa “el signo del cérvix” por su semejanza con el cérvix uterino.</w:t>
      </w:r>
    </w:p>
    <w:p>
      <w:pPr>
        <w:pStyle w:val="BodyText"/>
        <w:spacing w:line="276" w:lineRule="auto" w:before="202"/>
        <w:ind w:left="1440"/>
        <w:jc w:val="both"/>
      </w:pPr>
      <w:r>
        <w:rPr/>
        <w:t>En </w:t>
      </w:r>
      <w:r>
        <w:rPr>
          <w:spacing w:val="-3"/>
        </w:rPr>
        <w:t>la </w:t>
      </w:r>
      <w:r>
        <w:rPr/>
        <w:t>seria gastrointestinal alta con bario, el signo radiológico es </w:t>
      </w:r>
      <w:r>
        <w:rPr>
          <w:spacing w:val="-3"/>
        </w:rPr>
        <w:t>“la </w:t>
      </w:r>
      <w:r>
        <w:rPr/>
        <w:t>cuerda” un fino hilo de medio de contrate que atraviesa el canal. En ocasiones se visualiza </w:t>
      </w:r>
      <w:r>
        <w:rPr>
          <w:spacing w:val="1"/>
        </w:rPr>
        <w:t>el </w:t>
      </w:r>
      <w:r>
        <w:rPr/>
        <w:t>“signo del rail” </w:t>
      </w:r>
      <w:r>
        <w:rPr>
          <w:spacing w:val="1"/>
        </w:rPr>
        <w:t>el </w:t>
      </w:r>
      <w:r>
        <w:rPr/>
        <w:t>cual es producido por los pliegues invaginados de mucosa en el canal pilórico estrecho y alargado. El “signo del hombro” provocado por de </w:t>
      </w:r>
      <w:r>
        <w:rPr>
          <w:spacing w:val="-3"/>
        </w:rPr>
        <w:t>la </w:t>
      </w:r>
      <w:r>
        <w:rPr/>
        <w:t>indentación el músculo del antro pilórico hipertrófico. Se debe realizar un diagnóstico diferencial con un piloroespamo, el cual presenta obstrucción transitoria. Este estudio está indicado en casos en los que el US no es concluyente.</w:t>
      </w:r>
    </w:p>
    <w:p>
      <w:pPr>
        <w:pStyle w:val="BodyText"/>
        <w:spacing w:line="276" w:lineRule="auto" w:before="202"/>
        <w:ind w:left="1440" w:right="1"/>
        <w:jc w:val="both"/>
      </w:pPr>
      <w:r>
        <w:rPr/>
        <w:t>Se han descrito otras técnicas diagnósticas invasivas como el uso de una sonda nasogástrica para descomprimir el</w:t>
      </w:r>
    </w:p>
    <w:p>
      <w:pPr>
        <w:pStyle w:val="BodyText"/>
        <w:spacing w:before="8"/>
      </w:pPr>
      <w:r>
        <w:rPr/>
        <w:br w:type="column"/>
      </w:r>
      <w:r>
        <w:rPr/>
      </w:r>
    </w:p>
    <w:p>
      <w:pPr>
        <w:pStyle w:val="BodyText"/>
        <w:spacing w:line="278" w:lineRule="auto"/>
        <w:ind w:left="680" w:right="1438"/>
        <w:jc w:val="both"/>
      </w:pPr>
      <w:r>
        <w:rPr/>
        <w:t>estómago y de sedantes, pero no se utilizan cuando hay estudios no invasivos.</w:t>
      </w:r>
    </w:p>
    <w:p>
      <w:pPr>
        <w:pStyle w:val="BodyText"/>
        <w:spacing w:before="2"/>
        <w:rPr>
          <w:sz w:val="20"/>
        </w:rPr>
      </w:pPr>
    </w:p>
    <w:p>
      <w:pPr>
        <w:pStyle w:val="Heading4"/>
        <w:ind w:left="680"/>
      </w:pPr>
      <w:r>
        <w:rPr/>
        <w:t>DIAGNÓSTICOS DIFERENCIALES</w:t>
      </w:r>
    </w:p>
    <w:p>
      <w:pPr>
        <w:pStyle w:val="BodyText"/>
        <w:spacing w:before="4"/>
        <w:rPr>
          <w:b/>
          <w:sz w:val="21"/>
        </w:rPr>
      </w:pPr>
    </w:p>
    <w:p>
      <w:pPr>
        <w:pStyle w:val="BodyText"/>
        <w:spacing w:line="278" w:lineRule="auto"/>
        <w:ind w:left="680" w:right="1438"/>
        <w:jc w:val="both"/>
      </w:pPr>
      <w:r>
        <w:rPr/>
        <w:t>Se realiza diferenciación entre el tipo de vomito no biliosos y biliosos.</w:t>
      </w:r>
    </w:p>
    <w:p>
      <w:pPr>
        <w:pStyle w:val="BodyText"/>
        <w:spacing w:line="276" w:lineRule="auto"/>
        <w:ind w:left="680" w:right="1438"/>
        <w:jc w:val="both"/>
      </w:pPr>
      <w:r>
        <w:rPr/>
        <w:t>Diagnósticos diferenciales en patología asociada a vómitos no biliosos:</w:t>
      </w:r>
    </w:p>
    <w:p>
      <w:pPr>
        <w:pStyle w:val="BodyText"/>
        <w:spacing w:line="276" w:lineRule="auto" w:before="7"/>
        <w:ind w:left="680" w:right="1433"/>
        <w:jc w:val="both"/>
      </w:pPr>
      <w:r>
        <w:rPr/>
        <w:t>Reflujo gastroesofágico, gastroenteritis, vólvulos gástrico, piloroespasmo, enfermedad metabólica, aumento de presión intracraneana, entre</w:t>
      </w:r>
      <w:r>
        <w:rPr>
          <w:spacing w:val="-6"/>
        </w:rPr>
        <w:t> </w:t>
      </w:r>
      <w:r>
        <w:rPr/>
        <w:t>otras.</w:t>
      </w:r>
    </w:p>
    <w:p>
      <w:pPr>
        <w:pStyle w:val="BodyText"/>
        <w:spacing w:before="9"/>
        <w:rPr>
          <w:sz w:val="20"/>
        </w:rPr>
      </w:pPr>
    </w:p>
    <w:p>
      <w:pPr>
        <w:pStyle w:val="Heading4"/>
        <w:ind w:left="680"/>
      </w:pPr>
      <w:r>
        <w:rPr/>
        <w:t>TRATAMIENTO</w:t>
      </w:r>
    </w:p>
    <w:p>
      <w:pPr>
        <w:pStyle w:val="BodyText"/>
        <w:spacing w:before="1"/>
        <w:rPr>
          <w:b/>
          <w:sz w:val="21"/>
        </w:rPr>
      </w:pPr>
    </w:p>
    <w:p>
      <w:pPr>
        <w:pStyle w:val="BodyText"/>
        <w:spacing w:line="276" w:lineRule="auto"/>
        <w:ind w:left="680" w:right="1438"/>
        <w:jc w:val="both"/>
      </w:pPr>
      <w:r>
        <w:rPr/>
        <w:t>El manejo inicial es corregir el desequilibrio hidroelectrolítico que presenta el paciente y posteriormente se procede con el tratamiento definitivo que es quirúrgico.</w:t>
      </w:r>
    </w:p>
    <w:p>
      <w:pPr>
        <w:pStyle w:val="BodyText"/>
        <w:spacing w:line="276" w:lineRule="auto" w:before="202"/>
        <w:ind w:left="680" w:right="1432"/>
        <w:jc w:val="both"/>
      </w:pPr>
      <w:r>
        <w:rPr/>
        <w:t>Desde 1912 se realiza La  piloromiotomía de Ramstedt que es el Gold standard; catalogado como un procedimiento seguro que permite </w:t>
      </w:r>
      <w:r>
        <w:rPr>
          <w:spacing w:val="-3"/>
        </w:rPr>
        <w:t>la </w:t>
      </w:r>
      <w:r>
        <w:rPr/>
        <w:t>liberación de </w:t>
      </w:r>
      <w:r>
        <w:rPr>
          <w:spacing w:val="-3"/>
        </w:rPr>
        <w:t>la  </w:t>
      </w:r>
      <w:r>
        <w:rPr/>
        <w:t>constricción y el paso del contenido gástrico a </w:t>
      </w:r>
      <w:r>
        <w:rPr>
          <w:spacing w:val="-3"/>
        </w:rPr>
        <w:t>la </w:t>
      </w:r>
      <w:r>
        <w:rPr/>
        <w:t>primera porción del duodeno. Se evidencia que </w:t>
      </w:r>
      <w:r>
        <w:rPr>
          <w:spacing w:val="-3"/>
        </w:rPr>
        <w:t>la </w:t>
      </w:r>
      <w:r>
        <w:rPr/>
        <w:t>técnica laparoscópica produce menos estadía hospitalaria y regreso a </w:t>
      </w:r>
      <w:r>
        <w:rPr>
          <w:spacing w:val="-3"/>
        </w:rPr>
        <w:t>la </w:t>
      </w:r>
      <w:r>
        <w:rPr/>
        <w:t>alimentación en lapso menor que </w:t>
      </w:r>
      <w:r>
        <w:rPr>
          <w:spacing w:val="-3"/>
        </w:rPr>
        <w:t>la </w:t>
      </w:r>
      <w:r>
        <w:rPr/>
        <w:t>cirugía abierta.Otra técnica descrita es </w:t>
      </w:r>
      <w:r>
        <w:rPr>
          <w:spacing w:val="-3"/>
        </w:rPr>
        <w:t>la </w:t>
      </w:r>
      <w:r>
        <w:rPr/>
        <w:t>dilatación con balón de manera endoscópica se describe como posible terapia, </w:t>
      </w:r>
      <w:r>
        <w:rPr>
          <w:spacing w:val="1"/>
        </w:rPr>
        <w:t>al </w:t>
      </w:r>
      <w:r>
        <w:rPr/>
        <w:t>no interrumpir de forma confiable </w:t>
      </w:r>
      <w:r>
        <w:rPr>
          <w:spacing w:val="-3"/>
        </w:rPr>
        <w:t>la </w:t>
      </w:r>
      <w:r>
        <w:rPr/>
        <w:t>estenosis del anillo muscular se utiliza solo cuando el procedimiento quirúrgico no es</w:t>
      </w:r>
      <w:r>
        <w:rPr>
          <w:spacing w:val="-8"/>
        </w:rPr>
        <w:t> </w:t>
      </w:r>
      <w:r>
        <w:rPr/>
        <w:t>posible.</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3"/>
        <w:rPr>
          <w:sz w:val="17"/>
        </w:rPr>
      </w:pPr>
    </w:p>
    <w:p>
      <w:pPr>
        <w:pStyle w:val="Heading4"/>
        <w:spacing w:before="92"/>
      </w:pPr>
      <w:r>
        <w:rPr/>
        <w:t>BIBLIOGRAFIA</w:t>
      </w:r>
    </w:p>
    <w:p>
      <w:pPr>
        <w:pStyle w:val="BodyText"/>
        <w:spacing w:before="9"/>
        <w:rPr>
          <w:b/>
          <w:sz w:val="28"/>
        </w:rPr>
      </w:pPr>
    </w:p>
    <w:p>
      <w:pPr>
        <w:pStyle w:val="ListParagraph"/>
        <w:numPr>
          <w:ilvl w:val="1"/>
          <w:numId w:val="8"/>
        </w:numPr>
        <w:tabs>
          <w:tab w:pos="1800" w:val="left" w:leader="none"/>
          <w:tab w:pos="1801" w:val="left" w:leader="none"/>
        </w:tabs>
        <w:spacing w:line="271" w:lineRule="auto" w:before="0" w:after="0"/>
        <w:ind w:left="1800" w:right="1433" w:hanging="360"/>
        <w:jc w:val="left"/>
        <w:rPr>
          <w:rFonts w:ascii="Symbol"/>
          <w:sz w:val="20"/>
        </w:rPr>
      </w:pPr>
      <w:r>
        <w:rPr>
          <w:sz w:val="20"/>
        </w:rPr>
        <w:t>Brian W Davies.(2013). The vomiting infant: pyloric stenosis, pediatric surgery II, Elsevier Ltd, </w:t>
      </w:r>
      <w:r>
        <w:rPr>
          <w:spacing w:val="1"/>
          <w:sz w:val="20"/>
        </w:rPr>
        <w:t>622- </w:t>
      </w:r>
      <w:r>
        <w:rPr>
          <w:sz w:val="20"/>
        </w:rPr>
        <w:t>625.</w:t>
      </w:r>
    </w:p>
    <w:p>
      <w:pPr>
        <w:pStyle w:val="ListParagraph"/>
        <w:numPr>
          <w:ilvl w:val="1"/>
          <w:numId w:val="8"/>
        </w:numPr>
        <w:tabs>
          <w:tab w:pos="1800" w:val="left" w:leader="none"/>
          <w:tab w:pos="1801" w:val="left" w:leader="none"/>
        </w:tabs>
        <w:spacing w:line="276" w:lineRule="auto" w:before="3" w:after="0"/>
        <w:ind w:left="1800" w:right="1444" w:hanging="360"/>
        <w:jc w:val="left"/>
        <w:rPr>
          <w:rFonts w:ascii="Symbol" w:hAnsi="Symbol"/>
          <w:sz w:val="20"/>
        </w:rPr>
      </w:pPr>
      <w:r>
        <w:rPr>
          <w:sz w:val="20"/>
        </w:rPr>
        <w:t>Costa, Silvia, Et al. ( 2012, May).Hypertrophic pyloric stenosis: tips and tricks for ultrasound diagnosis. Insights Imaging; May 2012</w:t>
      </w:r>
      <w:r>
        <w:rPr>
          <w:spacing w:val="2"/>
          <w:sz w:val="20"/>
        </w:rPr>
        <w:t> </w:t>
      </w:r>
      <w:r>
        <w:rPr>
          <w:sz w:val="20"/>
        </w:rPr>
        <w:t>3:247–250.</w:t>
      </w:r>
    </w:p>
    <w:p>
      <w:pPr>
        <w:spacing w:after="0" w:line="276" w:lineRule="auto"/>
        <w:jc w:val="left"/>
        <w:rPr>
          <w:rFonts w:ascii="Symbol" w:hAnsi="Symbol"/>
          <w:sz w:val="20"/>
        </w:rPr>
        <w:sectPr>
          <w:type w:val="continuous"/>
          <w:pgSz w:w="12240" w:h="15840"/>
          <w:pgMar w:top="1500" w:bottom="0" w:left="0" w:right="0"/>
        </w:sectPr>
      </w:pPr>
    </w:p>
    <w:p>
      <w:pPr>
        <w:pStyle w:val="BodyText"/>
        <w:rPr>
          <w:sz w:val="20"/>
        </w:rPr>
      </w:pPr>
    </w:p>
    <w:p>
      <w:pPr>
        <w:pStyle w:val="BodyText"/>
        <w:spacing w:before="6"/>
      </w:pPr>
    </w:p>
    <w:p>
      <w:pPr>
        <w:pStyle w:val="ListParagraph"/>
        <w:numPr>
          <w:ilvl w:val="1"/>
          <w:numId w:val="8"/>
        </w:numPr>
        <w:tabs>
          <w:tab w:pos="1800" w:val="left" w:leader="none"/>
          <w:tab w:pos="1801" w:val="left" w:leader="none"/>
        </w:tabs>
        <w:spacing w:line="271" w:lineRule="auto" w:before="0" w:after="0"/>
        <w:ind w:left="1800" w:right="1445" w:hanging="360"/>
        <w:jc w:val="left"/>
        <w:rPr>
          <w:rFonts w:ascii="Symbol" w:hAnsi="Symbol"/>
          <w:sz w:val="20"/>
        </w:rPr>
      </w:pPr>
      <w:r>
        <w:rPr>
          <w:sz w:val="20"/>
        </w:rPr>
        <w:t>Aragón Vargas José Ignacio.(2015). Diagnostico de la estenosis pilórica hipertrófica, cirugía pediátrica, revista médica de Costa Rica y Centroamérica, LXXII (615)</w:t>
      </w:r>
      <w:r>
        <w:rPr>
          <w:spacing w:val="-9"/>
          <w:sz w:val="20"/>
        </w:rPr>
        <w:t> </w:t>
      </w:r>
      <w:r>
        <w:rPr>
          <w:sz w:val="20"/>
        </w:rPr>
        <w:t>335-338.</w:t>
      </w:r>
    </w:p>
    <w:p>
      <w:pPr>
        <w:pStyle w:val="ListParagraph"/>
        <w:numPr>
          <w:ilvl w:val="1"/>
          <w:numId w:val="8"/>
        </w:numPr>
        <w:tabs>
          <w:tab w:pos="1800" w:val="left" w:leader="none"/>
          <w:tab w:pos="1801" w:val="left" w:leader="none"/>
        </w:tabs>
        <w:spacing w:line="235" w:lineRule="auto" w:before="12" w:after="0"/>
        <w:ind w:left="1800" w:right="1439" w:hanging="360"/>
        <w:jc w:val="left"/>
        <w:rPr>
          <w:rFonts w:ascii="Symbol"/>
          <w:sz w:val="20"/>
        </w:rPr>
      </w:pPr>
      <w:r>
        <w:rPr>
          <w:sz w:val="20"/>
        </w:rPr>
        <w:t>Cogley, Jonathan R, Et al.(2012, May-Jun) Emergent Pediatric US: What Every Radiologist Should Know. RadioGraphics: Vol. 32 Number 3</w:t>
      </w:r>
      <w:r>
        <w:rPr>
          <w:spacing w:val="52"/>
          <w:sz w:val="20"/>
        </w:rPr>
        <w:t> </w:t>
      </w:r>
      <w:r>
        <w:rPr>
          <w:sz w:val="20"/>
        </w:rPr>
        <w:t>(651-665).</w:t>
      </w:r>
    </w:p>
    <w:p>
      <w:pPr>
        <w:pStyle w:val="ListParagraph"/>
        <w:numPr>
          <w:ilvl w:val="1"/>
          <w:numId w:val="8"/>
        </w:numPr>
        <w:tabs>
          <w:tab w:pos="1800" w:val="left" w:leader="none"/>
          <w:tab w:pos="1801" w:val="left" w:leader="none"/>
        </w:tabs>
        <w:spacing w:line="240" w:lineRule="auto" w:before="0" w:after="0"/>
        <w:ind w:left="1800" w:right="1445" w:hanging="360"/>
        <w:jc w:val="left"/>
        <w:rPr>
          <w:rFonts w:ascii="Symbol" w:hAnsi="Symbol"/>
          <w:sz w:val="20"/>
        </w:rPr>
      </w:pPr>
      <w:r>
        <w:rPr>
          <w:sz w:val="20"/>
        </w:rPr>
        <w:t>Aymerich Bolaños Oscar. (2014, Marzo). Estenosis hipertrófica pilórica infantil, revisión bibliográfica, medicina legal de Costa Rica - Edición virtual. Vol. 31(1). ISSN</w:t>
      </w:r>
      <w:r>
        <w:rPr>
          <w:spacing w:val="-12"/>
          <w:sz w:val="20"/>
        </w:rPr>
        <w:t> </w:t>
      </w:r>
      <w:r>
        <w:rPr>
          <w:sz w:val="20"/>
        </w:rPr>
        <w:t>1409-0015</w:t>
      </w:r>
    </w:p>
    <w:p>
      <w:pPr>
        <w:pStyle w:val="ListParagraph"/>
        <w:numPr>
          <w:ilvl w:val="1"/>
          <w:numId w:val="8"/>
        </w:numPr>
        <w:tabs>
          <w:tab w:pos="1800" w:val="left" w:leader="none"/>
          <w:tab w:pos="1801" w:val="left" w:leader="none"/>
        </w:tabs>
        <w:spacing w:line="240" w:lineRule="auto" w:before="0" w:after="0"/>
        <w:ind w:left="1800" w:right="1436" w:hanging="360"/>
        <w:jc w:val="left"/>
        <w:rPr>
          <w:rFonts w:ascii="Symbol" w:hAnsi="Symbol"/>
          <w:sz w:val="20"/>
        </w:rPr>
      </w:pPr>
      <w:r>
        <w:rPr>
          <w:sz w:val="20"/>
        </w:rPr>
        <w:t>Karen J. Marcdante, Roberte M. Kliegman (2015). Nelson Pediatría esencial. 7 Edición, Editorial Elsevier Saunders. Pag</w:t>
      </w:r>
      <w:r>
        <w:rPr>
          <w:spacing w:val="-1"/>
          <w:sz w:val="20"/>
        </w:rPr>
        <w:t> </w:t>
      </w:r>
      <w:r>
        <w:rPr>
          <w:sz w:val="20"/>
        </w:rPr>
        <w:t>435.</w:t>
      </w:r>
    </w:p>
    <w:p>
      <w:pPr>
        <w:pStyle w:val="ListParagraph"/>
        <w:numPr>
          <w:ilvl w:val="1"/>
          <w:numId w:val="8"/>
        </w:numPr>
        <w:tabs>
          <w:tab w:pos="1800" w:val="left" w:leader="none"/>
          <w:tab w:pos="1801" w:val="left" w:leader="none"/>
        </w:tabs>
        <w:spacing w:line="240" w:lineRule="auto" w:before="3" w:after="0"/>
        <w:ind w:left="1800" w:right="1448" w:hanging="360"/>
        <w:jc w:val="left"/>
        <w:rPr>
          <w:rFonts w:ascii="Symbol" w:hAnsi="Symbol"/>
          <w:sz w:val="20"/>
        </w:rPr>
      </w:pPr>
      <w:r>
        <w:rPr>
          <w:sz w:val="20"/>
        </w:rPr>
        <w:t>Franković, Marija, Et al.(2001) Diagnostic imaging of hypertrophic pyloric stenosis (HPS). Radiol Oncol; 35(1):</w:t>
      </w:r>
      <w:r>
        <w:rPr>
          <w:spacing w:val="-4"/>
          <w:sz w:val="20"/>
        </w:rPr>
        <w:t> </w:t>
      </w:r>
      <w:r>
        <w:rPr>
          <w:sz w:val="20"/>
        </w:rPr>
        <w:t>11-6.</w:t>
      </w:r>
    </w:p>
    <w:p>
      <w:pPr>
        <w:pStyle w:val="ListParagraph"/>
        <w:numPr>
          <w:ilvl w:val="1"/>
          <w:numId w:val="8"/>
        </w:numPr>
        <w:tabs>
          <w:tab w:pos="1800" w:val="left" w:leader="none"/>
          <w:tab w:pos="1801" w:val="left" w:leader="none"/>
        </w:tabs>
        <w:spacing w:line="240" w:lineRule="auto" w:before="0" w:after="0"/>
        <w:ind w:left="1800" w:right="1637" w:hanging="360"/>
        <w:jc w:val="left"/>
        <w:rPr>
          <w:rFonts w:ascii="Symbol" w:hAnsi="Symbol"/>
          <w:sz w:val="20"/>
        </w:rPr>
      </w:pPr>
      <w:r>
        <w:rPr>
          <w:sz w:val="20"/>
        </w:rPr>
        <w:t>Askew N.(2012). “An overview of Infantile Hypertrophic Pyloric Stenosis”. Literature review</w:t>
      </w:r>
      <w:r>
        <w:rPr>
          <w:spacing w:val="-39"/>
          <w:sz w:val="20"/>
        </w:rPr>
        <w:t> </w:t>
      </w:r>
      <w:r>
        <w:rPr>
          <w:sz w:val="20"/>
        </w:rPr>
        <w:t>pediatric nursing. volume 22, number 8, p. 1-5.</w:t>
      </w:r>
    </w:p>
    <w:p>
      <w:pPr>
        <w:pStyle w:val="ListParagraph"/>
        <w:numPr>
          <w:ilvl w:val="1"/>
          <w:numId w:val="8"/>
        </w:numPr>
        <w:tabs>
          <w:tab w:pos="1800" w:val="left" w:leader="none"/>
          <w:tab w:pos="1801" w:val="left" w:leader="none"/>
        </w:tabs>
        <w:spacing w:line="240" w:lineRule="auto" w:before="0" w:after="0"/>
        <w:ind w:left="1800" w:right="1589" w:hanging="360"/>
        <w:jc w:val="left"/>
        <w:rPr>
          <w:rFonts w:ascii="Symbol" w:hAnsi="Symbol"/>
          <w:sz w:val="20"/>
        </w:rPr>
      </w:pPr>
      <w:r>
        <w:rPr>
          <w:sz w:val="20"/>
        </w:rPr>
        <w:t>Yan G, Guy B et al. (2008).“Infantile hypertrophic pyloric stenosis: An association in twins”. Pediatric Child Health. volume 13, p.</w:t>
      </w:r>
      <w:r>
        <w:rPr>
          <w:spacing w:val="1"/>
          <w:sz w:val="20"/>
        </w:rPr>
        <w:t> </w:t>
      </w:r>
      <w:r>
        <w:rPr>
          <w:sz w:val="20"/>
        </w:rPr>
        <w:t>1-4.</w:t>
      </w:r>
    </w:p>
    <w:p>
      <w:pPr>
        <w:pStyle w:val="ListParagraph"/>
        <w:numPr>
          <w:ilvl w:val="1"/>
          <w:numId w:val="8"/>
        </w:numPr>
        <w:tabs>
          <w:tab w:pos="1800" w:val="left" w:leader="none"/>
          <w:tab w:pos="1801" w:val="left" w:leader="none"/>
        </w:tabs>
        <w:spacing w:line="240" w:lineRule="auto" w:before="0" w:after="0"/>
        <w:ind w:left="1800" w:right="1534" w:hanging="360"/>
        <w:jc w:val="left"/>
        <w:rPr>
          <w:rFonts w:ascii="Symbol" w:hAnsi="Symbol"/>
          <w:sz w:val="20"/>
        </w:rPr>
      </w:pPr>
      <w:r>
        <w:rPr>
          <w:sz w:val="20"/>
        </w:rPr>
        <w:t>Tencio Araya José, Gil Yee Milen.(2015). Estenosis hipertrófica del píloro, cirugía pediátrica,</w:t>
      </w:r>
      <w:r>
        <w:rPr>
          <w:spacing w:val="-31"/>
          <w:sz w:val="20"/>
        </w:rPr>
        <w:t> </w:t>
      </w:r>
      <w:r>
        <w:rPr>
          <w:sz w:val="20"/>
        </w:rPr>
        <w:t>Revista de Costa Rica y Centro América LXXII (614)</w:t>
      </w:r>
      <w:r>
        <w:rPr>
          <w:spacing w:val="0"/>
          <w:sz w:val="20"/>
        </w:rPr>
        <w:t> </w:t>
      </w:r>
      <w:r>
        <w:rPr>
          <w:sz w:val="20"/>
        </w:rPr>
        <w:t>83-86.</w:t>
      </w:r>
    </w:p>
    <w:p>
      <w:pPr>
        <w:pStyle w:val="ListParagraph"/>
        <w:numPr>
          <w:ilvl w:val="1"/>
          <w:numId w:val="8"/>
        </w:numPr>
        <w:tabs>
          <w:tab w:pos="1800" w:val="left" w:leader="none"/>
          <w:tab w:pos="1801" w:val="left" w:leader="none"/>
        </w:tabs>
        <w:spacing w:line="240" w:lineRule="auto" w:before="0" w:after="0"/>
        <w:ind w:left="1800" w:right="1574" w:hanging="360"/>
        <w:jc w:val="left"/>
        <w:rPr>
          <w:rFonts w:ascii="Symbol" w:hAnsi="Symbol"/>
          <w:sz w:val="20"/>
        </w:rPr>
      </w:pPr>
      <w:r>
        <w:rPr>
          <w:sz w:val="20"/>
        </w:rPr>
        <w:t>Soto Dien Mario.(2014). Diagnóstico de la estenosis hipertrófica del píloro, imagen, revista de Costa Rica y Centro América LXXI (613) 807-810.</w:t>
      </w:r>
    </w:p>
    <w:p>
      <w:pPr>
        <w:pStyle w:val="BodyText"/>
      </w:pPr>
    </w:p>
    <w:p>
      <w:pPr>
        <w:pStyle w:val="BodyText"/>
        <w:spacing w:before="1"/>
        <w:rPr>
          <w:sz w:val="18"/>
        </w:rPr>
      </w:pPr>
    </w:p>
    <w:p>
      <w:pPr>
        <w:tabs>
          <w:tab w:pos="7470" w:val="left" w:leader="none"/>
        </w:tabs>
        <w:spacing w:before="1"/>
        <w:ind w:left="1496" w:right="0" w:firstLine="0"/>
        <w:jc w:val="left"/>
        <w:rPr>
          <w:sz w:val="20"/>
        </w:rPr>
      </w:pPr>
      <w:r>
        <w:rPr>
          <w:sz w:val="20"/>
        </w:rPr>
        <w:t>Recepción: 30 Julio</w:t>
      </w:r>
      <w:r>
        <w:rPr>
          <w:spacing w:val="-2"/>
          <w:sz w:val="20"/>
        </w:rPr>
        <w:t> </w:t>
      </w:r>
      <w:r>
        <w:rPr>
          <w:sz w:val="20"/>
        </w:rPr>
        <w:t>de</w:t>
      </w:r>
      <w:r>
        <w:rPr>
          <w:spacing w:val="-3"/>
          <w:sz w:val="20"/>
        </w:rPr>
        <w:t> </w:t>
      </w:r>
      <w:r>
        <w:rPr>
          <w:sz w:val="20"/>
        </w:rPr>
        <w:t>2016</w:t>
        <w:tab/>
        <w:t>Aprobación:15 Julio de</w:t>
      </w:r>
      <w:r>
        <w:rPr>
          <w:spacing w:val="-3"/>
          <w:sz w:val="20"/>
        </w:rPr>
        <w:t> </w:t>
      </w:r>
      <w:r>
        <w:rPr>
          <w:sz w:val="20"/>
        </w:rPr>
        <w:t>2016</w:t>
      </w:r>
    </w:p>
    <w:p>
      <w:pPr>
        <w:spacing w:after="0"/>
        <w:jc w:val="left"/>
        <w:rPr>
          <w:sz w:val="20"/>
        </w:rPr>
        <w:sectPr>
          <w:headerReference w:type="default" r:id="rId62"/>
          <w:headerReference w:type="even" r:id="rId63"/>
          <w:footerReference w:type="default" r:id="rId64"/>
          <w:footerReference w:type="even" r:id="rId65"/>
          <w:pgSz w:w="12240" w:h="15840"/>
          <w:pgMar w:header="723" w:footer="882" w:top="940" w:bottom="1080" w:left="0" w:right="0"/>
          <w:pgNumType w:start="15"/>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6">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6">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1"/>
          <w:numId w:val="4"/>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2"/>
          <w:numId w:val="4"/>
        </w:numPr>
        <w:tabs>
          <w:tab w:pos="2161" w:val="left" w:leader="none"/>
        </w:tabs>
        <w:spacing w:line="280" w:lineRule="auto" w:before="0" w:after="0"/>
        <w:ind w:left="2160" w:right="1440"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2"/>
          <w:numId w:val="4"/>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3"/>
          <w:sz w:val="20"/>
        </w:rPr>
        <w:t> </w:t>
      </w:r>
      <w:r>
        <w:rPr>
          <w:sz w:val="20"/>
        </w:rPr>
        <w:t>secundario.</w:t>
      </w:r>
    </w:p>
    <w:p>
      <w:pPr>
        <w:pStyle w:val="ListParagraph"/>
        <w:numPr>
          <w:ilvl w:val="2"/>
          <w:numId w:val="4"/>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2"/>
          <w:numId w:val="4"/>
        </w:numPr>
        <w:tabs>
          <w:tab w:pos="2161" w:val="left" w:leader="none"/>
        </w:tabs>
        <w:spacing w:line="280" w:lineRule="auto" w:before="0" w:after="0"/>
        <w:ind w:left="2160" w:right="1438"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2"/>
          <w:numId w:val="4"/>
        </w:numPr>
        <w:tabs>
          <w:tab w:pos="2161" w:val="left" w:leader="none"/>
        </w:tabs>
        <w:spacing w:line="278" w:lineRule="auto" w:before="0" w:after="0"/>
        <w:ind w:left="2160" w:right="1444"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2"/>
          <w:numId w:val="4"/>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2"/>
          <w:numId w:val="4"/>
        </w:numPr>
        <w:tabs>
          <w:tab w:pos="2161" w:val="left" w:leader="none"/>
        </w:tabs>
        <w:spacing w:line="280" w:lineRule="auto" w:before="0" w:after="0"/>
        <w:ind w:left="2160" w:right="1435"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66">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0">
        <w:r>
          <w:rPr>
            <w:sz w:val="20"/>
          </w:rPr>
          <w:t>http://www.scielo.cl/scielo.php?script=sci_arttext&amp;pid=S0370-</w:t>
        </w:r>
      </w:hyperlink>
      <w:r>
        <w:rPr>
          <w:sz w:val="20"/>
        </w:rPr>
        <w:t> </w:t>
      </w:r>
      <w:hyperlink r:id="rId70">
        <w:r>
          <w:rPr>
            <w:sz w:val="20"/>
          </w:rPr>
          <w:t>41062013000400012&amp;lng=es&amp;tlng=es</w:t>
        </w:r>
      </w:hyperlink>
      <w:r>
        <w:rPr>
          <w:sz w:val="20"/>
        </w:rPr>
        <w:t>.</w:t>
      </w:r>
      <w:r>
        <w:rPr>
          <w:spacing w:val="-5"/>
          <w:sz w:val="20"/>
        </w:rPr>
        <w:t> </w:t>
      </w:r>
      <w:r>
        <w:rPr>
          <w:sz w:val="20"/>
        </w:rPr>
        <w:t>10.4067/S0370-41062013000400012.</w:t>
      </w:r>
    </w:p>
    <w:p>
      <w:pPr>
        <w:pStyle w:val="ListParagraph"/>
        <w:numPr>
          <w:ilvl w:val="2"/>
          <w:numId w:val="4"/>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1"/>
          <w:numId w:val="4"/>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1"/>
          <w:numId w:val="4"/>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1"/>
          <w:numId w:val="4"/>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2"/>
          <w:numId w:val="4"/>
        </w:numPr>
        <w:tabs>
          <w:tab w:pos="2161" w:val="left" w:leader="none"/>
        </w:tabs>
        <w:spacing w:line="240" w:lineRule="auto" w:before="34" w:after="0"/>
        <w:ind w:left="2160" w:right="0" w:hanging="360"/>
        <w:jc w:val="left"/>
        <w:rPr>
          <w:sz w:val="20"/>
        </w:rPr>
      </w:pPr>
      <w:r>
        <w:rPr>
          <w:sz w:val="20"/>
        </w:rPr>
        <w:t>Título</w:t>
      </w:r>
    </w:p>
    <w:p>
      <w:pPr>
        <w:pStyle w:val="ListParagraph"/>
        <w:numPr>
          <w:ilvl w:val="2"/>
          <w:numId w:val="4"/>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2"/>
          <w:numId w:val="4"/>
        </w:numPr>
        <w:tabs>
          <w:tab w:pos="2161" w:val="left" w:leader="none"/>
        </w:tabs>
        <w:spacing w:line="276" w:lineRule="auto" w:before="34" w:after="0"/>
        <w:ind w:left="2160" w:right="143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2"/>
          <w:numId w:val="4"/>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2"/>
          <w:numId w:val="4"/>
        </w:numPr>
        <w:tabs>
          <w:tab w:pos="2161" w:val="left" w:leader="none"/>
        </w:tabs>
        <w:spacing w:line="280" w:lineRule="auto" w:before="0" w:after="0"/>
        <w:ind w:left="2160" w:right="1440"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4"/>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67"/>
          <w:footerReference w:type="default" r:id="rId68"/>
          <w:footerReference w:type="even" r:id="rId69"/>
          <w:pgSz w:w="12240" w:h="15840"/>
          <w:pgMar w:header="0" w:footer="882" w:top="640" w:bottom="1080" w:left="0" w:right="0"/>
          <w:pgNumType w:start="17"/>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9"/>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2"/>
          <w:sz w:val="20"/>
        </w:rPr>
        <w:t> </w:t>
      </w:r>
      <w:r>
        <w:rPr>
          <w:sz w:val="20"/>
        </w:rPr>
        <w:t>contacto.</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9"/>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6">
        <w:r>
          <w:rPr>
            <w:sz w:val="20"/>
          </w:rPr>
          <w:t>www.icmje.org.</w:t>
        </w:r>
      </w:hyperlink>
    </w:p>
    <w:p>
      <w:pPr>
        <w:pStyle w:val="ListParagraph"/>
        <w:numPr>
          <w:ilvl w:val="0"/>
          <w:numId w:val="9"/>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0"/>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0"/>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0"/>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0"/>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0"/>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0"/>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71"/>
          <w:pgSz w:w="12240" w:h="15840"/>
          <w:pgMar w:header="723" w:footer="872" w:top="940" w:bottom="106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4887">
            <wp:simplePos x="0" y="0"/>
            <wp:positionH relativeFrom="page">
              <wp:posOffset>-3175</wp:posOffset>
            </wp:positionH>
            <wp:positionV relativeFrom="paragraph">
              <wp:posOffset>85137</wp:posOffset>
            </wp:positionV>
            <wp:extent cx="7778750" cy="485775"/>
            <wp:effectExtent l="0" t="0" r="0" b="0"/>
            <wp:wrapNone/>
            <wp:docPr id="65" name="image37.png" descr=""/>
            <wp:cNvGraphicFramePr>
              <a:graphicFrameLocks noChangeAspect="1"/>
            </wp:cNvGraphicFramePr>
            <a:graphic>
              <a:graphicData uri="http://schemas.openxmlformats.org/drawingml/2006/picture">
                <pic:pic>
                  <pic:nvPicPr>
                    <pic:cNvPr id="66" name="image37.png"/>
                    <pic:cNvPicPr/>
                  </pic:nvPicPr>
                  <pic:blipFill>
                    <a:blip r:embed="rId74"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28">
            <wp:simplePos x="0" y="0"/>
            <wp:positionH relativeFrom="page">
              <wp:posOffset>2643504</wp:posOffset>
            </wp:positionH>
            <wp:positionV relativeFrom="paragraph">
              <wp:posOffset>111927</wp:posOffset>
            </wp:positionV>
            <wp:extent cx="2069862" cy="1859756"/>
            <wp:effectExtent l="0" t="0" r="0" b="0"/>
            <wp:wrapTopAndBottom/>
            <wp:docPr id="67" name="image38.jpeg" descr=""/>
            <wp:cNvGraphicFramePr>
              <a:graphicFrameLocks noChangeAspect="1"/>
            </wp:cNvGraphicFramePr>
            <a:graphic>
              <a:graphicData uri="http://schemas.openxmlformats.org/drawingml/2006/picture">
                <pic:pic>
                  <pic:nvPicPr>
                    <pic:cNvPr id="68" name="image38.jpeg"/>
                    <pic:cNvPicPr/>
                  </pic:nvPicPr>
                  <pic:blipFill>
                    <a:blip r:embed="rId75"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ind w:left="1721" w:right="173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spacing w:before="6"/>
        <w:ind w:left="2439" w:right="1732"/>
      </w:pPr>
      <w:r>
        <w:rPr/>
        <w:t>E-mail: </w:t>
      </w:r>
      <w:hyperlink r:id="rId24">
        <w:r>
          <w:rPr/>
          <w:t>revistamedicasinergia@gmail.com</w:t>
        </w:r>
      </w:hyperlink>
    </w:p>
    <w:p>
      <w:pPr>
        <w:spacing w:after="0"/>
        <w:sectPr>
          <w:headerReference w:type="default" r:id="rId72"/>
          <w:footerReference w:type="default" r:id="rId73"/>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0544"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8" o:title=""/>
            </v:shape>
            <v:shape style="position:absolute;left:-5;top:2945;width:12214;height:175" type="#_x0000_t75" stroked="false">
              <v:imagedata r:id="rId79" o:title=""/>
            </v:shape>
            <w10:wrap type="none"/>
          </v:group>
        </w:pict>
      </w:r>
      <w:r>
        <w:rPr>
          <w:rFonts w:ascii="Calibri"/>
          <w:color w:val="5B9BD4"/>
          <w:sz w:val="96"/>
        </w:rPr>
        <w:t>Indice</w:t>
      </w:r>
    </w:p>
    <w:p>
      <w:pPr>
        <w:pStyle w:val="BodyText"/>
        <w:spacing w:before="8"/>
        <w:rPr>
          <w:rFonts w:ascii="Calibri"/>
          <w:sz w:val="96"/>
        </w:rPr>
      </w:pPr>
    </w:p>
    <w:p>
      <w:pPr>
        <w:spacing w:before="0"/>
        <w:ind w:left="1700" w:right="0" w:firstLine="0"/>
        <w:jc w:val="left"/>
        <w:rPr>
          <w:b/>
          <w:sz w:val="28"/>
        </w:rPr>
      </w:pPr>
      <w:r>
        <w:rPr>
          <w:b/>
          <w:sz w:val="28"/>
        </w:rPr>
        <w:t>REVISIONES BIBLIOGRAFICAS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tbl>
      <w:tblPr>
        <w:tblW w:w="0" w:type="auto"/>
        <w:jc w:val="left"/>
        <w:tblInd w:w="1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91"/>
      </w:tblGrid>
      <w:tr>
        <w:trPr>
          <w:trHeight w:val="1266" w:hRule="atLeast"/>
        </w:trPr>
        <w:tc>
          <w:tcPr>
            <w:tcW w:w="8691" w:type="dxa"/>
            <w:shd w:val="clear" w:color="auto" w:fill="DEEAF6"/>
          </w:tcPr>
          <w:p>
            <w:pPr>
              <w:pStyle w:val="TableParagraph"/>
              <w:spacing w:line="268" w:lineRule="exact"/>
              <w:ind w:left="200"/>
              <w:rPr>
                <w:sz w:val="24"/>
              </w:rPr>
            </w:pPr>
            <w:r>
              <w:rPr>
                <w:sz w:val="24"/>
              </w:rPr>
              <w:t>Enfermedad diarreica aguda en pediatría</w:t>
            </w:r>
          </w:p>
          <w:p>
            <w:pPr>
              <w:pStyle w:val="TableParagraph"/>
              <w:tabs>
                <w:tab w:pos="8400" w:val="right" w:leader="dot"/>
              </w:tabs>
              <w:spacing w:before="39"/>
              <w:ind w:left="200"/>
              <w:rPr>
                <w:sz w:val="22"/>
              </w:rPr>
            </w:pPr>
            <w:r>
              <w:rPr>
                <w:i/>
                <w:sz w:val="20"/>
              </w:rPr>
              <w:t>Shary</w:t>
            </w:r>
            <w:r>
              <w:rPr>
                <w:i/>
                <w:spacing w:val="-1"/>
                <w:sz w:val="20"/>
              </w:rPr>
              <w:t> </w:t>
            </w:r>
            <w:r>
              <w:rPr>
                <w:i/>
                <w:sz w:val="20"/>
              </w:rPr>
              <w:t>Abadía Guerrero</w:t>
              <w:tab/>
            </w:r>
            <w:r>
              <w:rPr>
                <w:sz w:val="22"/>
              </w:rPr>
              <w:t>3</w:t>
            </w:r>
          </w:p>
        </w:tc>
      </w:tr>
      <w:tr>
        <w:trPr>
          <w:trHeight w:val="1840" w:hRule="atLeast"/>
        </w:trPr>
        <w:tc>
          <w:tcPr>
            <w:tcW w:w="8691" w:type="dxa"/>
            <w:shd w:val="clear" w:color="auto" w:fill="DEEAF6"/>
          </w:tcPr>
          <w:p>
            <w:pPr>
              <w:pStyle w:val="TableParagraph"/>
              <w:rPr>
                <w:b/>
                <w:sz w:val="26"/>
              </w:rPr>
            </w:pPr>
          </w:p>
          <w:p>
            <w:pPr>
              <w:pStyle w:val="TableParagraph"/>
              <w:spacing w:before="8"/>
              <w:rPr>
                <w:b/>
                <w:sz w:val="34"/>
              </w:rPr>
            </w:pPr>
          </w:p>
          <w:p>
            <w:pPr>
              <w:pStyle w:val="TableParagraph"/>
              <w:ind w:left="200"/>
              <w:rPr>
                <w:sz w:val="24"/>
              </w:rPr>
            </w:pPr>
            <w:r>
              <w:rPr>
                <w:sz w:val="24"/>
              </w:rPr>
              <w:t>Esófago de barret</w:t>
            </w:r>
          </w:p>
          <w:p>
            <w:pPr>
              <w:pStyle w:val="TableParagraph"/>
              <w:tabs>
                <w:tab w:pos="8456" w:val="right" w:leader="dot"/>
              </w:tabs>
              <w:spacing w:before="34"/>
              <w:ind w:left="200"/>
              <w:rPr>
                <w:sz w:val="22"/>
              </w:rPr>
            </w:pPr>
            <w:r>
              <w:rPr>
                <w:i/>
                <w:sz w:val="20"/>
              </w:rPr>
              <w:t>Daniel</w:t>
            </w:r>
            <w:r>
              <w:rPr>
                <w:i/>
                <w:spacing w:val="-1"/>
                <w:sz w:val="20"/>
              </w:rPr>
              <w:t> </w:t>
            </w:r>
            <w:r>
              <w:rPr>
                <w:i/>
                <w:sz w:val="20"/>
              </w:rPr>
              <w:t>Mondragón</w:t>
            </w:r>
            <w:r>
              <w:rPr>
                <w:i/>
                <w:spacing w:val="-5"/>
                <w:sz w:val="20"/>
              </w:rPr>
              <w:t> </w:t>
            </w:r>
            <w:r>
              <w:rPr>
                <w:i/>
                <w:sz w:val="20"/>
              </w:rPr>
              <w:t>Bustos</w:t>
              <w:tab/>
            </w:r>
            <w:r>
              <w:rPr>
                <w:sz w:val="22"/>
              </w:rPr>
              <w:t>7</w:t>
            </w:r>
          </w:p>
        </w:tc>
      </w:tr>
      <w:tr>
        <w:trPr>
          <w:trHeight w:val="2216" w:hRule="atLeast"/>
        </w:trPr>
        <w:tc>
          <w:tcPr>
            <w:tcW w:w="8691" w:type="dxa"/>
            <w:shd w:val="clear" w:color="auto" w:fill="DEEAF6"/>
          </w:tcPr>
          <w:p>
            <w:pPr>
              <w:pStyle w:val="TableParagraph"/>
              <w:rPr>
                <w:b/>
                <w:sz w:val="26"/>
              </w:rPr>
            </w:pPr>
          </w:p>
          <w:p>
            <w:pPr>
              <w:pStyle w:val="TableParagraph"/>
              <w:spacing w:before="6"/>
              <w:rPr>
                <w:b/>
                <w:sz w:val="23"/>
              </w:rPr>
            </w:pPr>
          </w:p>
          <w:p>
            <w:pPr>
              <w:pStyle w:val="TableParagraph"/>
              <w:spacing w:before="1"/>
              <w:ind w:left="200"/>
              <w:rPr>
                <w:sz w:val="24"/>
              </w:rPr>
            </w:pPr>
            <w:r>
              <w:rPr>
                <w:sz w:val="24"/>
              </w:rPr>
              <w:t>Estenosis hipertrófica de píloro</w:t>
            </w:r>
          </w:p>
          <w:p>
            <w:pPr>
              <w:pStyle w:val="TableParagraph"/>
              <w:tabs>
                <w:tab w:pos="8486" w:val="right" w:leader="dot"/>
              </w:tabs>
              <w:spacing w:before="35"/>
              <w:ind w:left="200"/>
              <w:rPr>
                <w:sz w:val="22"/>
              </w:rPr>
            </w:pPr>
            <w:r>
              <w:rPr>
                <w:i/>
                <w:sz w:val="20"/>
              </w:rPr>
              <w:t>Nohelia  Zeledón</w:t>
            </w:r>
            <w:r>
              <w:rPr>
                <w:i/>
                <w:spacing w:val="-1"/>
                <w:sz w:val="20"/>
              </w:rPr>
              <w:t> </w:t>
            </w:r>
            <w:r>
              <w:rPr>
                <w:i/>
                <w:sz w:val="20"/>
              </w:rPr>
              <w:t>Rojas</w:t>
              <w:tab/>
            </w:r>
            <w:r>
              <w:rPr>
                <w:spacing w:val="5"/>
                <w:sz w:val="22"/>
              </w:rPr>
              <w:t>12</w:t>
            </w:r>
          </w:p>
        </w:tc>
      </w:tr>
      <w:tr>
        <w:trPr>
          <w:trHeight w:val="1350" w:hRule="atLeast"/>
        </w:trPr>
        <w:tc>
          <w:tcPr>
            <w:tcW w:w="8691" w:type="dxa"/>
            <w:shd w:val="clear" w:color="auto" w:fill="DEEAF6"/>
          </w:tcPr>
          <w:p>
            <w:pPr>
              <w:pStyle w:val="TableParagraph"/>
              <w:rPr>
                <w:b/>
                <w:sz w:val="26"/>
              </w:rPr>
            </w:pPr>
          </w:p>
          <w:p>
            <w:pPr>
              <w:pStyle w:val="TableParagraph"/>
              <w:rPr>
                <w:b/>
                <w:sz w:val="26"/>
              </w:rPr>
            </w:pPr>
          </w:p>
          <w:p>
            <w:pPr>
              <w:pStyle w:val="TableParagraph"/>
              <w:rPr>
                <w:b/>
                <w:sz w:val="26"/>
              </w:rPr>
            </w:pPr>
          </w:p>
          <w:p>
            <w:pPr>
              <w:pStyle w:val="TableParagraph"/>
              <w:tabs>
                <w:tab w:pos="8490" w:val="right" w:leader="dot"/>
              </w:tabs>
              <w:spacing w:line="256" w:lineRule="exact" w:before="177"/>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16</w:t>
            </w:r>
          </w:p>
        </w:tc>
      </w:tr>
    </w:tbl>
    <w:sectPr>
      <w:headerReference w:type="even" r:id="rId76"/>
      <w:footerReference w:type="even" r:id="rId77"/>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359">
          <wp:simplePos x="0" y="0"/>
          <wp:positionH relativeFrom="page">
            <wp:posOffset>916939</wp:posOffset>
          </wp:positionH>
          <wp:positionV relativeFrom="page">
            <wp:posOffset>9441180</wp:posOffset>
          </wp:positionV>
          <wp:extent cx="5910580" cy="203200"/>
          <wp:effectExtent l="0" t="0" r="0" b="0"/>
          <wp:wrapNone/>
          <wp:docPr id="7" name="image27.png" descr=""/>
          <wp:cNvGraphicFramePr>
            <a:graphicFrameLocks noChangeAspect="1"/>
          </wp:cNvGraphicFramePr>
          <a:graphic>
            <a:graphicData uri="http://schemas.openxmlformats.org/drawingml/2006/picture">
              <pic:pic>
                <pic:nvPicPr>
                  <pic:cNvPr id="8"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4383">
          <wp:simplePos x="0" y="0"/>
          <wp:positionH relativeFrom="page">
            <wp:posOffset>485140</wp:posOffset>
          </wp:positionH>
          <wp:positionV relativeFrom="page">
            <wp:posOffset>9390380</wp:posOffset>
          </wp:positionV>
          <wp:extent cx="419100" cy="1905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104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1024"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100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535">
          <wp:simplePos x="0" y="0"/>
          <wp:positionH relativeFrom="page">
            <wp:posOffset>916939</wp:posOffset>
          </wp:positionH>
          <wp:positionV relativeFrom="page">
            <wp:posOffset>9441180</wp:posOffset>
          </wp:positionV>
          <wp:extent cx="5890260" cy="2032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559">
          <wp:simplePos x="0" y="0"/>
          <wp:positionH relativeFrom="page">
            <wp:posOffset>6870700</wp:posOffset>
          </wp:positionH>
          <wp:positionV relativeFrom="page">
            <wp:posOffset>9385300</wp:posOffset>
          </wp:positionV>
          <wp:extent cx="419100" cy="190500"/>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987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984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29824"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727">
          <wp:simplePos x="0" y="0"/>
          <wp:positionH relativeFrom="page">
            <wp:posOffset>916939</wp:posOffset>
          </wp:positionH>
          <wp:positionV relativeFrom="page">
            <wp:posOffset>9441180</wp:posOffset>
          </wp:positionV>
          <wp:extent cx="5890260" cy="203200"/>
          <wp:effectExtent l="0" t="0" r="0" b="0"/>
          <wp:wrapNone/>
          <wp:docPr id="49" name="image29.png" descr=""/>
          <wp:cNvGraphicFramePr>
            <a:graphicFrameLocks noChangeAspect="1"/>
          </wp:cNvGraphicFramePr>
          <a:graphic>
            <a:graphicData uri="http://schemas.openxmlformats.org/drawingml/2006/picture">
              <pic:pic>
                <pic:nvPicPr>
                  <pic:cNvPr id="50"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751">
          <wp:simplePos x="0" y="0"/>
          <wp:positionH relativeFrom="page">
            <wp:posOffset>6870700</wp:posOffset>
          </wp:positionH>
          <wp:positionV relativeFrom="page">
            <wp:posOffset>9385300</wp:posOffset>
          </wp:positionV>
          <wp:extent cx="419100" cy="190500"/>
          <wp:effectExtent l="0" t="0" r="0" b="0"/>
          <wp:wrapNone/>
          <wp:docPr id="51" name="image28.png" descr=""/>
          <wp:cNvGraphicFramePr>
            <a:graphicFrameLocks noChangeAspect="1"/>
          </wp:cNvGraphicFramePr>
          <a:graphic>
            <a:graphicData uri="http://schemas.openxmlformats.org/drawingml/2006/picture">
              <pic:pic>
                <pic:nvPicPr>
                  <pic:cNvPr id="5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968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965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29632"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847">
          <wp:simplePos x="0" y="0"/>
          <wp:positionH relativeFrom="page">
            <wp:posOffset>916939</wp:posOffset>
          </wp:positionH>
          <wp:positionV relativeFrom="page">
            <wp:posOffset>9441180</wp:posOffset>
          </wp:positionV>
          <wp:extent cx="5910580" cy="203200"/>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871">
          <wp:simplePos x="0" y="0"/>
          <wp:positionH relativeFrom="page">
            <wp:posOffset>485140</wp:posOffset>
          </wp:positionH>
          <wp:positionV relativeFrom="page">
            <wp:posOffset>9390380</wp:posOffset>
          </wp:positionV>
          <wp:extent cx="419100" cy="190500"/>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5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53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5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967">
          <wp:simplePos x="0" y="0"/>
          <wp:positionH relativeFrom="page">
            <wp:posOffset>916939</wp:posOffset>
          </wp:positionH>
          <wp:positionV relativeFrom="page">
            <wp:posOffset>9441180</wp:posOffset>
          </wp:positionV>
          <wp:extent cx="5890260" cy="2032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991">
          <wp:simplePos x="0" y="0"/>
          <wp:positionH relativeFrom="page">
            <wp:posOffset>6870700</wp:posOffset>
          </wp:positionH>
          <wp:positionV relativeFrom="page">
            <wp:posOffset>9385300</wp:posOffset>
          </wp:positionV>
          <wp:extent cx="419100" cy="190500"/>
          <wp:effectExtent l="0" t="0" r="0" b="0"/>
          <wp:wrapNone/>
          <wp:docPr id="59" name="image28.png" descr=""/>
          <wp:cNvGraphicFramePr>
            <a:graphicFrameLocks noChangeAspect="1"/>
          </wp:cNvGraphicFramePr>
          <a:graphic>
            <a:graphicData uri="http://schemas.openxmlformats.org/drawingml/2006/picture">
              <pic:pic>
                <pic:nvPicPr>
                  <pic:cNvPr id="6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94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941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29392"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087">
          <wp:simplePos x="0" y="0"/>
          <wp:positionH relativeFrom="page">
            <wp:posOffset>916939</wp:posOffset>
          </wp:positionH>
          <wp:positionV relativeFrom="page">
            <wp:posOffset>9441180</wp:posOffset>
          </wp:positionV>
          <wp:extent cx="5910580" cy="203200"/>
          <wp:effectExtent l="0" t="0" r="0" b="0"/>
          <wp:wrapNone/>
          <wp:docPr id="61" name="image27.png" descr=""/>
          <wp:cNvGraphicFramePr>
            <a:graphicFrameLocks noChangeAspect="1"/>
          </wp:cNvGraphicFramePr>
          <a:graphic>
            <a:graphicData uri="http://schemas.openxmlformats.org/drawingml/2006/picture">
              <pic:pic>
                <pic:nvPicPr>
                  <pic:cNvPr id="62"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6111">
          <wp:simplePos x="0" y="0"/>
          <wp:positionH relativeFrom="page">
            <wp:posOffset>485140</wp:posOffset>
          </wp:positionH>
          <wp:positionV relativeFrom="page">
            <wp:posOffset>9390380</wp:posOffset>
          </wp:positionV>
          <wp:extent cx="419100" cy="190500"/>
          <wp:effectExtent l="0" t="0" r="0" b="0"/>
          <wp:wrapNone/>
          <wp:docPr id="63" name="image28.png" descr=""/>
          <wp:cNvGraphicFramePr>
            <a:graphicFrameLocks noChangeAspect="1"/>
          </wp:cNvGraphicFramePr>
          <a:graphic>
            <a:graphicData uri="http://schemas.openxmlformats.org/drawingml/2006/picture">
              <pic:pic>
                <pic:nvPicPr>
                  <pic:cNvPr id="6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32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29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27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479">
          <wp:simplePos x="0" y="0"/>
          <wp:positionH relativeFrom="page">
            <wp:posOffset>916939</wp:posOffset>
          </wp:positionH>
          <wp:positionV relativeFrom="page">
            <wp:posOffset>9441180</wp:posOffset>
          </wp:positionV>
          <wp:extent cx="5890260" cy="2032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4503">
          <wp:simplePos x="0" y="0"/>
          <wp:positionH relativeFrom="page">
            <wp:posOffset>6870700</wp:posOffset>
          </wp:positionH>
          <wp:positionV relativeFrom="page">
            <wp:posOffset>9385300</wp:posOffset>
          </wp:positionV>
          <wp:extent cx="419100" cy="190500"/>
          <wp:effectExtent l="0" t="0" r="0" b="0"/>
          <wp:wrapNone/>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92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90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30880"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647">
          <wp:simplePos x="0" y="0"/>
          <wp:positionH relativeFrom="page">
            <wp:posOffset>916939</wp:posOffset>
          </wp:positionH>
          <wp:positionV relativeFrom="page">
            <wp:posOffset>9441180</wp:posOffset>
          </wp:positionV>
          <wp:extent cx="5910580" cy="203200"/>
          <wp:effectExtent l="0" t="0" r="0" b="0"/>
          <wp:wrapNone/>
          <wp:docPr id="17" name="image27.png" descr=""/>
          <wp:cNvGraphicFramePr>
            <a:graphicFrameLocks noChangeAspect="1"/>
          </wp:cNvGraphicFramePr>
          <a:graphic>
            <a:graphicData uri="http://schemas.openxmlformats.org/drawingml/2006/picture">
              <pic:pic>
                <pic:nvPicPr>
                  <pic:cNvPr id="18"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4671">
          <wp:simplePos x="0" y="0"/>
          <wp:positionH relativeFrom="page">
            <wp:posOffset>485140</wp:posOffset>
          </wp:positionH>
          <wp:positionV relativeFrom="page">
            <wp:posOffset>9390380</wp:posOffset>
          </wp:positionV>
          <wp:extent cx="419100" cy="190500"/>
          <wp:effectExtent l="0" t="0" r="0" b="0"/>
          <wp:wrapNone/>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7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73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6</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7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767">
          <wp:simplePos x="0" y="0"/>
          <wp:positionH relativeFrom="page">
            <wp:posOffset>916939</wp:posOffset>
          </wp:positionH>
          <wp:positionV relativeFrom="page">
            <wp:posOffset>9441180</wp:posOffset>
          </wp:positionV>
          <wp:extent cx="5890260" cy="203200"/>
          <wp:effectExtent l="0" t="0" r="0" b="0"/>
          <wp:wrapNone/>
          <wp:docPr id="21" name="image29.png" descr=""/>
          <wp:cNvGraphicFramePr>
            <a:graphicFrameLocks noChangeAspect="1"/>
          </wp:cNvGraphicFramePr>
          <a:graphic>
            <a:graphicData uri="http://schemas.openxmlformats.org/drawingml/2006/picture">
              <pic:pic>
                <pic:nvPicPr>
                  <pic:cNvPr id="2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4791">
          <wp:simplePos x="0" y="0"/>
          <wp:positionH relativeFrom="page">
            <wp:posOffset>6870700</wp:posOffset>
          </wp:positionH>
          <wp:positionV relativeFrom="page">
            <wp:posOffset>9385300</wp:posOffset>
          </wp:positionV>
          <wp:extent cx="419100" cy="190500"/>
          <wp:effectExtent l="0" t="0" r="0" b="0"/>
          <wp:wrapNone/>
          <wp:docPr id="23" name="image28.png" descr=""/>
          <wp:cNvGraphicFramePr>
            <a:graphicFrameLocks noChangeAspect="1"/>
          </wp:cNvGraphicFramePr>
          <a:graphic>
            <a:graphicData uri="http://schemas.openxmlformats.org/drawingml/2006/picture">
              <pic:pic>
                <pic:nvPicPr>
                  <pic:cNvPr id="2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6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61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7</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30592"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935">
          <wp:simplePos x="0" y="0"/>
          <wp:positionH relativeFrom="page">
            <wp:posOffset>916939</wp:posOffset>
          </wp:positionH>
          <wp:positionV relativeFrom="page">
            <wp:posOffset>9441180</wp:posOffset>
          </wp:positionV>
          <wp:extent cx="5910580" cy="203200"/>
          <wp:effectExtent l="0" t="0" r="0" b="0"/>
          <wp:wrapNone/>
          <wp:docPr id="25" name="image27.png" descr=""/>
          <wp:cNvGraphicFramePr>
            <a:graphicFrameLocks noChangeAspect="1"/>
          </wp:cNvGraphicFramePr>
          <a:graphic>
            <a:graphicData uri="http://schemas.openxmlformats.org/drawingml/2006/picture">
              <pic:pic>
                <pic:nvPicPr>
                  <pic:cNvPr id="26"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4959">
          <wp:simplePos x="0" y="0"/>
          <wp:positionH relativeFrom="page">
            <wp:posOffset>485140</wp:posOffset>
          </wp:positionH>
          <wp:positionV relativeFrom="page">
            <wp:posOffset>9390380</wp:posOffset>
          </wp:positionV>
          <wp:extent cx="419100" cy="190500"/>
          <wp:effectExtent l="0" t="0" r="0" b="0"/>
          <wp:wrapNone/>
          <wp:docPr id="27" name="image28.png" descr=""/>
          <wp:cNvGraphicFramePr>
            <a:graphicFrameLocks noChangeAspect="1"/>
          </wp:cNvGraphicFramePr>
          <a:graphic>
            <a:graphicData uri="http://schemas.openxmlformats.org/drawingml/2006/picture">
              <pic:pic>
                <pic:nvPicPr>
                  <pic:cNvPr id="2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47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44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42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055">
          <wp:simplePos x="0" y="0"/>
          <wp:positionH relativeFrom="page">
            <wp:posOffset>916939</wp:posOffset>
          </wp:positionH>
          <wp:positionV relativeFrom="page">
            <wp:posOffset>9441180</wp:posOffset>
          </wp:positionV>
          <wp:extent cx="5890260" cy="203200"/>
          <wp:effectExtent l="0" t="0" r="0" b="0"/>
          <wp:wrapNone/>
          <wp:docPr id="29" name="image29.png" descr=""/>
          <wp:cNvGraphicFramePr>
            <a:graphicFrameLocks noChangeAspect="1"/>
          </wp:cNvGraphicFramePr>
          <a:graphic>
            <a:graphicData uri="http://schemas.openxmlformats.org/drawingml/2006/picture">
              <pic:pic>
                <pic:nvPicPr>
                  <pic:cNvPr id="30"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079">
          <wp:simplePos x="0" y="0"/>
          <wp:positionH relativeFrom="page">
            <wp:posOffset>6870700</wp:posOffset>
          </wp:positionH>
          <wp:positionV relativeFrom="page">
            <wp:posOffset>9385300</wp:posOffset>
          </wp:positionV>
          <wp:extent cx="419100" cy="190500"/>
          <wp:effectExtent l="0" t="0" r="0" b="0"/>
          <wp:wrapNone/>
          <wp:docPr id="31" name="image28.png" descr=""/>
          <wp:cNvGraphicFramePr>
            <a:graphicFrameLocks noChangeAspect="1"/>
          </wp:cNvGraphicFramePr>
          <a:graphic>
            <a:graphicData uri="http://schemas.openxmlformats.org/drawingml/2006/picture">
              <pic:pic>
                <pic:nvPicPr>
                  <pic:cNvPr id="3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35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32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30304"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175">
          <wp:simplePos x="0" y="0"/>
          <wp:positionH relativeFrom="page">
            <wp:posOffset>916939</wp:posOffset>
          </wp:positionH>
          <wp:positionV relativeFrom="page">
            <wp:posOffset>9441180</wp:posOffset>
          </wp:positionV>
          <wp:extent cx="5910580" cy="203200"/>
          <wp:effectExtent l="0" t="0" r="0" b="0"/>
          <wp:wrapNone/>
          <wp:docPr id="33" name="image27.png" descr=""/>
          <wp:cNvGraphicFramePr>
            <a:graphicFrameLocks noChangeAspect="1"/>
          </wp:cNvGraphicFramePr>
          <a:graphic>
            <a:graphicData uri="http://schemas.openxmlformats.org/drawingml/2006/picture">
              <pic:pic>
                <pic:nvPicPr>
                  <pic:cNvPr id="34"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199">
          <wp:simplePos x="0" y="0"/>
          <wp:positionH relativeFrom="page">
            <wp:posOffset>485140</wp:posOffset>
          </wp:positionH>
          <wp:positionV relativeFrom="page">
            <wp:posOffset>9390380</wp:posOffset>
          </wp:positionV>
          <wp:extent cx="419100" cy="190500"/>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23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20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18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295">
          <wp:simplePos x="0" y="0"/>
          <wp:positionH relativeFrom="page">
            <wp:posOffset>916939</wp:posOffset>
          </wp:positionH>
          <wp:positionV relativeFrom="page">
            <wp:posOffset>9441180</wp:posOffset>
          </wp:positionV>
          <wp:extent cx="5890260" cy="203200"/>
          <wp:effectExtent l="0" t="0" r="0" b="0"/>
          <wp:wrapNone/>
          <wp:docPr id="37" name="image29.png" descr=""/>
          <wp:cNvGraphicFramePr>
            <a:graphicFrameLocks noChangeAspect="1"/>
          </wp:cNvGraphicFramePr>
          <a:graphic>
            <a:graphicData uri="http://schemas.openxmlformats.org/drawingml/2006/picture">
              <pic:pic>
                <pic:nvPicPr>
                  <pic:cNvPr id="3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319">
          <wp:simplePos x="0" y="0"/>
          <wp:positionH relativeFrom="page">
            <wp:posOffset>6870700</wp:posOffset>
          </wp:positionH>
          <wp:positionV relativeFrom="page">
            <wp:posOffset>9385300</wp:posOffset>
          </wp:positionV>
          <wp:extent cx="419100" cy="190500"/>
          <wp:effectExtent l="0" t="0" r="0" b="0"/>
          <wp:wrapNone/>
          <wp:docPr id="39" name="image28.png" descr=""/>
          <wp:cNvGraphicFramePr>
            <a:graphicFrameLocks noChangeAspect="1"/>
          </wp:cNvGraphicFramePr>
          <a:graphic>
            <a:graphicData uri="http://schemas.openxmlformats.org/drawingml/2006/picture">
              <pic:pic>
                <pic:nvPicPr>
                  <pic:cNvPr id="4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11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08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449997pt;margin-top:742.747253pt;width:239.7pt;height:13.2pt;mso-position-horizontal-relative:page;mso-position-vertical-relative:page;z-index:-30064" type="#_x0000_t202" filled="false" stroked="false">
          <v:textbox inset="0,0,0,0">
            <w:txbxContent>
              <w:p>
                <w:pPr>
                  <w:spacing w:before="13"/>
                  <w:ind w:left="20" w:right="0" w:firstLine="0"/>
                  <w:jc w:val="left"/>
                  <w:rPr>
                    <w:i/>
                    <w:sz w:val="20"/>
                  </w:rPr>
                </w:pPr>
                <w:r>
                  <w:rPr>
                    <w:i/>
                    <w:color w:val="2E5395"/>
                    <w:sz w:val="20"/>
                  </w:rPr>
                  <w:t>REVISTA MEDICA SINERGIA Vol 1 (8), Agosto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415">
          <wp:simplePos x="0" y="0"/>
          <wp:positionH relativeFrom="page">
            <wp:posOffset>916939</wp:posOffset>
          </wp:positionH>
          <wp:positionV relativeFrom="page">
            <wp:posOffset>9441180</wp:posOffset>
          </wp:positionV>
          <wp:extent cx="5910580" cy="203200"/>
          <wp:effectExtent l="0" t="0" r="0" b="0"/>
          <wp:wrapNone/>
          <wp:docPr id="41" name="image27.png" descr=""/>
          <wp:cNvGraphicFramePr>
            <a:graphicFrameLocks noChangeAspect="1"/>
          </wp:cNvGraphicFramePr>
          <a:graphic>
            <a:graphicData uri="http://schemas.openxmlformats.org/drawingml/2006/picture">
              <pic:pic>
                <pic:nvPicPr>
                  <pic:cNvPr id="42"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439">
          <wp:simplePos x="0" y="0"/>
          <wp:positionH relativeFrom="page">
            <wp:posOffset>485140</wp:posOffset>
          </wp:positionH>
          <wp:positionV relativeFrom="page">
            <wp:posOffset>9390380</wp:posOffset>
          </wp:positionV>
          <wp:extent cx="419100" cy="190500"/>
          <wp:effectExtent l="0" t="0" r="0" b="0"/>
          <wp:wrapNone/>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99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96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94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880005pt;margin-top:35.147266pt;width:313.4pt;height:13.2pt;mso-position-horizontal-relative:page;mso-position-vertical-relative:page;z-index:-30856" type="#_x0000_t202" filled="false" stroked="false">
          <v:textbox inset="0,0,0,0">
            <w:txbxContent>
              <w:p>
                <w:pPr>
                  <w:spacing w:before="13"/>
                  <w:ind w:left="20" w:right="0" w:firstLine="0"/>
                  <w:jc w:val="left"/>
                  <w:rPr>
                    <w:i/>
                    <w:sz w:val="20"/>
                  </w:rPr>
                </w:pPr>
                <w:r>
                  <w:rPr>
                    <w:i/>
                    <w:color w:val="2D74B5"/>
                    <w:sz w:val="20"/>
                  </w:rPr>
                  <w:t>ENFERMEDAD DIARREICA EN PEDIATRIA - Shary Abadia Guerrero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270004pt;margin-top:35.147266pt;width:304pt;height:13.2pt;mso-position-horizontal-relative:page;mso-position-vertical-relative:page;z-index:-29776" type="#_x0000_t202" filled="false" stroked="false">
          <v:textbox inset="0,0,0,0">
            <w:txbxContent>
              <w:p>
                <w:pPr>
                  <w:spacing w:before="13"/>
                  <w:ind w:left="20" w:right="0" w:firstLine="0"/>
                  <w:jc w:val="left"/>
                  <w:rPr>
                    <w:i/>
                    <w:sz w:val="20"/>
                  </w:rPr>
                </w:pPr>
                <w:r>
                  <w:rPr>
                    <w:i/>
                    <w:color w:val="2D74B5"/>
                    <w:sz w:val="20"/>
                  </w:rPr>
                  <w:t>ESTENOSIS HIPERTROFICA DE PILORO - Nohelia Zeledón Rojas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975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924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880005pt;margin-top:35.147266pt;width:313.4pt;height:13.2pt;mso-position-horizontal-relative:page;mso-position-vertical-relative:page;z-index:-30832" type="#_x0000_t202" filled="false" stroked="false">
          <v:textbox inset="0,0,0,0">
            <w:txbxContent>
              <w:p>
                <w:pPr>
                  <w:spacing w:before="13"/>
                  <w:ind w:left="20" w:right="0" w:firstLine="0"/>
                  <w:jc w:val="left"/>
                  <w:rPr>
                    <w:i/>
                    <w:sz w:val="20"/>
                  </w:rPr>
                </w:pPr>
                <w:r>
                  <w:rPr>
                    <w:i/>
                    <w:color w:val="2D74B5"/>
                    <w:sz w:val="20"/>
                  </w:rPr>
                  <w:t>ENFERMEDAD DIARREICA EN PEDIATRIA - Shary Abadia Guerrero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0.700012pt;margin-top:35.147266pt;width:230.45pt;height:13.2pt;mso-position-horizontal-relative:page;mso-position-vertical-relative:page;z-index:-30568" type="#_x0000_t202" filled="false" stroked="false">
          <v:textbox inset="0,0,0,0">
            <w:txbxContent>
              <w:p>
                <w:pPr>
                  <w:spacing w:before="13"/>
                  <w:ind w:left="20" w:right="0" w:firstLine="0"/>
                  <w:jc w:val="left"/>
                  <w:rPr>
                    <w:i/>
                    <w:sz w:val="20"/>
                  </w:rPr>
                </w:pPr>
                <w:r>
                  <w:rPr>
                    <w:i/>
                    <w:color w:val="2D74B5"/>
                    <w:sz w:val="20"/>
                  </w:rPr>
                  <w:t>ESOFAGO DE BARRET - Daniel Mondragón Busto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700012pt;margin-top:35.147266pt;width:235.35pt;height:13.2pt;mso-position-horizontal-relative:page;mso-position-vertical-relative:page;z-index:-30544" type="#_x0000_t202" filled="false" stroked="false">
          <v:textbox inset="0,0,0,0">
            <w:txbxContent>
              <w:p>
                <w:pPr>
                  <w:spacing w:before="13"/>
                  <w:ind w:left="20" w:right="0" w:firstLine="0"/>
                  <w:jc w:val="left"/>
                  <w:rPr>
                    <w:i/>
                    <w:sz w:val="20"/>
                  </w:rPr>
                </w:pPr>
                <w:r>
                  <w:rPr>
                    <w:i/>
                    <w:color w:val="2D74B5"/>
                    <w:sz w:val="20"/>
                  </w:rPr>
                  <w:t>ESOFAGO DE BARRET - Daniel Mondragón Bustos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270004pt;margin-top:35.147266pt;width:304pt;height:13.2pt;mso-position-horizontal-relative:page;mso-position-vertical-relative:page;z-index:-29800" type="#_x0000_t202" filled="false" stroked="false">
          <v:textbox inset="0,0,0,0">
            <w:txbxContent>
              <w:p>
                <w:pPr>
                  <w:spacing w:before="13"/>
                  <w:ind w:left="20" w:right="0" w:firstLine="0"/>
                  <w:jc w:val="left"/>
                  <w:rPr>
                    <w:i/>
                    <w:sz w:val="20"/>
                  </w:rPr>
                </w:pPr>
                <w:r>
                  <w:rPr>
                    <w:i/>
                    <w:color w:val="2D74B5"/>
                    <w:sz w:val="20"/>
                  </w:rPr>
                  <w:t>ESTENOSIS HIPERTROFICA DE PILORO - Nohelia Zeledón Rojas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7">
    <w:multiLevelType w:val="hybridMultilevel"/>
    <w:lvl w:ilvl="0">
      <w:start w:val="0"/>
      <w:numFmt w:val="bullet"/>
      <w:lvlText w:val=""/>
      <w:lvlJc w:val="left"/>
      <w:pPr>
        <w:ind w:left="1396" w:hanging="361"/>
      </w:pPr>
      <w:rPr>
        <w:rFonts w:hint="default" w:ascii="Symbol" w:hAnsi="Symbol" w:eastAsia="Symbol" w:cs="Symbol"/>
        <w:w w:val="100"/>
        <w:sz w:val="22"/>
        <w:szCs w:val="22"/>
      </w:rPr>
    </w:lvl>
    <w:lvl w:ilvl="1">
      <w:start w:val="0"/>
      <w:numFmt w:val="bullet"/>
      <w:lvlText w:val=""/>
      <w:lvlJc w:val="left"/>
      <w:pPr>
        <w:ind w:left="1800" w:hanging="360"/>
      </w:pPr>
      <w:rPr>
        <w:rFonts w:hint="default"/>
        <w:w w:val="100"/>
      </w:rPr>
    </w:lvl>
    <w:lvl w:ilvl="2">
      <w:start w:val="0"/>
      <w:numFmt w:val="bullet"/>
      <w:lvlText w:val="•"/>
      <w:lvlJc w:val="left"/>
      <w:pPr>
        <w:ind w:left="2314" w:hanging="360"/>
      </w:pPr>
      <w:rPr>
        <w:rFonts w:hint="default"/>
      </w:rPr>
    </w:lvl>
    <w:lvl w:ilvl="3">
      <w:start w:val="0"/>
      <w:numFmt w:val="bullet"/>
      <w:lvlText w:val="•"/>
      <w:lvlJc w:val="left"/>
      <w:pPr>
        <w:ind w:left="2829" w:hanging="360"/>
      </w:pPr>
      <w:rPr>
        <w:rFonts w:hint="default"/>
      </w:rPr>
    </w:lvl>
    <w:lvl w:ilvl="4">
      <w:start w:val="0"/>
      <w:numFmt w:val="bullet"/>
      <w:lvlText w:val="•"/>
      <w:lvlJc w:val="left"/>
      <w:pPr>
        <w:ind w:left="3344" w:hanging="360"/>
      </w:pPr>
      <w:rPr>
        <w:rFonts w:hint="default"/>
      </w:rPr>
    </w:lvl>
    <w:lvl w:ilvl="5">
      <w:start w:val="0"/>
      <w:numFmt w:val="bullet"/>
      <w:lvlText w:val="•"/>
      <w:lvlJc w:val="left"/>
      <w:pPr>
        <w:ind w:left="3859" w:hanging="360"/>
      </w:pPr>
      <w:rPr>
        <w:rFonts w:hint="default"/>
      </w:rPr>
    </w:lvl>
    <w:lvl w:ilvl="6">
      <w:start w:val="0"/>
      <w:numFmt w:val="bullet"/>
      <w:lvlText w:val="•"/>
      <w:lvlJc w:val="left"/>
      <w:pPr>
        <w:ind w:left="4374" w:hanging="360"/>
      </w:pPr>
      <w:rPr>
        <w:rFonts w:hint="default"/>
      </w:rPr>
    </w:lvl>
    <w:lvl w:ilvl="7">
      <w:start w:val="0"/>
      <w:numFmt w:val="bullet"/>
      <w:lvlText w:val="•"/>
      <w:lvlJc w:val="left"/>
      <w:pPr>
        <w:ind w:left="4889" w:hanging="360"/>
      </w:pPr>
      <w:rPr>
        <w:rFonts w:hint="default"/>
      </w:rPr>
    </w:lvl>
    <w:lvl w:ilvl="8">
      <w:start w:val="0"/>
      <w:numFmt w:val="bullet"/>
      <w:lvlText w:val="•"/>
      <w:lvlJc w:val="left"/>
      <w:pPr>
        <w:ind w:left="5404" w:hanging="360"/>
      </w:pPr>
      <w:rPr>
        <w:rFonts w:hint="default"/>
      </w:rPr>
    </w:lvl>
  </w:abstractNum>
  <w:abstractNum w:abstractNumId="6">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0"/>
      <w:numFmt w:val="bullet"/>
      <w:lvlText w:val=""/>
      <w:lvlJc w:val="left"/>
      <w:pPr>
        <w:ind w:left="2160" w:hanging="360"/>
      </w:pPr>
      <w:rPr>
        <w:rFonts w:hint="default" w:ascii="Wingdings" w:hAnsi="Wingdings" w:eastAsia="Wingdings" w:cs="Wingdings"/>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1"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3602" w:hanging="360"/>
      </w:pPr>
      <w:rPr>
        <w:rFonts w:hint="default"/>
      </w:rPr>
    </w:lvl>
    <w:lvl w:ilvl="5">
      <w:start w:val="0"/>
      <w:numFmt w:val="bullet"/>
      <w:lvlText w:val="•"/>
      <w:lvlJc w:val="left"/>
      <w:pPr>
        <w:ind w:left="3963" w:hanging="360"/>
      </w:pPr>
      <w:rPr>
        <w:rFonts w:hint="default"/>
      </w:rPr>
    </w:lvl>
    <w:lvl w:ilvl="6">
      <w:start w:val="0"/>
      <w:numFmt w:val="bullet"/>
      <w:lvlText w:val="•"/>
      <w:lvlJc w:val="left"/>
      <w:pPr>
        <w:ind w:left="4324" w:hanging="360"/>
      </w:pPr>
      <w:rPr>
        <w:rFonts w:hint="default"/>
      </w:rPr>
    </w:lvl>
    <w:lvl w:ilvl="7">
      <w:start w:val="0"/>
      <w:numFmt w:val="bullet"/>
      <w:lvlText w:val="•"/>
      <w:lvlJc w:val="left"/>
      <w:pPr>
        <w:ind w:left="4684" w:hanging="360"/>
      </w:pPr>
      <w:rPr>
        <w:rFonts w:hint="default"/>
      </w:rPr>
    </w:lvl>
    <w:lvl w:ilvl="8">
      <w:start w:val="0"/>
      <w:numFmt w:val="bullet"/>
      <w:lvlText w:val="•"/>
      <w:lvlJc w:val="left"/>
      <w:pPr>
        <w:ind w:left="5045" w:hanging="360"/>
      </w:pPr>
      <w:rPr>
        <w:rFonts w:hint="default"/>
      </w:rPr>
    </w:lvl>
  </w:abstractNum>
  <w:abstractNum w:abstractNumId="4">
    <w:multiLevelType w:val="hybridMultilevel"/>
    <w:lvl w:ilvl="0">
      <w:start w:val="0"/>
      <w:numFmt w:val="bullet"/>
      <w:lvlText w:val="-"/>
      <w:lvlJc w:val="left"/>
      <w:pPr>
        <w:ind w:left="1397" w:hanging="361"/>
      </w:pPr>
      <w:rPr>
        <w:rFonts w:hint="default" w:ascii="Arial" w:hAnsi="Arial" w:eastAsia="Arial" w:cs="Arial"/>
        <w:spacing w:val="-25"/>
        <w:w w:val="99"/>
        <w:sz w:val="22"/>
        <w:szCs w:val="22"/>
      </w:rPr>
    </w:lvl>
    <w:lvl w:ilvl="1">
      <w:start w:val="0"/>
      <w:numFmt w:val="bullet"/>
      <w:lvlText w:val=""/>
      <w:lvlJc w:val="left"/>
      <w:pPr>
        <w:ind w:left="2160" w:hanging="360"/>
      </w:pPr>
      <w:rPr>
        <w:rFonts w:hint="default" w:ascii="Wingdings" w:hAnsi="Wingdings" w:eastAsia="Wingdings" w:cs="Wingdings"/>
        <w:w w:val="100"/>
        <w:sz w:val="22"/>
        <w:szCs w:val="22"/>
      </w:rPr>
    </w:lvl>
    <w:lvl w:ilvl="2">
      <w:start w:val="0"/>
      <w:numFmt w:val="bullet"/>
      <w:lvlText w:val="•"/>
      <w:lvlJc w:val="left"/>
      <w:pPr>
        <w:ind w:left="1915"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1427" w:hanging="360"/>
      </w:pPr>
      <w:rPr>
        <w:rFonts w:hint="default"/>
      </w:rPr>
    </w:lvl>
    <w:lvl w:ilvl="5">
      <w:start w:val="0"/>
      <w:numFmt w:val="bullet"/>
      <w:lvlText w:val="•"/>
      <w:lvlJc w:val="left"/>
      <w:pPr>
        <w:ind w:left="1183" w:hanging="360"/>
      </w:pPr>
      <w:rPr>
        <w:rFonts w:hint="default"/>
      </w:rPr>
    </w:lvl>
    <w:lvl w:ilvl="6">
      <w:start w:val="0"/>
      <w:numFmt w:val="bullet"/>
      <w:lvlText w:val="•"/>
      <w:lvlJc w:val="left"/>
      <w:pPr>
        <w:ind w:left="938" w:hanging="360"/>
      </w:pPr>
      <w:rPr>
        <w:rFonts w:hint="default"/>
      </w:rPr>
    </w:lvl>
    <w:lvl w:ilvl="7">
      <w:start w:val="0"/>
      <w:numFmt w:val="bullet"/>
      <w:lvlText w:val="•"/>
      <w:lvlJc w:val="left"/>
      <w:pPr>
        <w:ind w:left="694" w:hanging="360"/>
      </w:pPr>
      <w:rPr>
        <w:rFonts w:hint="default"/>
      </w:rPr>
    </w:lvl>
    <w:lvl w:ilvl="8">
      <w:start w:val="0"/>
      <w:numFmt w:val="bullet"/>
      <w:lvlText w:val="•"/>
      <w:lvlJc w:val="left"/>
      <w:pPr>
        <w:ind w:left="450" w:hanging="360"/>
      </w:pPr>
      <w:rPr>
        <w:rFonts w:hint="default"/>
      </w:rPr>
    </w:lvl>
  </w:abstractNum>
  <w:abstractNum w:abstractNumId="3">
    <w:multiLevelType w:val="hybridMultilevel"/>
    <w:lvl w:ilvl="0">
      <w:start w:val="1"/>
      <w:numFmt w:val="decimal"/>
      <w:lvlText w:val="%1-"/>
      <w:lvlJc w:val="left"/>
      <w:pPr>
        <w:ind w:left="2160" w:hanging="360"/>
        <w:jc w:val="right"/>
      </w:pPr>
      <w:rPr>
        <w:rFonts w:hint="default" w:ascii="Arial" w:hAnsi="Arial" w:eastAsia="Arial" w:cs="Arial"/>
        <w:spacing w:val="-29"/>
        <w:w w:val="99"/>
        <w:sz w:val="22"/>
        <w:szCs w:val="22"/>
      </w:rPr>
    </w:lvl>
    <w:lvl w:ilvl="1">
      <w:start w:val="1"/>
      <w:numFmt w:val="upperRoman"/>
      <w:lvlText w:val="%2."/>
      <w:lvlJc w:val="left"/>
      <w:pPr>
        <w:ind w:left="1800" w:hanging="472"/>
        <w:jc w:val="right"/>
      </w:pPr>
      <w:rPr>
        <w:rFonts w:hint="default" w:ascii="Arial" w:hAnsi="Arial" w:eastAsia="Arial" w:cs="Arial"/>
        <w:b/>
        <w:bCs/>
        <w:spacing w:val="-7"/>
        <w:w w:val="99"/>
        <w:sz w:val="20"/>
        <w:szCs w:val="20"/>
      </w:rPr>
    </w:lvl>
    <w:lvl w:ilvl="2">
      <w:start w:val="1"/>
      <w:numFmt w:val="decimal"/>
      <w:lvlText w:val="%3."/>
      <w:lvlJc w:val="left"/>
      <w:pPr>
        <w:ind w:left="2160" w:hanging="360"/>
        <w:jc w:val="left"/>
      </w:pPr>
      <w:rPr>
        <w:rFonts w:hint="default" w:ascii="Arial" w:hAnsi="Arial" w:eastAsia="Arial" w:cs="Arial"/>
        <w:spacing w:val="-7"/>
        <w:w w:val="99"/>
        <w:sz w:val="20"/>
        <w:szCs w:val="20"/>
      </w:rPr>
    </w:lvl>
    <w:lvl w:ilvl="3">
      <w:start w:val="0"/>
      <w:numFmt w:val="bullet"/>
      <w:lvlText w:val="•"/>
      <w:lvlJc w:val="left"/>
      <w:pPr>
        <w:ind w:left="2961" w:hanging="360"/>
      </w:pPr>
      <w:rPr>
        <w:rFonts w:hint="default"/>
      </w:rPr>
    </w:lvl>
    <w:lvl w:ilvl="4">
      <w:start w:val="0"/>
      <w:numFmt w:val="bullet"/>
      <w:lvlText w:val="•"/>
      <w:lvlJc w:val="left"/>
      <w:pPr>
        <w:ind w:left="3361" w:hanging="360"/>
      </w:pPr>
      <w:rPr>
        <w:rFonts w:hint="default"/>
      </w:rPr>
    </w:lvl>
    <w:lvl w:ilvl="5">
      <w:start w:val="0"/>
      <w:numFmt w:val="bullet"/>
      <w:lvlText w:val="•"/>
      <w:lvlJc w:val="left"/>
      <w:pPr>
        <w:ind w:left="3762" w:hanging="360"/>
      </w:pPr>
      <w:rPr>
        <w:rFonts w:hint="default"/>
      </w:rPr>
    </w:lvl>
    <w:lvl w:ilvl="6">
      <w:start w:val="0"/>
      <w:numFmt w:val="bullet"/>
      <w:lvlText w:val="•"/>
      <w:lvlJc w:val="left"/>
      <w:pPr>
        <w:ind w:left="4162" w:hanging="360"/>
      </w:pPr>
      <w:rPr>
        <w:rFonts w:hint="default"/>
      </w:rPr>
    </w:lvl>
    <w:lvl w:ilvl="7">
      <w:start w:val="0"/>
      <w:numFmt w:val="bullet"/>
      <w:lvlText w:val="•"/>
      <w:lvlJc w:val="left"/>
      <w:pPr>
        <w:ind w:left="4563" w:hanging="360"/>
      </w:pPr>
      <w:rPr>
        <w:rFonts w:hint="default"/>
      </w:rPr>
    </w:lvl>
    <w:lvl w:ilvl="8">
      <w:start w:val="0"/>
      <w:numFmt w:val="bullet"/>
      <w:lvlText w:val="•"/>
      <w:lvlJc w:val="left"/>
      <w:pPr>
        <w:ind w:left="4964" w:hanging="360"/>
      </w:pPr>
      <w:rPr>
        <w:rFonts w:hint="default"/>
      </w:rPr>
    </w:lvl>
  </w:abstractNum>
  <w:abstractNum w:abstractNumId="2">
    <w:multiLevelType w:val="hybridMultilevel"/>
    <w:lvl w:ilvl="0">
      <w:start w:val="0"/>
      <w:numFmt w:val="bullet"/>
      <w:lvlText w:val="-"/>
      <w:lvlJc w:val="left"/>
      <w:pPr>
        <w:ind w:left="2160" w:hanging="360"/>
      </w:pPr>
      <w:rPr>
        <w:rFonts w:hint="default" w:ascii="Arial" w:hAnsi="Arial" w:eastAsia="Arial" w:cs="Arial"/>
        <w:spacing w:val="-29"/>
        <w:w w:val="99"/>
        <w:sz w:val="22"/>
        <w:szCs w:val="22"/>
      </w:rPr>
    </w:lvl>
    <w:lvl w:ilvl="1">
      <w:start w:val="0"/>
      <w:numFmt w:val="bullet"/>
      <w:lvlText w:val="•"/>
      <w:lvlJc w:val="left"/>
      <w:pPr>
        <w:ind w:left="2520" w:hanging="360"/>
      </w:pPr>
      <w:rPr>
        <w:rFonts w:hint="default"/>
      </w:rPr>
    </w:lvl>
    <w:lvl w:ilvl="2">
      <w:start w:val="0"/>
      <w:numFmt w:val="bullet"/>
      <w:lvlText w:val="•"/>
      <w:lvlJc w:val="left"/>
      <w:pPr>
        <w:ind w:left="2881"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2" w:hanging="360"/>
      </w:pPr>
      <w:rPr>
        <w:rFonts w:hint="default"/>
      </w:rPr>
    </w:lvl>
    <w:lvl w:ilvl="5">
      <w:start w:val="0"/>
      <w:numFmt w:val="bullet"/>
      <w:lvlText w:val="•"/>
      <w:lvlJc w:val="left"/>
      <w:pPr>
        <w:ind w:left="3962" w:hanging="360"/>
      </w:pPr>
      <w:rPr>
        <w:rFonts w:hint="default"/>
      </w:rPr>
    </w:lvl>
    <w:lvl w:ilvl="6">
      <w:start w:val="0"/>
      <w:numFmt w:val="bullet"/>
      <w:lvlText w:val="•"/>
      <w:lvlJc w:val="left"/>
      <w:pPr>
        <w:ind w:left="4323" w:hanging="360"/>
      </w:pPr>
      <w:rPr>
        <w:rFonts w:hint="default"/>
      </w:rPr>
    </w:lvl>
    <w:lvl w:ilvl="7">
      <w:start w:val="0"/>
      <w:numFmt w:val="bullet"/>
      <w:lvlText w:val="•"/>
      <w:lvlJc w:val="left"/>
      <w:pPr>
        <w:ind w:left="4683" w:hanging="360"/>
      </w:pPr>
      <w:rPr>
        <w:rFonts w:hint="default"/>
      </w:rPr>
    </w:lvl>
    <w:lvl w:ilvl="8">
      <w:start w:val="0"/>
      <w:numFmt w:val="bullet"/>
      <w:lvlText w:val="•"/>
      <w:lvlJc w:val="left"/>
      <w:pPr>
        <w:ind w:left="5044" w:hanging="360"/>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16" w:hanging="361"/>
      </w:pPr>
      <w:rPr>
        <w:rFonts w:hint="default"/>
      </w:rPr>
    </w:lvl>
    <w:lvl w:ilvl="2">
      <w:start w:val="0"/>
      <w:numFmt w:val="bullet"/>
      <w:lvlText w:val="•"/>
      <w:lvlJc w:val="left"/>
      <w:pPr>
        <w:ind w:left="1272" w:hanging="361"/>
      </w:pPr>
      <w:rPr>
        <w:rFonts w:hint="default"/>
      </w:rPr>
    </w:lvl>
    <w:lvl w:ilvl="3">
      <w:start w:val="0"/>
      <w:numFmt w:val="bullet"/>
      <w:lvlText w:val="•"/>
      <w:lvlJc w:val="left"/>
      <w:pPr>
        <w:ind w:left="1628" w:hanging="361"/>
      </w:pPr>
      <w:rPr>
        <w:rFonts w:hint="default"/>
      </w:rPr>
    </w:lvl>
    <w:lvl w:ilvl="4">
      <w:start w:val="0"/>
      <w:numFmt w:val="bullet"/>
      <w:lvlText w:val="•"/>
      <w:lvlJc w:val="left"/>
      <w:pPr>
        <w:ind w:left="1984" w:hanging="361"/>
      </w:pPr>
      <w:rPr>
        <w:rFonts w:hint="default"/>
      </w:rPr>
    </w:lvl>
    <w:lvl w:ilvl="5">
      <w:start w:val="0"/>
      <w:numFmt w:val="bullet"/>
      <w:lvlText w:val="•"/>
      <w:lvlJc w:val="left"/>
      <w:pPr>
        <w:ind w:left="2340" w:hanging="361"/>
      </w:pPr>
      <w:rPr>
        <w:rFonts w:hint="default"/>
      </w:rPr>
    </w:lvl>
    <w:lvl w:ilvl="6">
      <w:start w:val="0"/>
      <w:numFmt w:val="bullet"/>
      <w:lvlText w:val="•"/>
      <w:lvlJc w:val="left"/>
      <w:pPr>
        <w:ind w:left="2696" w:hanging="361"/>
      </w:pPr>
      <w:rPr>
        <w:rFonts w:hint="default"/>
      </w:rPr>
    </w:lvl>
    <w:lvl w:ilvl="7">
      <w:start w:val="0"/>
      <w:numFmt w:val="bullet"/>
      <w:lvlText w:val="•"/>
      <w:lvlJc w:val="left"/>
      <w:pPr>
        <w:ind w:left="3052" w:hanging="361"/>
      </w:pPr>
      <w:rPr>
        <w:rFonts w:hint="default"/>
      </w:rPr>
    </w:lvl>
    <w:lvl w:ilvl="8">
      <w:start w:val="0"/>
      <w:numFmt w:val="bullet"/>
      <w:lvlText w:val="•"/>
      <w:lvlJc w:val="left"/>
      <w:pPr>
        <w:ind w:left="3408"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16" w:hanging="361"/>
      </w:pPr>
      <w:rPr>
        <w:rFonts w:hint="default"/>
      </w:rPr>
    </w:lvl>
    <w:lvl w:ilvl="2">
      <w:start w:val="0"/>
      <w:numFmt w:val="bullet"/>
      <w:lvlText w:val="•"/>
      <w:lvlJc w:val="left"/>
      <w:pPr>
        <w:ind w:left="1272" w:hanging="361"/>
      </w:pPr>
      <w:rPr>
        <w:rFonts w:hint="default"/>
      </w:rPr>
    </w:lvl>
    <w:lvl w:ilvl="3">
      <w:start w:val="0"/>
      <w:numFmt w:val="bullet"/>
      <w:lvlText w:val="•"/>
      <w:lvlJc w:val="left"/>
      <w:pPr>
        <w:ind w:left="1628" w:hanging="361"/>
      </w:pPr>
      <w:rPr>
        <w:rFonts w:hint="default"/>
      </w:rPr>
    </w:lvl>
    <w:lvl w:ilvl="4">
      <w:start w:val="0"/>
      <w:numFmt w:val="bullet"/>
      <w:lvlText w:val="•"/>
      <w:lvlJc w:val="left"/>
      <w:pPr>
        <w:ind w:left="1984" w:hanging="361"/>
      </w:pPr>
      <w:rPr>
        <w:rFonts w:hint="default"/>
      </w:rPr>
    </w:lvl>
    <w:lvl w:ilvl="5">
      <w:start w:val="0"/>
      <w:numFmt w:val="bullet"/>
      <w:lvlText w:val="•"/>
      <w:lvlJc w:val="left"/>
      <w:pPr>
        <w:ind w:left="2340" w:hanging="361"/>
      </w:pPr>
      <w:rPr>
        <w:rFonts w:hint="default"/>
      </w:rPr>
    </w:lvl>
    <w:lvl w:ilvl="6">
      <w:start w:val="0"/>
      <w:numFmt w:val="bullet"/>
      <w:lvlText w:val="•"/>
      <w:lvlJc w:val="left"/>
      <w:pPr>
        <w:ind w:left="2696" w:hanging="361"/>
      </w:pPr>
      <w:rPr>
        <w:rFonts w:hint="default"/>
      </w:rPr>
    </w:lvl>
    <w:lvl w:ilvl="7">
      <w:start w:val="0"/>
      <w:numFmt w:val="bullet"/>
      <w:lvlText w:val="•"/>
      <w:lvlJc w:val="left"/>
      <w:pPr>
        <w:ind w:left="3052" w:hanging="361"/>
      </w:pPr>
      <w:rPr>
        <w:rFonts w:hint="default"/>
      </w:rPr>
    </w:lvl>
    <w:lvl w:ilvl="8">
      <w:start w:val="0"/>
      <w:numFmt w:val="bullet"/>
      <w:lvlText w:val="•"/>
      <w:lvlJc w:val="left"/>
      <w:pPr>
        <w:ind w:left="3408"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162"/>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ind w:left="674"/>
      <w:jc w:val="center"/>
      <w:outlineLvl w:val="5"/>
    </w:pPr>
    <w:rPr>
      <w:rFonts w:ascii="Arial" w:hAnsi="Arial" w:eastAsia="Arial" w:cs="Arial"/>
      <w:sz w:val="24"/>
      <w:szCs w:val="24"/>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yperlink" Target="https://www.google.com/url?sa=t&amp;amp;rct=j&amp;amp;q&amp;amp;esrc=s&amp;amp;source=web&amp;amp;cd=2&amp;amp;cad=rja&amp;amp;uact=8&amp;amp;ved=0ahUKEwjQrcyJrffYAhUD2VMKHTyCAwwQFgg0MAE&amp;amp;url=https%3A%2F%2Fwww.ncbi.nlm.nih.gov%2Fpmc%2Farticles%2FPMC2737434%2F&amp;amp;usg=AOvVaw0heMg_mWenvcfvSw_a82Iy"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4.xml"/><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header" Target="header5.xml"/><Relationship Id="rId48" Type="http://schemas.openxmlformats.org/officeDocument/2006/relationships/header" Target="header6.xml"/><Relationship Id="rId49" Type="http://schemas.openxmlformats.org/officeDocument/2006/relationships/footer" Target="footer5.xml"/><Relationship Id="rId50" Type="http://schemas.openxmlformats.org/officeDocument/2006/relationships/footer" Target="footer6.xml"/><Relationship Id="rId51" Type="http://schemas.openxmlformats.org/officeDocument/2006/relationships/footer" Target="footer7.xml"/><Relationship Id="rId52" Type="http://schemas.openxmlformats.org/officeDocument/2006/relationships/footer" Target="footer8.xml"/><Relationship Id="rId53" Type="http://schemas.openxmlformats.org/officeDocument/2006/relationships/hyperlink" Target="http://www.nature.com/ajg" TargetMode="External"/><Relationship Id="rId54" Type="http://schemas.openxmlformats.org/officeDocument/2006/relationships/hyperlink" Target="http://expertconsult.com/" TargetMode="External"/><Relationship Id="rId55" Type="http://schemas.openxmlformats.org/officeDocument/2006/relationships/header" Target="header7.xml"/><Relationship Id="rId56" Type="http://schemas.openxmlformats.org/officeDocument/2006/relationships/footer" Target="footer9.xml"/><Relationship Id="rId57" Type="http://schemas.openxmlformats.org/officeDocument/2006/relationships/footer" Target="footer10.xml"/><Relationship Id="rId58" Type="http://schemas.openxmlformats.org/officeDocument/2006/relationships/image" Target="media/image35.png"/><Relationship Id="rId59" Type="http://schemas.openxmlformats.org/officeDocument/2006/relationships/image" Target="media/image36.png"/><Relationship Id="rId60" Type="http://schemas.openxmlformats.org/officeDocument/2006/relationships/header" Target="header8.xml"/><Relationship Id="rId61" Type="http://schemas.openxmlformats.org/officeDocument/2006/relationships/header" Target="header9.xml"/><Relationship Id="rId62" Type="http://schemas.openxmlformats.org/officeDocument/2006/relationships/header" Target="header10.xml"/><Relationship Id="rId63" Type="http://schemas.openxmlformats.org/officeDocument/2006/relationships/header" Target="header11.xml"/><Relationship Id="rId64" Type="http://schemas.openxmlformats.org/officeDocument/2006/relationships/footer" Target="footer11.xml"/><Relationship Id="rId65" Type="http://schemas.openxmlformats.org/officeDocument/2006/relationships/footer" Target="footer12.xml"/><Relationship Id="rId66" Type="http://schemas.openxmlformats.org/officeDocument/2006/relationships/hyperlink" Target="http://www.icmje.org/" TargetMode="External"/><Relationship Id="rId67" Type="http://schemas.openxmlformats.org/officeDocument/2006/relationships/header" Target="header12.xml"/><Relationship Id="rId68" Type="http://schemas.openxmlformats.org/officeDocument/2006/relationships/footer" Target="footer13.xml"/><Relationship Id="rId69" Type="http://schemas.openxmlformats.org/officeDocument/2006/relationships/footer" Target="footer14.xml"/><Relationship Id="rId70" Type="http://schemas.openxmlformats.org/officeDocument/2006/relationships/hyperlink" Target="http://www.scielo.cl/scielo.php?script=sci_arttext&amp;amp;pid=S0370-41062013000400012&amp;amp;lng=es&amp;amp;tlng=es" TargetMode="External"/><Relationship Id="rId71" Type="http://schemas.openxmlformats.org/officeDocument/2006/relationships/header" Target="header13.xml"/><Relationship Id="rId72" Type="http://schemas.openxmlformats.org/officeDocument/2006/relationships/header" Target="header14.xml"/><Relationship Id="rId73" Type="http://schemas.openxmlformats.org/officeDocument/2006/relationships/footer" Target="footer15.xml"/><Relationship Id="rId74" Type="http://schemas.openxmlformats.org/officeDocument/2006/relationships/image" Target="media/image37.png"/><Relationship Id="rId75" Type="http://schemas.openxmlformats.org/officeDocument/2006/relationships/image" Target="media/image38.jpeg"/><Relationship Id="rId76" Type="http://schemas.openxmlformats.org/officeDocument/2006/relationships/header" Target="header15.xml"/><Relationship Id="rId77" Type="http://schemas.openxmlformats.org/officeDocument/2006/relationships/footer" Target="footer16.xml"/><Relationship Id="rId78" Type="http://schemas.openxmlformats.org/officeDocument/2006/relationships/image" Target="media/image39.png"/><Relationship Id="rId79" Type="http://schemas.openxmlformats.org/officeDocument/2006/relationships/image" Target="media/image40.png"/><Relationship Id="rId8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0.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1.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2.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3.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4.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3.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4.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5.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6.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7.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8.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9.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2018-03-26T21:24:54Z</dcterms:created>
  <dcterms:modified xsi:type="dcterms:W3CDTF">2018-03-26T21:24:54Z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