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F00BD7"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F00BD7"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F00BD7"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F00BD7"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F00BD7"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F00BD7"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F00BD7"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F00BD7"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F00BD7"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F00BD7"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9E1BD9" w:rsidRPr="005432DB" w:rsidRDefault="009E1BD9"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9E1BD9" w:rsidRPr="005432DB" w:rsidRDefault="009E1BD9"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065F16">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bookmarkStart w:id="0" w:name="_GoBack"/>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5DACC0C4" wp14:editId="476C0136">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590215" w:rsidRPr="00590215">
                <w:rPr>
                  <w:rStyle w:val="Hipervnculo"/>
                  <w:rFonts w:ascii="Arial" w:hAnsi="Arial" w:cs="Arial"/>
                  <w:sz w:val="16"/>
                  <w:szCs w:val="16"/>
                </w:rPr>
                <w:t>e602</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15773E93" wp14:editId="1AA84B98">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590215" w:rsidP="002D2D07">
            <w:pPr>
              <w:jc w:val="right"/>
              <w:rPr>
                <w:rFonts w:ascii="Arial" w:hAnsi="Arial" w:cs="Arial"/>
                <w:sz w:val="15"/>
                <w:szCs w:val="15"/>
              </w:rPr>
            </w:pPr>
            <w:hyperlink r:id="rId27" w:history="1">
              <w:r w:rsidR="00765F2D" w:rsidRPr="00590215">
                <w:rPr>
                  <w:rStyle w:val="Hipervnculo"/>
                  <w:rFonts w:ascii="Arial" w:hAnsi="Arial" w:cs="Arial"/>
                  <w:sz w:val="15"/>
                  <w:szCs w:val="15"/>
                </w:rPr>
                <w:t>https:</w:t>
              </w:r>
              <w:r w:rsidRPr="00590215">
                <w:rPr>
                  <w:rStyle w:val="Hipervnculo"/>
                  <w:rFonts w:ascii="Arial" w:hAnsi="Arial" w:cs="Arial"/>
                  <w:sz w:val="15"/>
                  <w:szCs w:val="15"/>
                </w:rPr>
                <w:t>//doi.org/10.31434/rms.v5i11.602</w:t>
              </w:r>
            </w:hyperlink>
          </w:p>
        </w:tc>
      </w:tr>
      <w:tr w:rsidR="00716A53" w:rsidRPr="00BB0D51" w:rsidTr="00065F16">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45D2A0ED" wp14:editId="3C748462">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F00BD7"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590215" w:rsidTr="00065F16">
        <w:tc>
          <w:tcPr>
            <w:tcW w:w="8755" w:type="dxa"/>
            <w:gridSpan w:val="6"/>
            <w:vAlign w:val="center"/>
          </w:tcPr>
          <w:p w:rsidR="004053F0" w:rsidRPr="007110E2" w:rsidRDefault="004053F0" w:rsidP="004053F0">
            <w:pPr>
              <w:jc w:val="center"/>
              <w:rPr>
                <w:rFonts w:ascii="Arial" w:hAnsi="Arial" w:cs="Arial"/>
                <w:b/>
                <w:sz w:val="32"/>
                <w:szCs w:val="28"/>
              </w:rPr>
            </w:pPr>
          </w:p>
          <w:p w:rsidR="00E27A52" w:rsidRPr="00590215" w:rsidRDefault="00590215" w:rsidP="00590215">
            <w:pPr>
              <w:spacing w:line="276" w:lineRule="auto"/>
              <w:jc w:val="center"/>
              <w:rPr>
                <w:rFonts w:ascii="Arial" w:hAnsi="Arial" w:cs="Arial"/>
                <w:b/>
                <w:sz w:val="36"/>
                <w:szCs w:val="28"/>
                <w:lang w:val="es-ES_tradnl"/>
              </w:rPr>
            </w:pPr>
            <w:r w:rsidRPr="00590215">
              <w:rPr>
                <w:rFonts w:ascii="Arial" w:hAnsi="Arial" w:cs="Arial"/>
                <w:b/>
                <w:sz w:val="36"/>
                <w:szCs w:val="28"/>
                <w:lang w:val="es-ES_tradnl"/>
              </w:rPr>
              <w:t>Manejo de quemaduras en población pediátrica</w:t>
            </w:r>
          </w:p>
          <w:p w:rsidR="0091071B" w:rsidRPr="00590215" w:rsidRDefault="0091071B" w:rsidP="00590215">
            <w:pPr>
              <w:spacing w:line="276" w:lineRule="auto"/>
              <w:jc w:val="center"/>
              <w:rPr>
                <w:rFonts w:ascii="Arial" w:eastAsia="Arial" w:hAnsi="Arial" w:cs="Arial"/>
                <w:b/>
                <w:sz w:val="8"/>
                <w:szCs w:val="8"/>
              </w:rPr>
            </w:pPr>
          </w:p>
          <w:p w:rsidR="0091071B" w:rsidRPr="00590215" w:rsidRDefault="00590215" w:rsidP="00590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color w:val="222222"/>
                <w:sz w:val="28"/>
                <w:szCs w:val="28"/>
                <w:lang w:val="en-US"/>
              </w:rPr>
            </w:pPr>
            <w:r w:rsidRPr="00590215">
              <w:rPr>
                <w:rFonts w:ascii="Arial" w:hAnsi="Arial" w:cs="Arial"/>
                <w:color w:val="222222"/>
                <w:sz w:val="28"/>
                <w:szCs w:val="28"/>
                <w:lang w:val="en"/>
              </w:rPr>
              <w:t>Management of burns in pediatric population</w:t>
            </w:r>
          </w:p>
          <w:p w:rsidR="00D84067" w:rsidRPr="00590215" w:rsidRDefault="00D84067" w:rsidP="007110E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sz w:val="10"/>
                <w:szCs w:val="8"/>
                <w:lang w:val="en-US"/>
              </w:rPr>
            </w:pPr>
          </w:p>
        </w:tc>
      </w:tr>
      <w:tr w:rsidR="00A73875" w:rsidRPr="00E70601" w:rsidTr="00065F16">
        <w:trPr>
          <w:trHeight w:val="1167"/>
        </w:trPr>
        <w:tc>
          <w:tcPr>
            <w:tcW w:w="1900" w:type="dxa"/>
            <w:vMerge w:val="restart"/>
          </w:tcPr>
          <w:p w:rsidR="00157D8D" w:rsidRPr="00BE5F23" w:rsidRDefault="00590215"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413EA40D" wp14:editId="1B2863A3">
                  <wp:extent cx="1097631" cy="11049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100894" cy="1108185"/>
                          </a:xfrm>
                          <a:prstGeom prst="rect">
                            <a:avLst/>
                          </a:prstGeom>
                        </pic:spPr>
                      </pic:pic>
                    </a:graphicData>
                  </a:graphic>
                </wp:inline>
              </w:drawing>
            </w:r>
          </w:p>
          <w:p w:rsidR="003B07BD" w:rsidRPr="00E27A52" w:rsidRDefault="003B07BD"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765F2D" w:rsidRDefault="00765F2D"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p>
          <w:p w:rsidR="00590215" w:rsidRPr="00590215" w:rsidRDefault="00590215" w:rsidP="00590215">
            <w:pPr>
              <w:spacing w:line="276" w:lineRule="auto"/>
              <w:jc w:val="both"/>
              <w:rPr>
                <w:rFonts w:ascii="Arial" w:hAnsi="Arial" w:cs="Arial"/>
                <w:sz w:val="14"/>
                <w:szCs w:val="14"/>
              </w:rPr>
            </w:pPr>
          </w:p>
          <w:p w:rsidR="00765F2D" w:rsidRPr="00590215" w:rsidRDefault="00765F2D" w:rsidP="00590215">
            <w:pPr>
              <w:spacing w:line="276" w:lineRule="auto"/>
              <w:jc w:val="both"/>
              <w:rPr>
                <w:rFonts w:ascii="Arial" w:hAnsi="Arial" w:cs="Arial"/>
                <w:sz w:val="14"/>
                <w:szCs w:val="14"/>
              </w:rPr>
            </w:pPr>
          </w:p>
          <w:p w:rsidR="00765F2D" w:rsidRPr="00590215" w:rsidRDefault="00765F2D" w:rsidP="00590215">
            <w:pPr>
              <w:spacing w:line="276" w:lineRule="auto"/>
              <w:jc w:val="both"/>
              <w:rPr>
                <w:rFonts w:ascii="Arial" w:hAnsi="Arial" w:cs="Arial"/>
                <w:sz w:val="14"/>
                <w:szCs w:val="14"/>
              </w:rPr>
            </w:pPr>
          </w:p>
          <w:p w:rsidR="00590215" w:rsidRDefault="00590215" w:rsidP="00590215">
            <w:pPr>
              <w:spacing w:line="276" w:lineRule="auto"/>
              <w:jc w:val="both"/>
              <w:rPr>
                <w:rFonts w:ascii="Arial" w:hAnsi="Arial" w:cs="Arial"/>
                <w:sz w:val="14"/>
                <w:szCs w:val="14"/>
              </w:rPr>
            </w:pPr>
            <w:r w:rsidRPr="00590215">
              <w:rPr>
                <w:rFonts w:ascii="Arial" w:hAnsi="Arial" w:cs="Arial"/>
                <w:b/>
                <w:szCs w:val="14"/>
                <w:vertAlign w:val="superscript"/>
              </w:rPr>
              <w:t>1</w:t>
            </w:r>
            <w:r w:rsidRPr="00590215">
              <w:rPr>
                <w:rFonts w:ascii="Arial" w:hAnsi="Arial" w:cs="Arial"/>
                <w:sz w:val="14"/>
                <w:szCs w:val="14"/>
              </w:rPr>
              <w:t xml:space="preserve">Médica general, graduada de la </w:t>
            </w:r>
            <w:r>
              <w:rPr>
                <w:rFonts w:ascii="Arial" w:hAnsi="Arial" w:cs="Arial"/>
                <w:sz w:val="14"/>
                <w:szCs w:val="14"/>
              </w:rPr>
              <w:t>Universidad de Ciencias Médicas (UCIMED)</w:t>
            </w:r>
            <w:r w:rsidRPr="00590215">
              <w:rPr>
                <w:rFonts w:ascii="Arial" w:hAnsi="Arial" w:cs="Arial"/>
                <w:sz w:val="14"/>
                <w:szCs w:val="14"/>
              </w:rPr>
              <w:t xml:space="preserve"> </w:t>
            </w:r>
            <w:proofErr w:type="spellStart"/>
            <w:r w:rsidRPr="00590215">
              <w:rPr>
                <w:rFonts w:ascii="Arial" w:hAnsi="Arial" w:cs="Arial"/>
                <w:sz w:val="14"/>
                <w:szCs w:val="14"/>
              </w:rPr>
              <w:t>cod</w:t>
            </w:r>
            <w:proofErr w:type="spellEnd"/>
            <w:r w:rsidRPr="00590215">
              <w:rPr>
                <w:rFonts w:ascii="Arial" w:hAnsi="Arial" w:cs="Arial"/>
                <w:sz w:val="14"/>
                <w:szCs w:val="14"/>
              </w:rPr>
              <w:t>. </w:t>
            </w:r>
            <w:hyperlink r:id="rId31" w:history="1">
              <w:r w:rsidRPr="00590215">
                <w:rPr>
                  <w:rStyle w:val="Hipervnculo"/>
                  <w:rFonts w:ascii="Arial" w:hAnsi="Arial" w:cs="Arial"/>
                  <w:sz w:val="14"/>
                  <w:szCs w:val="14"/>
                </w:rPr>
                <w:t>MED16543.</w:t>
              </w:r>
            </w:hyperlink>
          </w:p>
          <w:p w:rsidR="00590215" w:rsidRDefault="00590215" w:rsidP="00590215">
            <w:pPr>
              <w:spacing w:line="276" w:lineRule="auto"/>
              <w:jc w:val="both"/>
              <w:rPr>
                <w:rFonts w:ascii="Arial" w:hAnsi="Arial" w:cs="Arial"/>
                <w:sz w:val="14"/>
                <w:szCs w:val="14"/>
              </w:rPr>
            </w:pPr>
            <w:hyperlink r:id="rId32" w:history="1">
              <w:r w:rsidRPr="00590215">
                <w:rPr>
                  <w:rStyle w:val="Hipervnculo"/>
                  <w:rFonts w:ascii="Arial" w:hAnsi="Arial" w:cs="Arial"/>
                  <w:sz w:val="14"/>
                  <w:szCs w:val="14"/>
                </w:rPr>
                <w:t>marisabelecheverriam@gmail.com</w:t>
              </w:r>
            </w:hyperlink>
          </w:p>
          <w:p w:rsidR="00590215" w:rsidRPr="00590215" w:rsidRDefault="00590215" w:rsidP="00590215">
            <w:pPr>
              <w:spacing w:line="276" w:lineRule="auto"/>
              <w:jc w:val="both"/>
              <w:rPr>
                <w:rFonts w:ascii="Arial" w:hAnsi="Arial" w:cs="Arial"/>
                <w:sz w:val="14"/>
                <w:szCs w:val="14"/>
              </w:rPr>
            </w:pPr>
          </w:p>
          <w:p w:rsidR="00A73875" w:rsidRPr="00590215" w:rsidRDefault="00590215" w:rsidP="00590215">
            <w:pPr>
              <w:spacing w:line="276" w:lineRule="auto"/>
              <w:jc w:val="both"/>
              <w:rPr>
                <w:rFonts w:ascii="Arial" w:hAnsi="Arial" w:cs="Arial"/>
                <w:sz w:val="14"/>
                <w:szCs w:val="14"/>
              </w:rPr>
            </w:pPr>
            <w:r w:rsidRPr="00590215">
              <w:rPr>
                <w:rFonts w:ascii="Arial" w:hAnsi="Arial" w:cs="Arial"/>
                <w:b/>
                <w:szCs w:val="14"/>
                <w:vertAlign w:val="superscript"/>
              </w:rPr>
              <w:t>2</w:t>
            </w:r>
            <w:r w:rsidRPr="00590215">
              <w:rPr>
                <w:rFonts w:ascii="Arial" w:hAnsi="Arial" w:cs="Arial"/>
                <w:sz w:val="14"/>
                <w:szCs w:val="14"/>
              </w:rPr>
              <w:t xml:space="preserve">Médico residente de Cirugía general, Universidad de Costa Rica, Hospital Dr. Rafael Ángel Calderón Guardia. </w:t>
            </w:r>
            <w:proofErr w:type="spellStart"/>
            <w:r w:rsidRPr="00590215">
              <w:rPr>
                <w:rFonts w:ascii="Arial" w:hAnsi="Arial" w:cs="Arial"/>
                <w:sz w:val="14"/>
                <w:szCs w:val="14"/>
              </w:rPr>
              <w:t>cod</w:t>
            </w:r>
            <w:proofErr w:type="spellEnd"/>
            <w:r w:rsidRPr="00590215">
              <w:rPr>
                <w:rFonts w:ascii="Arial" w:hAnsi="Arial" w:cs="Arial"/>
                <w:sz w:val="14"/>
                <w:szCs w:val="14"/>
              </w:rPr>
              <w:t>. </w:t>
            </w:r>
            <w:hyperlink r:id="rId33" w:history="1">
              <w:r w:rsidRPr="00590215">
                <w:rPr>
                  <w:rStyle w:val="Hipervnculo"/>
                  <w:rFonts w:ascii="Arial" w:hAnsi="Arial" w:cs="Arial"/>
                  <w:sz w:val="14"/>
                  <w:szCs w:val="14"/>
                </w:rPr>
                <w:t>MED13143</w:t>
              </w:r>
            </w:hyperlink>
            <w:r w:rsidRPr="00590215">
              <w:rPr>
                <w:rFonts w:ascii="Arial" w:hAnsi="Arial" w:cs="Arial"/>
                <w:sz w:val="14"/>
                <w:szCs w:val="14"/>
              </w:rPr>
              <w:t xml:space="preserve">. </w:t>
            </w:r>
            <w:hyperlink r:id="rId34" w:history="1">
              <w:r w:rsidRPr="00590215">
                <w:rPr>
                  <w:rStyle w:val="Hipervnculo"/>
                  <w:rFonts w:ascii="Arial" w:hAnsi="Arial" w:cs="Arial"/>
                  <w:sz w:val="14"/>
                  <w:szCs w:val="14"/>
                </w:rPr>
                <w:t>Salasesteban@gmail.com</w:t>
              </w:r>
            </w:hyperlink>
          </w:p>
        </w:tc>
        <w:tc>
          <w:tcPr>
            <w:tcW w:w="6855" w:type="dxa"/>
            <w:gridSpan w:val="5"/>
          </w:tcPr>
          <w:p w:rsidR="00973F1B" w:rsidRPr="00590215" w:rsidRDefault="00973F1B" w:rsidP="00590215">
            <w:pPr>
              <w:spacing w:line="276" w:lineRule="auto"/>
              <w:rPr>
                <w:rFonts w:ascii="Arial" w:hAnsi="Arial" w:cs="Arial"/>
                <w:sz w:val="18"/>
                <w:szCs w:val="18"/>
              </w:rPr>
            </w:pPr>
          </w:p>
          <w:p w:rsidR="00590215" w:rsidRPr="00590215" w:rsidRDefault="00590215" w:rsidP="00590215">
            <w:pPr>
              <w:spacing w:line="276" w:lineRule="auto"/>
              <w:jc w:val="right"/>
              <w:rPr>
                <w:rFonts w:ascii="Arial" w:hAnsi="Arial" w:cs="Arial"/>
                <w:b/>
                <w:sz w:val="20"/>
                <w:szCs w:val="18"/>
              </w:rPr>
            </w:pPr>
            <w:r w:rsidRPr="00590215">
              <w:rPr>
                <w:rFonts w:ascii="Arial" w:hAnsi="Arial" w:cs="Arial"/>
                <w:b/>
                <w:szCs w:val="18"/>
                <w:vertAlign w:val="superscript"/>
              </w:rPr>
              <w:t>1</w:t>
            </w:r>
            <w:r w:rsidRPr="00590215">
              <w:rPr>
                <w:rFonts w:ascii="Arial" w:hAnsi="Arial" w:cs="Arial"/>
                <w:b/>
                <w:sz w:val="20"/>
                <w:szCs w:val="18"/>
              </w:rPr>
              <w:t xml:space="preserve">Dra. </w:t>
            </w:r>
            <w:proofErr w:type="spellStart"/>
            <w:r w:rsidRPr="00590215">
              <w:rPr>
                <w:rFonts w:ascii="Arial" w:hAnsi="Arial" w:cs="Arial"/>
                <w:b/>
                <w:sz w:val="20"/>
                <w:szCs w:val="18"/>
              </w:rPr>
              <w:t>Marisabel</w:t>
            </w:r>
            <w:proofErr w:type="spellEnd"/>
            <w:r w:rsidRPr="00590215">
              <w:rPr>
                <w:rFonts w:ascii="Arial" w:hAnsi="Arial" w:cs="Arial"/>
                <w:b/>
                <w:sz w:val="20"/>
                <w:szCs w:val="18"/>
              </w:rPr>
              <w:t xml:space="preserve"> Echeverría Miranda</w:t>
            </w:r>
          </w:p>
          <w:p w:rsidR="00590215" w:rsidRDefault="00590215" w:rsidP="00590215">
            <w:pPr>
              <w:spacing w:line="276" w:lineRule="auto"/>
              <w:jc w:val="right"/>
              <w:rPr>
                <w:rFonts w:ascii="Arial" w:hAnsi="Arial" w:cs="Arial"/>
                <w:sz w:val="18"/>
                <w:szCs w:val="18"/>
              </w:rPr>
            </w:pPr>
            <w:r w:rsidRPr="00590215">
              <w:rPr>
                <w:rFonts w:ascii="Arial" w:hAnsi="Arial" w:cs="Arial"/>
                <w:sz w:val="18"/>
                <w:szCs w:val="18"/>
              </w:rPr>
              <w:t>Investigadora independiente, San José, Costa Rica</w:t>
            </w:r>
          </w:p>
          <w:p w:rsidR="00590215" w:rsidRDefault="00590215" w:rsidP="00590215">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778320AE" wp14:editId="7C89A373">
                  <wp:extent cx="1219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6" w:tgtFrame="_blank" w:history="1">
              <w:r w:rsidRPr="00590215">
                <w:rPr>
                  <w:rStyle w:val="Hipervnculo"/>
                  <w:rFonts w:ascii="Arial" w:hAnsi="Arial" w:cs="Arial"/>
                  <w:sz w:val="18"/>
                  <w:szCs w:val="18"/>
                </w:rPr>
                <w:t>https://orcid.org/0000-0003-1276-9936</w:t>
              </w:r>
            </w:hyperlink>
          </w:p>
          <w:p w:rsidR="00590215" w:rsidRPr="00590215" w:rsidRDefault="00590215" w:rsidP="00590215">
            <w:pPr>
              <w:spacing w:line="276" w:lineRule="auto"/>
              <w:jc w:val="right"/>
              <w:rPr>
                <w:rFonts w:ascii="Arial" w:hAnsi="Arial" w:cs="Arial"/>
                <w:sz w:val="18"/>
                <w:szCs w:val="18"/>
              </w:rPr>
            </w:pPr>
          </w:p>
          <w:p w:rsidR="00590215" w:rsidRPr="00590215" w:rsidRDefault="00590215" w:rsidP="00590215">
            <w:pPr>
              <w:spacing w:line="276" w:lineRule="auto"/>
              <w:jc w:val="right"/>
              <w:rPr>
                <w:rFonts w:ascii="Arial" w:hAnsi="Arial" w:cs="Arial"/>
                <w:b/>
                <w:sz w:val="20"/>
                <w:szCs w:val="18"/>
              </w:rPr>
            </w:pPr>
            <w:r w:rsidRPr="00590215">
              <w:rPr>
                <w:rFonts w:ascii="Arial" w:hAnsi="Arial" w:cs="Arial"/>
                <w:b/>
                <w:szCs w:val="18"/>
                <w:vertAlign w:val="superscript"/>
              </w:rPr>
              <w:t>2</w:t>
            </w:r>
            <w:r w:rsidRPr="00590215">
              <w:rPr>
                <w:rFonts w:ascii="Arial" w:hAnsi="Arial" w:cs="Arial"/>
                <w:b/>
                <w:sz w:val="20"/>
                <w:szCs w:val="18"/>
              </w:rPr>
              <w:t xml:space="preserve">Dr. Esteban Salas </w:t>
            </w:r>
            <w:proofErr w:type="spellStart"/>
            <w:r w:rsidRPr="00590215">
              <w:rPr>
                <w:rFonts w:ascii="Arial" w:hAnsi="Arial" w:cs="Arial"/>
                <w:b/>
                <w:sz w:val="20"/>
                <w:szCs w:val="18"/>
              </w:rPr>
              <w:t>Salas</w:t>
            </w:r>
            <w:proofErr w:type="spellEnd"/>
          </w:p>
          <w:p w:rsidR="00590215" w:rsidRDefault="00590215" w:rsidP="00590215">
            <w:pPr>
              <w:spacing w:line="276" w:lineRule="auto"/>
              <w:jc w:val="right"/>
              <w:rPr>
                <w:rFonts w:ascii="Arial" w:hAnsi="Arial" w:cs="Arial"/>
                <w:sz w:val="18"/>
                <w:szCs w:val="18"/>
              </w:rPr>
            </w:pPr>
            <w:r w:rsidRPr="00590215">
              <w:rPr>
                <w:rFonts w:ascii="Arial" w:hAnsi="Arial" w:cs="Arial"/>
                <w:sz w:val="18"/>
                <w:szCs w:val="18"/>
              </w:rPr>
              <w:t>Investigador independiente, San José, Costa Rica</w:t>
            </w:r>
          </w:p>
          <w:p w:rsidR="009148F0" w:rsidRPr="00590215" w:rsidRDefault="00590215" w:rsidP="00590215">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475076E0" wp14:editId="74ED5234">
                  <wp:extent cx="121920" cy="121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7" w:tgtFrame="_blank" w:history="1">
              <w:r w:rsidRPr="00590215">
                <w:rPr>
                  <w:rStyle w:val="Hipervnculo"/>
                  <w:rFonts w:ascii="Arial" w:hAnsi="Arial" w:cs="Arial"/>
                  <w:sz w:val="18"/>
                  <w:szCs w:val="18"/>
                </w:rPr>
                <w:t>https://orcid.org/0000-0001-8330-9107</w:t>
              </w:r>
            </w:hyperlink>
          </w:p>
          <w:p w:rsidR="001376DE" w:rsidRPr="0066599A" w:rsidRDefault="001376DE" w:rsidP="009148F0">
            <w:pPr>
              <w:rPr>
                <w:rFonts w:ascii="Arial" w:hAnsi="Arial" w:cs="Arial"/>
                <w:sz w:val="16"/>
              </w:rPr>
            </w:pPr>
          </w:p>
        </w:tc>
      </w:tr>
      <w:tr w:rsidR="00A73875" w:rsidRPr="008E2EF7" w:rsidTr="00065F16">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065F16">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590215" w:rsidP="00F279BD">
            <w:pPr>
              <w:spacing w:line="276" w:lineRule="auto"/>
              <w:jc w:val="center"/>
              <w:rPr>
                <w:rFonts w:ascii="Arial" w:eastAsia="Arial" w:hAnsi="Arial" w:cs="Arial"/>
                <w:sz w:val="15"/>
                <w:szCs w:val="15"/>
              </w:rPr>
            </w:pPr>
            <w:r>
              <w:rPr>
                <w:rFonts w:ascii="Arial" w:eastAsia="Arial" w:hAnsi="Arial" w:cs="Arial"/>
                <w:sz w:val="15"/>
                <w:szCs w:val="15"/>
              </w:rPr>
              <w:t>20</w:t>
            </w:r>
            <w:r w:rsidR="00973F1B">
              <w:rPr>
                <w:rFonts w:ascii="Arial" w:eastAsia="Arial" w:hAnsi="Arial" w:cs="Arial"/>
                <w:sz w:val="15"/>
                <w:szCs w:val="15"/>
              </w:rPr>
              <w:t>/05</w:t>
            </w:r>
            <w:r w:rsidR="00557D46">
              <w:rPr>
                <w:rFonts w:ascii="Arial" w:eastAsia="Arial" w:hAnsi="Arial" w:cs="Arial"/>
                <w:sz w:val="15"/>
                <w:szCs w:val="15"/>
              </w:rPr>
              <w:t>/2020</w:t>
            </w:r>
          </w:p>
        </w:tc>
        <w:tc>
          <w:tcPr>
            <w:tcW w:w="1650" w:type="dxa"/>
            <w:gridSpan w:val="3"/>
            <w:vAlign w:val="center"/>
          </w:tcPr>
          <w:p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590215">
              <w:rPr>
                <w:rFonts w:ascii="Arial" w:eastAsia="Arial" w:hAnsi="Arial" w:cs="Arial"/>
                <w:sz w:val="15"/>
                <w:szCs w:val="15"/>
              </w:rPr>
              <w:t>6</w:t>
            </w:r>
            <w:r w:rsidR="00ED356B">
              <w:rPr>
                <w:rFonts w:ascii="Arial" w:eastAsia="Arial" w:hAnsi="Arial" w:cs="Arial"/>
                <w:sz w:val="15"/>
                <w:szCs w:val="15"/>
              </w:rPr>
              <w:t>/2020</w:t>
            </w:r>
          </w:p>
        </w:tc>
        <w:tc>
          <w:tcPr>
            <w:tcW w:w="2086" w:type="dxa"/>
            <w:vAlign w:val="center"/>
          </w:tcPr>
          <w:p w:rsidR="00A73875" w:rsidRPr="005D5784" w:rsidRDefault="00590215" w:rsidP="00A3727B">
            <w:pPr>
              <w:spacing w:line="276" w:lineRule="auto"/>
              <w:jc w:val="center"/>
              <w:rPr>
                <w:rFonts w:ascii="Arial" w:eastAsia="Arial" w:hAnsi="Arial" w:cs="Arial"/>
                <w:sz w:val="15"/>
                <w:szCs w:val="15"/>
              </w:rPr>
            </w:pPr>
            <w:r>
              <w:rPr>
                <w:rFonts w:ascii="Arial" w:eastAsia="Arial" w:hAnsi="Arial" w:cs="Arial"/>
                <w:sz w:val="15"/>
                <w:szCs w:val="15"/>
              </w:rPr>
              <w:t>04</w:t>
            </w:r>
            <w:r w:rsidR="00557D46">
              <w:rPr>
                <w:rFonts w:ascii="Arial" w:eastAsia="Arial" w:hAnsi="Arial" w:cs="Arial"/>
                <w:sz w:val="15"/>
                <w:szCs w:val="15"/>
              </w:rPr>
              <w:t>/</w:t>
            </w:r>
            <w:r w:rsidR="00783384">
              <w:rPr>
                <w:rFonts w:ascii="Arial" w:eastAsia="Arial" w:hAnsi="Arial" w:cs="Arial"/>
                <w:sz w:val="15"/>
                <w:szCs w:val="15"/>
              </w:rPr>
              <w:t>0</w:t>
            </w:r>
            <w:r w:rsidR="00765F2D">
              <w:rPr>
                <w:rFonts w:ascii="Arial" w:eastAsia="Arial" w:hAnsi="Arial" w:cs="Arial"/>
                <w:sz w:val="15"/>
                <w:szCs w:val="15"/>
              </w:rPr>
              <w:t>7</w:t>
            </w:r>
            <w:r w:rsidR="00025495">
              <w:rPr>
                <w:rFonts w:ascii="Arial" w:eastAsia="Arial" w:hAnsi="Arial" w:cs="Arial"/>
                <w:sz w:val="15"/>
                <w:szCs w:val="15"/>
              </w:rPr>
              <w:t>/2020</w:t>
            </w:r>
          </w:p>
        </w:tc>
      </w:tr>
      <w:tr w:rsidR="00A73875" w:rsidRPr="00183C5C" w:rsidTr="00065F16">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2C5F01" w:rsidRDefault="00F279BD" w:rsidP="00F279BD">
            <w:pPr>
              <w:spacing w:line="276" w:lineRule="auto"/>
              <w:jc w:val="center"/>
              <w:rPr>
                <w:rFonts w:ascii="Arial" w:eastAsia="Arial" w:hAnsi="Arial" w:cs="Arial"/>
                <w:b/>
                <w:sz w:val="4"/>
                <w:szCs w:val="8"/>
              </w:rPr>
            </w:pPr>
          </w:p>
          <w:p w:rsidR="00494B5C" w:rsidRPr="002C5F01" w:rsidRDefault="00494B5C" w:rsidP="00CB74F8">
            <w:pPr>
              <w:spacing w:line="276" w:lineRule="auto"/>
              <w:jc w:val="center"/>
              <w:rPr>
                <w:rFonts w:ascii="Arial" w:eastAsia="Arial" w:hAnsi="Arial" w:cs="Arial"/>
                <w:b/>
                <w:sz w:val="6"/>
              </w:rPr>
            </w:pPr>
          </w:p>
          <w:p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rsidR="00590215" w:rsidRPr="00590215" w:rsidRDefault="00590215" w:rsidP="00590215">
            <w:pPr>
              <w:spacing w:line="276" w:lineRule="auto"/>
              <w:jc w:val="both"/>
              <w:rPr>
                <w:rFonts w:ascii="Arial" w:hAnsi="Arial" w:cs="Arial"/>
                <w:sz w:val="20"/>
                <w:lang w:val="es-ES_tradnl"/>
              </w:rPr>
            </w:pPr>
            <w:r w:rsidRPr="00590215">
              <w:rPr>
                <w:rFonts w:ascii="Arial" w:hAnsi="Arial" w:cs="Arial"/>
                <w:sz w:val="20"/>
                <w:lang w:val="es-ES_tradnl"/>
              </w:rPr>
              <w:t xml:space="preserve">Una quemadura es una lesión de la piel causada por calor, líquidos </w:t>
            </w:r>
            <w:proofErr w:type="gramStart"/>
            <w:r w:rsidRPr="00590215">
              <w:rPr>
                <w:rFonts w:ascii="Arial" w:hAnsi="Arial" w:cs="Arial"/>
                <w:sz w:val="20"/>
                <w:lang w:val="es-ES_tradnl"/>
              </w:rPr>
              <w:t>calientes</w:t>
            </w:r>
            <w:proofErr w:type="gramEnd"/>
            <w:r w:rsidRPr="00590215">
              <w:rPr>
                <w:rFonts w:ascii="Arial" w:hAnsi="Arial" w:cs="Arial"/>
                <w:sz w:val="20"/>
                <w:lang w:val="es-ES_tradnl"/>
              </w:rPr>
              <w:t xml:space="preserve">, humo, químicos o corrientes eléctricas. La causa más común de este tipo de lesión en la población pediátrica es por medio de líquidos calientes o escaldadura. La mayoría de las quemaduras tienen un manejo inicial básico donde se retira ropa u objetos que aumenten al área afectada, se coloca la lesión bajo agua a temperatura ambiente por aproximadamente 20 minutos, se cubre con sábanas para prevenir una hipotermia y se limpia para poder ser clasificada. Esta se puede clasificar en primer, segundo o tercer grado, según el color de la lesión, dolor y afectación de capas de la piel. Dependiendo de la clasificación se establece el manejo de cada tipo de quemadura; sin embargo, para toda quemadura se debe calcular el área de superficie corporal total afectada con tablas como la de </w:t>
            </w:r>
            <w:proofErr w:type="spellStart"/>
            <w:r w:rsidRPr="00590215">
              <w:rPr>
                <w:rFonts w:ascii="Arial" w:hAnsi="Arial" w:cs="Arial"/>
                <w:sz w:val="20"/>
                <w:lang w:val="es-ES_tradnl"/>
              </w:rPr>
              <w:t>Lund</w:t>
            </w:r>
            <w:proofErr w:type="spellEnd"/>
            <w:r w:rsidRPr="00590215">
              <w:rPr>
                <w:rFonts w:ascii="Arial" w:hAnsi="Arial" w:cs="Arial"/>
                <w:sz w:val="20"/>
                <w:lang w:val="es-ES_tradnl"/>
              </w:rPr>
              <w:t xml:space="preserve"> y </w:t>
            </w:r>
            <w:proofErr w:type="spellStart"/>
            <w:r w:rsidRPr="00590215">
              <w:rPr>
                <w:rFonts w:ascii="Arial" w:hAnsi="Arial" w:cs="Arial"/>
                <w:sz w:val="20"/>
                <w:lang w:val="es-ES_tradnl"/>
              </w:rPr>
              <w:t>Browder</w:t>
            </w:r>
            <w:proofErr w:type="spellEnd"/>
            <w:r w:rsidRPr="00590215">
              <w:rPr>
                <w:rFonts w:ascii="Arial" w:hAnsi="Arial" w:cs="Arial"/>
                <w:sz w:val="20"/>
                <w:lang w:val="es-ES_tradnl"/>
              </w:rPr>
              <w:t xml:space="preserve">. Quemaduras con más de un 10% de superficie corporal total afectada requieren de soluciones intravenosas calculadas con fórmulas que se establecerán con más profundidad en el artículo de revisión. Las quemaduras requieren de un manejo multidisciplinario con pediatras, cirujanos, enfermeros, psicólogos y terapeutas físicos que se encargan no sólo del manejo, sino también del carácter prevenible de estas lesiones y el bienestar de cada paciente. </w:t>
            </w:r>
          </w:p>
          <w:p w:rsidR="001D32B1" w:rsidRPr="00590215" w:rsidRDefault="001D32B1" w:rsidP="001D32B1">
            <w:pPr>
              <w:spacing w:line="276" w:lineRule="auto"/>
              <w:jc w:val="both"/>
              <w:rPr>
                <w:rFonts w:ascii="Arial" w:eastAsia="Arial" w:hAnsi="Arial" w:cs="Arial"/>
                <w:sz w:val="10"/>
                <w:lang w:val="es-ES_tradnl"/>
              </w:rPr>
            </w:pPr>
          </w:p>
          <w:p w:rsidR="00273BAD" w:rsidRPr="00590215" w:rsidRDefault="00CB74F8" w:rsidP="00590215">
            <w:pPr>
              <w:spacing w:line="276" w:lineRule="auto"/>
              <w:jc w:val="both"/>
              <w:rPr>
                <w:rFonts w:ascii="Arial" w:eastAsia="Arial" w:hAnsi="Arial" w:cs="Arial"/>
                <w:lang w:val="es-ES_tradnl"/>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590215" w:rsidRPr="00590215">
              <w:rPr>
                <w:rFonts w:ascii="Arial" w:eastAsia="Arial" w:hAnsi="Arial" w:cs="Arial"/>
                <w:sz w:val="20"/>
                <w:lang w:val="es-ES_tradnl"/>
              </w:rPr>
              <w:t xml:space="preserve">quemadura; pediatría; heridas y traumatismos; clasificación; terapéutica. </w:t>
            </w:r>
          </w:p>
          <w:p w:rsidR="00185F55" w:rsidRPr="000F4508" w:rsidRDefault="00185F55" w:rsidP="001021D5">
            <w:pPr>
              <w:spacing w:line="276" w:lineRule="auto"/>
              <w:jc w:val="center"/>
              <w:rPr>
                <w:rFonts w:ascii="Arial" w:eastAsia="Arial" w:hAnsi="Arial" w:cs="Arial"/>
                <w:b/>
                <w:sz w:val="8"/>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590215" w:rsidRPr="00590215" w:rsidRDefault="00590215" w:rsidP="00590215">
            <w:pPr>
              <w:spacing w:line="276" w:lineRule="auto"/>
              <w:jc w:val="both"/>
              <w:rPr>
                <w:rFonts w:ascii="Arial" w:hAnsi="Arial" w:cs="Arial"/>
                <w:sz w:val="20"/>
                <w:lang w:val="en-US"/>
              </w:rPr>
            </w:pPr>
            <w:r w:rsidRPr="00590215">
              <w:rPr>
                <w:rFonts w:ascii="Arial" w:hAnsi="Arial" w:cs="Arial"/>
                <w:sz w:val="20"/>
                <w:lang w:val="en-US"/>
              </w:rPr>
              <w:t xml:space="preserve">A burn is an injury of the skin caused by heat, hot liquids, smoke, chemicals or electric currents. The most common cause of this type on injury in the </w:t>
            </w:r>
            <w:r w:rsidRPr="00590215">
              <w:rPr>
                <w:rFonts w:ascii="Arial" w:hAnsi="Arial" w:cs="Arial"/>
                <w:sz w:val="20"/>
                <w:lang w:val="en-US"/>
              </w:rPr>
              <w:lastRenderedPageBreak/>
              <w:t xml:space="preserve">pediatric population is by hot liquids, otherwise known as scalds. Most burns have a basic initial approach where clothing or objects that increase the affected area are removed, the lesion is placed under water at room temperature for approximately 20 minutes, kids are covered with blankets to prevent hypothermia and lesions are cleaned in order to be formerly classified. Burns can be classified into first, second or third degree, according to the color of the lesion, pain and skin layer involvement. Depending on the classification, the management of each type of burn varies: however, for any burn, the total affected body surface area should be calculated with tables such as the Lund Browder. Burns with more than 10% of the total body surface area affected require intravenous solutions calculated with formulas that will be established in greater depth in the review of this article. Burns require a multidisciplinary management with pediatricians, surgeons, nurses, psychologists and physical therapists who are responsible not only for the management, but also for the preventable nature of these injuries and the well-being of each patient. </w:t>
            </w:r>
          </w:p>
          <w:p w:rsidR="001D32B1" w:rsidRPr="001D32B1"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US"/>
              </w:rPr>
            </w:pPr>
          </w:p>
          <w:p w:rsidR="004B391A" w:rsidRPr="00590215" w:rsidRDefault="00E32204" w:rsidP="00590215">
            <w:pPr>
              <w:spacing w:line="276" w:lineRule="auto"/>
              <w:jc w:val="both"/>
              <w:rPr>
                <w:rFonts w:ascii="Arial"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590215" w:rsidRPr="00590215">
              <w:rPr>
                <w:rFonts w:ascii="Arial" w:hAnsi="Arial" w:cs="Arial"/>
                <w:sz w:val="20"/>
                <w:lang w:val="en-US"/>
              </w:rPr>
              <w:t>burn; pediatrics; hounds and injuries; classification; therapeutics.</w:t>
            </w:r>
          </w:p>
        </w:tc>
      </w:tr>
      <w:bookmarkEnd w:id="0"/>
    </w:tbl>
    <w:p w:rsidR="00970011" w:rsidRPr="00273BAD" w:rsidRDefault="00970011" w:rsidP="00970011">
      <w:pPr>
        <w:spacing w:after="0"/>
        <w:jc w:val="both"/>
        <w:rPr>
          <w:rFonts w:ascii="Arial" w:hAnsi="Arial" w:cs="Arial"/>
          <w:lang w:val="en-US"/>
        </w:rPr>
        <w:sectPr w:rsidR="00970011" w:rsidRPr="00273BAD" w:rsidSect="00274687">
          <w:footerReference w:type="default" r:id="rId38"/>
          <w:pgSz w:w="12240" w:h="15840" w:code="1"/>
          <w:pgMar w:top="1417" w:right="1701" w:bottom="1417" w:left="1701" w:header="708" w:footer="708" w:gutter="0"/>
          <w:cols w:space="708"/>
          <w:titlePg/>
          <w:docGrid w:linePitch="360"/>
        </w:sectPr>
      </w:pPr>
    </w:p>
    <w:p w:rsidR="00753479" w:rsidRPr="00765F2D" w:rsidRDefault="00753479" w:rsidP="00273BAD">
      <w:pPr>
        <w:jc w:val="center"/>
        <w:rPr>
          <w:rFonts w:ascii="Arial" w:hAnsi="Arial" w:cs="Arial"/>
          <w:b/>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rsidR="00590215" w:rsidRPr="00C42E04" w:rsidRDefault="00590215" w:rsidP="00590215">
      <w:pPr>
        <w:spacing w:after="0"/>
        <w:jc w:val="both"/>
        <w:rPr>
          <w:rFonts w:ascii="Arial" w:hAnsi="Arial" w:cs="Arial"/>
          <w:lang w:val="es-ES_tradnl"/>
        </w:rPr>
      </w:pPr>
      <w:r w:rsidRPr="00C42E04">
        <w:rPr>
          <w:rFonts w:ascii="Arial" w:hAnsi="Arial" w:cs="Arial"/>
          <w:lang w:val="es-ES_tradnl"/>
        </w:rPr>
        <w:t>Una quemadura se define como e</w:t>
      </w:r>
      <w:r>
        <w:rPr>
          <w:rFonts w:ascii="Arial" w:hAnsi="Arial" w:cs="Arial"/>
          <w:lang w:val="es-ES_tradnl"/>
        </w:rPr>
        <w:t>l daño de la piel causado por</w:t>
      </w:r>
      <w:r w:rsidRPr="00C42E04">
        <w:rPr>
          <w:rFonts w:ascii="Arial" w:hAnsi="Arial" w:cs="Arial"/>
          <w:lang w:val="es-ES_tradnl"/>
        </w:rPr>
        <w:t xml:space="preserve"> calor, </w:t>
      </w:r>
      <w:r>
        <w:rPr>
          <w:rFonts w:ascii="Arial" w:hAnsi="Arial" w:cs="Arial"/>
          <w:lang w:val="es-ES_tradnl"/>
        </w:rPr>
        <w:t xml:space="preserve">líquidos </w:t>
      </w:r>
      <w:proofErr w:type="gramStart"/>
      <w:r>
        <w:rPr>
          <w:rFonts w:ascii="Arial" w:hAnsi="Arial" w:cs="Arial"/>
          <w:lang w:val="es-ES_tradnl"/>
        </w:rPr>
        <w:t>calientes</w:t>
      </w:r>
      <w:proofErr w:type="gramEnd"/>
      <w:r>
        <w:rPr>
          <w:rFonts w:ascii="Arial" w:hAnsi="Arial" w:cs="Arial"/>
          <w:lang w:val="es-ES_tradnl"/>
        </w:rPr>
        <w:t xml:space="preserve">, </w:t>
      </w:r>
      <w:r w:rsidRPr="00C42E04">
        <w:rPr>
          <w:rFonts w:ascii="Arial" w:hAnsi="Arial" w:cs="Arial"/>
          <w:lang w:val="es-ES_tradnl"/>
        </w:rPr>
        <w:t>humo, q</w:t>
      </w:r>
      <w:r>
        <w:rPr>
          <w:rFonts w:ascii="Arial" w:hAnsi="Arial" w:cs="Arial"/>
          <w:lang w:val="es-ES_tradnl"/>
        </w:rPr>
        <w:t>uímicos o corrientes eléctricas. Son de las lesiones má</w:t>
      </w:r>
      <w:r w:rsidRPr="00C42E04">
        <w:rPr>
          <w:rFonts w:ascii="Arial" w:hAnsi="Arial" w:cs="Arial"/>
          <w:lang w:val="es-ES_tradnl"/>
        </w:rPr>
        <w:t>s devastadoras y que conllev</w:t>
      </w:r>
      <w:r>
        <w:rPr>
          <w:rFonts w:ascii="Arial" w:hAnsi="Arial" w:cs="Arial"/>
          <w:lang w:val="es-ES_tradnl"/>
        </w:rPr>
        <w:t>an a más secuelas a largo plazo (1,2</w:t>
      </w:r>
      <w:r w:rsidRPr="00C42E04">
        <w:rPr>
          <w:rFonts w:ascii="Arial" w:hAnsi="Arial" w:cs="Arial"/>
          <w:lang w:val="es-ES_tradnl"/>
        </w:rPr>
        <w:t>)</w:t>
      </w:r>
      <w:r>
        <w:rPr>
          <w:rFonts w:ascii="Arial" w:hAnsi="Arial" w:cs="Arial"/>
          <w:lang w:val="es-ES_tradnl"/>
        </w:rPr>
        <w:t>. Éstas están reconocidas como</w:t>
      </w:r>
      <w:r w:rsidRPr="00C42E04">
        <w:rPr>
          <w:rFonts w:ascii="Arial" w:hAnsi="Arial" w:cs="Arial"/>
          <w:lang w:val="es-ES_tradnl"/>
        </w:rPr>
        <w:t xml:space="preserve"> una de las diez causas de muertes no intenciona</w:t>
      </w:r>
      <w:r>
        <w:rPr>
          <w:rFonts w:ascii="Arial" w:hAnsi="Arial" w:cs="Arial"/>
          <w:lang w:val="es-ES_tradnl"/>
        </w:rPr>
        <w:t>les en niños menores de 14 años, e inclusive s</w:t>
      </w:r>
      <w:r w:rsidRPr="00C42E04">
        <w:rPr>
          <w:rFonts w:ascii="Arial" w:hAnsi="Arial" w:cs="Arial"/>
          <w:lang w:val="es-ES_tradnl"/>
        </w:rPr>
        <w:t>on la quinta causa más común del mun</w:t>
      </w:r>
      <w:r>
        <w:rPr>
          <w:rFonts w:ascii="Arial" w:hAnsi="Arial" w:cs="Arial"/>
          <w:lang w:val="es-ES_tradnl"/>
        </w:rPr>
        <w:t>do de daños no fatales en niños (3,4</w:t>
      </w:r>
      <w:r w:rsidRPr="00C42E04">
        <w:rPr>
          <w:rFonts w:ascii="Arial" w:hAnsi="Arial" w:cs="Arial"/>
          <w:lang w:val="es-ES_tradnl"/>
        </w:rPr>
        <w:t>)</w:t>
      </w:r>
      <w:r>
        <w:rPr>
          <w:rFonts w:ascii="Arial" w:hAnsi="Arial" w:cs="Arial"/>
          <w:lang w:val="es-ES_tradnl"/>
        </w:rPr>
        <w:t xml:space="preserve">. </w:t>
      </w:r>
      <w:r w:rsidRPr="00C42E04">
        <w:rPr>
          <w:rFonts w:ascii="Arial" w:hAnsi="Arial" w:cs="Arial"/>
          <w:lang w:val="es-ES_tradnl"/>
        </w:rPr>
        <w:t xml:space="preserve">La </w:t>
      </w:r>
      <w:r>
        <w:rPr>
          <w:rFonts w:ascii="Arial" w:hAnsi="Arial" w:cs="Arial"/>
          <w:lang w:val="es-ES_tradnl"/>
        </w:rPr>
        <w:t>Organización Mundial de la Salud</w:t>
      </w:r>
      <w:r w:rsidRPr="00C42E04">
        <w:rPr>
          <w:rFonts w:ascii="Arial" w:hAnsi="Arial" w:cs="Arial"/>
          <w:lang w:val="es-ES_tradnl"/>
        </w:rPr>
        <w:t xml:space="preserve"> clasifica a las quemaduras como la causa número 11 de muerte</w:t>
      </w:r>
      <w:r>
        <w:rPr>
          <w:rFonts w:ascii="Arial" w:hAnsi="Arial" w:cs="Arial"/>
          <w:lang w:val="es-ES_tradnl"/>
        </w:rPr>
        <w:t xml:space="preserve"> en niños de 1 a 9 años de edad (1</w:t>
      </w:r>
      <w:r w:rsidRPr="00C42E04">
        <w:rPr>
          <w:rFonts w:ascii="Arial" w:hAnsi="Arial" w:cs="Arial"/>
          <w:lang w:val="es-ES_tradnl"/>
        </w:rPr>
        <w:t>)</w:t>
      </w:r>
      <w:r>
        <w:rPr>
          <w:rFonts w:ascii="Arial" w:hAnsi="Arial" w:cs="Arial"/>
          <w:lang w:val="es-ES_tradnl"/>
        </w:rPr>
        <w:t>.</w:t>
      </w:r>
    </w:p>
    <w:p w:rsidR="009674D5" w:rsidRDefault="00590215" w:rsidP="00590215">
      <w:pPr>
        <w:spacing w:after="0"/>
        <w:jc w:val="both"/>
        <w:rPr>
          <w:rFonts w:ascii="Arial" w:hAnsi="Arial" w:cs="Arial"/>
          <w:lang w:val="es-ES_tradnl"/>
        </w:rPr>
      </w:pPr>
      <w:r>
        <w:rPr>
          <w:rFonts w:ascii="Arial" w:hAnsi="Arial" w:cs="Arial"/>
          <w:lang w:val="es-ES_tradnl"/>
        </w:rPr>
        <w:t>Los</w:t>
      </w:r>
      <w:r w:rsidRPr="00C42E04">
        <w:rPr>
          <w:rFonts w:ascii="Arial" w:hAnsi="Arial" w:cs="Arial"/>
          <w:lang w:val="es-ES_tradnl"/>
        </w:rPr>
        <w:t xml:space="preserve"> niños están sujetos a un mayor riesgo de quemaduras por la inhabilidad de reconocimiento ante el </w:t>
      </w:r>
      <w:r>
        <w:rPr>
          <w:rFonts w:ascii="Arial" w:hAnsi="Arial" w:cs="Arial"/>
          <w:lang w:val="es-ES_tradnl"/>
        </w:rPr>
        <w:t>peligro o la inocencia infantil, por lo que u</w:t>
      </w:r>
      <w:r w:rsidRPr="00C42E04">
        <w:rPr>
          <w:rFonts w:ascii="Arial" w:hAnsi="Arial" w:cs="Arial"/>
          <w:lang w:val="es-ES_tradnl"/>
        </w:rPr>
        <w:t>n 70% de quemaduras ocurre en ed</w:t>
      </w:r>
      <w:r>
        <w:rPr>
          <w:rFonts w:ascii="Arial" w:hAnsi="Arial" w:cs="Arial"/>
          <w:lang w:val="es-ES_tradnl"/>
        </w:rPr>
        <w:t>ades pediátricas menores a los 5 años, sobre todo en niños entre</w:t>
      </w:r>
      <w:r w:rsidRPr="00C42E04">
        <w:rPr>
          <w:rFonts w:ascii="Arial" w:hAnsi="Arial" w:cs="Arial"/>
          <w:lang w:val="es-ES_tradnl"/>
        </w:rPr>
        <w:t xml:space="preserve"> 1 a 2 años </w:t>
      </w:r>
      <w:r>
        <w:rPr>
          <w:rFonts w:ascii="Arial" w:hAnsi="Arial" w:cs="Arial"/>
          <w:lang w:val="es-ES_tradnl"/>
        </w:rPr>
        <w:t xml:space="preserve">de edad </w:t>
      </w:r>
      <w:r w:rsidRPr="00C42E04">
        <w:rPr>
          <w:rFonts w:ascii="Arial" w:hAnsi="Arial" w:cs="Arial"/>
          <w:lang w:val="es-ES_tradnl"/>
        </w:rPr>
        <w:t xml:space="preserve">y en forma de escaldadura (quemadura por </w:t>
      </w:r>
    </w:p>
    <w:p w:rsidR="009674D5" w:rsidRPr="009674D5" w:rsidRDefault="009674D5" w:rsidP="00590215">
      <w:pPr>
        <w:spacing w:after="0"/>
        <w:jc w:val="both"/>
        <w:rPr>
          <w:rFonts w:ascii="Arial" w:hAnsi="Arial" w:cs="Arial"/>
          <w:sz w:val="24"/>
          <w:lang w:val="es-ES_tradnl"/>
        </w:rPr>
      </w:pPr>
    </w:p>
    <w:p w:rsidR="009674D5" w:rsidRPr="009674D5" w:rsidRDefault="009674D5" w:rsidP="00590215">
      <w:pPr>
        <w:spacing w:after="0"/>
        <w:jc w:val="both"/>
        <w:rPr>
          <w:rFonts w:ascii="Arial" w:hAnsi="Arial" w:cs="Arial"/>
          <w:sz w:val="24"/>
          <w:lang w:val="es-ES_tradnl"/>
        </w:rPr>
      </w:pPr>
    </w:p>
    <w:p w:rsidR="009674D5" w:rsidRDefault="009674D5" w:rsidP="00590215">
      <w:pPr>
        <w:spacing w:after="0"/>
        <w:jc w:val="both"/>
        <w:rPr>
          <w:rFonts w:ascii="Arial" w:hAnsi="Arial" w:cs="Arial"/>
          <w:lang w:val="es-ES_tradnl"/>
        </w:rPr>
      </w:pPr>
    </w:p>
    <w:p w:rsidR="00590215" w:rsidRPr="009674D5" w:rsidRDefault="00590215" w:rsidP="00590215">
      <w:pPr>
        <w:spacing w:after="0"/>
        <w:jc w:val="both"/>
        <w:rPr>
          <w:rFonts w:ascii="Arial" w:hAnsi="Arial" w:cs="Arial"/>
          <w:lang w:val="es-ES_tradnl"/>
        </w:rPr>
      </w:pPr>
      <w:proofErr w:type="gramStart"/>
      <w:r w:rsidRPr="00C42E04">
        <w:rPr>
          <w:rFonts w:ascii="Arial" w:hAnsi="Arial" w:cs="Arial"/>
          <w:lang w:val="es-ES_tradnl"/>
        </w:rPr>
        <w:t>salpicadura</w:t>
      </w:r>
      <w:proofErr w:type="gramEnd"/>
      <w:r w:rsidRPr="00C42E04">
        <w:rPr>
          <w:rFonts w:ascii="Arial" w:hAnsi="Arial" w:cs="Arial"/>
          <w:lang w:val="es-ES_tradnl"/>
        </w:rPr>
        <w:t xml:space="preserve"> de a</w:t>
      </w:r>
      <w:r>
        <w:rPr>
          <w:rFonts w:ascii="Arial" w:hAnsi="Arial" w:cs="Arial"/>
          <w:lang w:val="es-ES_tradnl"/>
        </w:rPr>
        <w:t>gua u otro contenido hirviendo) (5</w:t>
      </w:r>
      <w:r w:rsidRPr="00C42E04">
        <w:rPr>
          <w:rFonts w:ascii="Arial" w:hAnsi="Arial" w:cs="Arial"/>
          <w:lang w:val="es-ES_tradnl"/>
        </w:rPr>
        <w:t>)</w:t>
      </w:r>
      <w:r>
        <w:rPr>
          <w:rFonts w:ascii="Arial" w:hAnsi="Arial" w:cs="Arial"/>
          <w:lang w:val="es-ES_tradnl"/>
        </w:rPr>
        <w:t xml:space="preserve">. A raíz de años de estudios, se ha verificado que este tipo de lesiones son </w:t>
      </w:r>
      <w:r w:rsidRPr="00C42E04">
        <w:rPr>
          <w:rFonts w:ascii="Arial" w:hAnsi="Arial" w:cs="Arial"/>
          <w:lang w:val="es-ES_tradnl"/>
        </w:rPr>
        <w:t xml:space="preserve"> prevenibles</w:t>
      </w:r>
      <w:r>
        <w:rPr>
          <w:rFonts w:ascii="Arial" w:hAnsi="Arial" w:cs="Arial"/>
          <w:lang w:val="es-ES_tradnl"/>
        </w:rPr>
        <w:t>,</w:t>
      </w:r>
      <w:r w:rsidRPr="00C42E04">
        <w:rPr>
          <w:rFonts w:ascii="Arial" w:hAnsi="Arial" w:cs="Arial"/>
          <w:lang w:val="es-ES_tradnl"/>
        </w:rPr>
        <w:t xml:space="preserve"> por lo que es </w:t>
      </w:r>
      <w:r>
        <w:rPr>
          <w:rFonts w:ascii="Arial" w:hAnsi="Arial" w:cs="Arial"/>
          <w:lang w:val="es-ES_tradnl"/>
        </w:rPr>
        <w:t>se debe</w:t>
      </w:r>
      <w:r w:rsidRPr="00C42E04">
        <w:rPr>
          <w:rFonts w:ascii="Arial" w:hAnsi="Arial" w:cs="Arial"/>
          <w:lang w:val="es-ES_tradnl"/>
        </w:rPr>
        <w:t xml:space="preserve"> </w:t>
      </w:r>
      <w:r>
        <w:rPr>
          <w:rFonts w:ascii="Arial" w:hAnsi="Arial" w:cs="Arial"/>
          <w:lang w:val="es-ES_tradnl"/>
        </w:rPr>
        <w:t xml:space="preserve">instruir, </w:t>
      </w:r>
      <w:r w:rsidRPr="00C42E04">
        <w:rPr>
          <w:rFonts w:ascii="Arial" w:hAnsi="Arial" w:cs="Arial"/>
          <w:lang w:val="es-ES_tradnl"/>
        </w:rPr>
        <w:t>aconsejar</w:t>
      </w:r>
      <w:r>
        <w:rPr>
          <w:rFonts w:ascii="Arial" w:hAnsi="Arial" w:cs="Arial"/>
          <w:lang w:val="es-ES_tradnl"/>
        </w:rPr>
        <w:t xml:space="preserve"> y crear conciencia por distintos medios,</w:t>
      </w:r>
      <w:r w:rsidRPr="00C42E04">
        <w:rPr>
          <w:rFonts w:ascii="Arial" w:hAnsi="Arial" w:cs="Arial"/>
          <w:lang w:val="es-ES_tradnl"/>
        </w:rPr>
        <w:t xml:space="preserve"> no solo de forma institucional y médica, sino también a cuidadores de niños y familias que están al tanto del bienestar y el cuido </w:t>
      </w:r>
      <w:r w:rsidRPr="009674D5">
        <w:rPr>
          <w:rFonts w:ascii="Arial" w:hAnsi="Arial" w:cs="Arial"/>
          <w:lang w:val="es-ES_tradnl"/>
        </w:rPr>
        <w:t xml:space="preserve">del menor (2,6). </w:t>
      </w:r>
    </w:p>
    <w:p w:rsidR="00590215" w:rsidRPr="009674D5" w:rsidRDefault="00590215" w:rsidP="009674D5">
      <w:pPr>
        <w:spacing w:after="0"/>
        <w:jc w:val="both"/>
        <w:rPr>
          <w:rFonts w:ascii="Arial" w:hAnsi="Arial" w:cs="Arial"/>
          <w:lang w:val="es-ES_tradnl"/>
        </w:rPr>
      </w:pPr>
      <w:r w:rsidRPr="009674D5">
        <w:rPr>
          <w:rFonts w:ascii="Arial" w:hAnsi="Arial" w:cs="Arial"/>
          <w:lang w:val="es-ES_tradnl"/>
        </w:rPr>
        <w:t>El objetivo de esta revisión será recopilar y detallar el manejo de quemaduras en la población pediátrica con el fin de resumir de la forma más sencilla el manejo de estas lesiones y crear conciencia de su carácter prevenible.</w:t>
      </w:r>
    </w:p>
    <w:p w:rsidR="00590215" w:rsidRPr="009674D5" w:rsidRDefault="00590215" w:rsidP="00590215">
      <w:pPr>
        <w:spacing w:after="0"/>
        <w:jc w:val="both"/>
        <w:rPr>
          <w:rFonts w:ascii="Arial" w:hAnsi="Arial" w:cs="Arial"/>
          <w:sz w:val="28"/>
          <w:lang w:val="es-ES_tradnl"/>
        </w:rPr>
      </w:pPr>
    </w:p>
    <w:p w:rsidR="00590215" w:rsidRPr="009674D5" w:rsidRDefault="00590215" w:rsidP="009674D5">
      <w:pPr>
        <w:jc w:val="center"/>
        <w:rPr>
          <w:rFonts w:ascii="Arial" w:hAnsi="Arial" w:cs="Arial"/>
          <w:b/>
          <w:sz w:val="24"/>
          <w:lang w:val="es-ES_tradnl"/>
        </w:rPr>
      </w:pPr>
      <w:r w:rsidRPr="009674D5">
        <w:rPr>
          <w:rFonts w:ascii="Arial" w:hAnsi="Arial" w:cs="Arial"/>
          <w:b/>
          <w:sz w:val="24"/>
          <w:lang w:val="es-ES_tradnl"/>
        </w:rPr>
        <w:t>MÉTODOS</w:t>
      </w:r>
    </w:p>
    <w:p w:rsidR="00590215" w:rsidRPr="00283538" w:rsidRDefault="00590215" w:rsidP="009674D5">
      <w:pPr>
        <w:spacing w:after="0"/>
        <w:jc w:val="both"/>
        <w:rPr>
          <w:rFonts w:ascii="Arial" w:hAnsi="Arial" w:cs="Arial"/>
          <w:color w:val="FF0000"/>
          <w:lang w:val="es-ES"/>
        </w:rPr>
      </w:pPr>
      <w:r w:rsidRPr="00A81B07">
        <w:rPr>
          <w:rFonts w:ascii="Arial" w:eastAsia="Arial" w:hAnsi="Arial" w:cs="Arial"/>
          <w:lang w:val="es-ES_tradnl"/>
        </w:rPr>
        <w:t xml:space="preserve">Para la realización de este </w:t>
      </w:r>
      <w:r>
        <w:rPr>
          <w:rFonts w:ascii="Arial" w:eastAsia="Arial" w:hAnsi="Arial" w:cs="Arial"/>
          <w:lang w:val="es-ES_tradnl"/>
        </w:rPr>
        <w:t>artículo de revisión bibliográfica, se utilizaron</w:t>
      </w:r>
      <w:r w:rsidRPr="00A81B07">
        <w:rPr>
          <w:rFonts w:ascii="Arial" w:eastAsia="Arial" w:hAnsi="Arial" w:cs="Arial"/>
          <w:lang w:val="es-ES_tradnl"/>
        </w:rPr>
        <w:t xml:space="preserve"> </w:t>
      </w:r>
      <w:r>
        <w:rPr>
          <w:rFonts w:ascii="Arial" w:eastAsia="Arial" w:hAnsi="Arial" w:cs="Arial"/>
          <w:lang w:val="es-ES_tradnl"/>
        </w:rPr>
        <w:t xml:space="preserve">buscadores como </w:t>
      </w:r>
      <w:proofErr w:type="spellStart"/>
      <w:r>
        <w:rPr>
          <w:rFonts w:ascii="Arial" w:eastAsia="Arial" w:hAnsi="Arial" w:cs="Arial"/>
          <w:lang w:val="es-ES_tradnl"/>
        </w:rPr>
        <w:t>Pubmed</w:t>
      </w:r>
      <w:proofErr w:type="spellEnd"/>
      <w:r>
        <w:rPr>
          <w:rFonts w:ascii="Arial" w:eastAsia="Arial" w:hAnsi="Arial" w:cs="Arial"/>
          <w:lang w:val="es-ES_tradnl"/>
        </w:rPr>
        <w:t>,</w:t>
      </w:r>
      <w:r w:rsidRPr="00A81B07">
        <w:rPr>
          <w:rFonts w:ascii="Arial" w:eastAsia="Arial" w:hAnsi="Arial" w:cs="Arial"/>
          <w:lang w:val="es-ES_tradnl"/>
        </w:rPr>
        <w:t xml:space="preserve"> Google </w:t>
      </w:r>
      <w:proofErr w:type="spellStart"/>
      <w:r w:rsidRPr="00A81B07">
        <w:rPr>
          <w:rFonts w:ascii="Arial" w:eastAsia="Arial" w:hAnsi="Arial" w:cs="Arial"/>
          <w:lang w:val="es-ES_tradnl"/>
        </w:rPr>
        <w:t>Scholar</w:t>
      </w:r>
      <w:proofErr w:type="spellEnd"/>
      <w:r>
        <w:rPr>
          <w:rFonts w:ascii="Arial" w:eastAsia="Arial" w:hAnsi="Arial" w:cs="Arial"/>
          <w:lang w:val="es-ES_tradnl"/>
        </w:rPr>
        <w:t xml:space="preserve">, </w:t>
      </w:r>
      <w:proofErr w:type="spellStart"/>
      <w:r>
        <w:rPr>
          <w:rFonts w:ascii="Arial" w:eastAsia="Arial" w:hAnsi="Arial" w:cs="Arial"/>
          <w:lang w:val="es-ES_tradnl"/>
        </w:rPr>
        <w:t>UptoDate</w:t>
      </w:r>
      <w:proofErr w:type="spellEnd"/>
      <w:r>
        <w:rPr>
          <w:rFonts w:ascii="Arial" w:eastAsia="Arial" w:hAnsi="Arial" w:cs="Arial"/>
          <w:lang w:val="es-ES_tradnl"/>
        </w:rPr>
        <w:t xml:space="preserve"> y el Sistema de </w:t>
      </w:r>
      <w:r>
        <w:rPr>
          <w:rFonts w:ascii="Arial" w:eastAsia="Arial" w:hAnsi="Arial" w:cs="Arial"/>
          <w:lang w:val="es-ES_tradnl"/>
        </w:rPr>
        <w:lastRenderedPageBreak/>
        <w:t xml:space="preserve">Bibliotecas, Documentación e información de la Universidad de Costa Rica que incluyen diferentes bases de datos y revistas médicas como Access Medicine, Cochrane, EBSCO </w:t>
      </w:r>
      <w:proofErr w:type="spellStart"/>
      <w:r>
        <w:rPr>
          <w:rFonts w:ascii="Arial" w:eastAsia="Arial" w:hAnsi="Arial" w:cs="Arial"/>
          <w:lang w:val="es-ES_tradnl"/>
        </w:rPr>
        <w:t>Dynamed</w:t>
      </w:r>
      <w:proofErr w:type="spellEnd"/>
      <w:r>
        <w:rPr>
          <w:rFonts w:ascii="Arial" w:eastAsia="Arial" w:hAnsi="Arial" w:cs="Arial"/>
          <w:lang w:val="es-ES_tradnl"/>
        </w:rPr>
        <w:t xml:space="preserve"> Plus, EBSCO full </w:t>
      </w:r>
      <w:proofErr w:type="spellStart"/>
      <w:r>
        <w:rPr>
          <w:rFonts w:ascii="Arial" w:eastAsia="Arial" w:hAnsi="Arial" w:cs="Arial"/>
          <w:lang w:val="es-ES_tradnl"/>
        </w:rPr>
        <w:t>text</w:t>
      </w:r>
      <w:proofErr w:type="spellEnd"/>
      <w:r>
        <w:rPr>
          <w:rFonts w:ascii="Arial" w:eastAsia="Arial" w:hAnsi="Arial" w:cs="Arial"/>
          <w:lang w:val="es-ES_tradnl"/>
        </w:rPr>
        <w:t xml:space="preserve"> </w:t>
      </w:r>
      <w:proofErr w:type="spellStart"/>
      <w:r>
        <w:rPr>
          <w:rFonts w:ascii="Arial" w:eastAsia="Arial" w:hAnsi="Arial" w:cs="Arial"/>
          <w:lang w:val="es-ES_tradnl"/>
        </w:rPr>
        <w:t>finder</w:t>
      </w:r>
      <w:proofErr w:type="spellEnd"/>
      <w:r>
        <w:rPr>
          <w:rFonts w:ascii="Arial" w:eastAsia="Arial" w:hAnsi="Arial" w:cs="Arial"/>
          <w:lang w:val="es-ES_tradnl"/>
        </w:rPr>
        <w:t xml:space="preserve">, JAMA </w:t>
      </w:r>
      <w:proofErr w:type="spellStart"/>
      <w:r>
        <w:rPr>
          <w:rFonts w:ascii="Arial" w:eastAsia="Arial" w:hAnsi="Arial" w:cs="Arial"/>
          <w:lang w:val="es-ES_tradnl"/>
        </w:rPr>
        <w:t>Pediatrics</w:t>
      </w:r>
      <w:proofErr w:type="spellEnd"/>
      <w:r>
        <w:rPr>
          <w:rFonts w:ascii="Arial" w:eastAsia="Arial" w:hAnsi="Arial" w:cs="Arial"/>
          <w:lang w:val="es-ES_tradnl"/>
        </w:rPr>
        <w:t xml:space="preserve"> &amp; </w:t>
      </w:r>
      <w:proofErr w:type="spellStart"/>
      <w:r>
        <w:rPr>
          <w:rFonts w:ascii="Arial" w:eastAsia="Arial" w:hAnsi="Arial" w:cs="Arial"/>
          <w:lang w:val="es-ES_tradnl"/>
        </w:rPr>
        <w:t>Adolescents</w:t>
      </w:r>
      <w:proofErr w:type="spellEnd"/>
      <w:r>
        <w:rPr>
          <w:rFonts w:ascii="Arial" w:eastAsia="Arial" w:hAnsi="Arial" w:cs="Arial"/>
          <w:lang w:val="es-ES_tradnl"/>
        </w:rPr>
        <w:t xml:space="preserve">, JAMA </w:t>
      </w:r>
      <w:proofErr w:type="spellStart"/>
      <w:r>
        <w:rPr>
          <w:rFonts w:ascii="Arial" w:eastAsia="Arial" w:hAnsi="Arial" w:cs="Arial"/>
          <w:lang w:val="es-ES_tradnl"/>
        </w:rPr>
        <w:t>Surgery</w:t>
      </w:r>
      <w:proofErr w:type="spellEnd"/>
      <w:r>
        <w:rPr>
          <w:rFonts w:ascii="Arial" w:eastAsia="Arial" w:hAnsi="Arial" w:cs="Arial"/>
          <w:lang w:val="es-ES_tradnl"/>
        </w:rPr>
        <w:t xml:space="preserve">, New </w:t>
      </w:r>
      <w:proofErr w:type="spellStart"/>
      <w:r>
        <w:rPr>
          <w:rFonts w:ascii="Arial" w:eastAsia="Arial" w:hAnsi="Arial" w:cs="Arial"/>
          <w:lang w:val="es-ES_tradnl"/>
        </w:rPr>
        <w:t>England</w:t>
      </w:r>
      <w:proofErr w:type="spellEnd"/>
      <w:r>
        <w:rPr>
          <w:rFonts w:ascii="Arial" w:eastAsia="Arial" w:hAnsi="Arial" w:cs="Arial"/>
          <w:lang w:val="es-ES_tradnl"/>
        </w:rPr>
        <w:t xml:space="preserve"> Journal Medicine y Journal of </w:t>
      </w:r>
      <w:proofErr w:type="spellStart"/>
      <w:r>
        <w:rPr>
          <w:rFonts w:ascii="Arial" w:eastAsia="Arial" w:hAnsi="Arial" w:cs="Arial"/>
          <w:lang w:val="es-ES_tradnl"/>
        </w:rPr>
        <w:t>the</w:t>
      </w:r>
      <w:proofErr w:type="spellEnd"/>
      <w:r>
        <w:rPr>
          <w:rFonts w:ascii="Arial" w:eastAsia="Arial" w:hAnsi="Arial" w:cs="Arial"/>
          <w:lang w:val="es-ES_tradnl"/>
        </w:rPr>
        <w:t xml:space="preserve"> American </w:t>
      </w:r>
      <w:proofErr w:type="spellStart"/>
      <w:r>
        <w:rPr>
          <w:rFonts w:ascii="Arial" w:eastAsia="Arial" w:hAnsi="Arial" w:cs="Arial"/>
          <w:lang w:val="es-ES_tradnl"/>
        </w:rPr>
        <w:t>Academy</w:t>
      </w:r>
      <w:proofErr w:type="spellEnd"/>
      <w:r>
        <w:rPr>
          <w:rFonts w:ascii="Arial" w:eastAsia="Arial" w:hAnsi="Arial" w:cs="Arial"/>
          <w:lang w:val="es-ES_tradnl"/>
        </w:rPr>
        <w:t xml:space="preserve"> of </w:t>
      </w:r>
      <w:proofErr w:type="spellStart"/>
      <w:r>
        <w:rPr>
          <w:rFonts w:ascii="Arial" w:eastAsia="Arial" w:hAnsi="Arial" w:cs="Arial"/>
          <w:lang w:val="es-ES_tradnl"/>
        </w:rPr>
        <w:t>Pediatrics</w:t>
      </w:r>
      <w:proofErr w:type="spellEnd"/>
      <w:r>
        <w:rPr>
          <w:rFonts w:ascii="Arial" w:eastAsia="Arial" w:hAnsi="Arial" w:cs="Arial"/>
          <w:lang w:val="es-ES_tradnl"/>
        </w:rPr>
        <w:t>. Se realizó una</w:t>
      </w:r>
      <w:r w:rsidRPr="00A81B07">
        <w:rPr>
          <w:rFonts w:ascii="Arial" w:eastAsia="Arial" w:hAnsi="Arial" w:cs="Arial"/>
          <w:lang w:val="es-ES_tradnl"/>
        </w:rPr>
        <w:t xml:space="preserve"> búsqueda de referencias bibliográficas, en </w:t>
      </w:r>
      <w:r>
        <w:rPr>
          <w:rFonts w:ascii="Arial" w:eastAsia="Arial" w:hAnsi="Arial" w:cs="Arial"/>
          <w:lang w:val="es-ES_tradnl"/>
        </w:rPr>
        <w:t>los</w:t>
      </w:r>
      <w:r w:rsidRPr="00A81B07">
        <w:rPr>
          <w:rFonts w:ascii="Arial" w:eastAsia="Arial" w:hAnsi="Arial" w:cs="Arial"/>
          <w:lang w:val="es-ES_tradnl"/>
        </w:rPr>
        <w:t xml:space="preserve"> idioma</w:t>
      </w:r>
      <w:r>
        <w:rPr>
          <w:rFonts w:ascii="Arial" w:eastAsia="Arial" w:hAnsi="Arial" w:cs="Arial"/>
          <w:lang w:val="es-ES_tradnl"/>
        </w:rPr>
        <w:t>s</w:t>
      </w:r>
      <w:r w:rsidRPr="00A81B07">
        <w:rPr>
          <w:rFonts w:ascii="Arial" w:eastAsia="Arial" w:hAnsi="Arial" w:cs="Arial"/>
          <w:lang w:val="es-ES_tradnl"/>
        </w:rPr>
        <w:t xml:space="preserve"> inglés</w:t>
      </w:r>
      <w:r w:rsidRPr="00A81B07">
        <w:rPr>
          <w:rFonts w:ascii="Arial" w:eastAsia="Arial" w:hAnsi="Arial" w:cs="Arial"/>
          <w:color w:val="000000"/>
          <w:lang w:val="es-ES_tradnl"/>
        </w:rPr>
        <w:t xml:space="preserve"> y español</w:t>
      </w:r>
      <w:r>
        <w:rPr>
          <w:rFonts w:ascii="Arial" w:eastAsia="Arial" w:hAnsi="Arial" w:cs="Arial"/>
          <w:lang w:val="es-ES_tradnl"/>
        </w:rPr>
        <w:t xml:space="preserve"> </w:t>
      </w:r>
      <w:r w:rsidRPr="00A81B07">
        <w:rPr>
          <w:rFonts w:ascii="Arial" w:eastAsia="Arial" w:hAnsi="Arial" w:cs="Arial"/>
          <w:lang w:val="es-ES_tradnl"/>
        </w:rPr>
        <w:t>utilizando los términos “quemadura”,</w:t>
      </w:r>
      <w:r>
        <w:rPr>
          <w:rFonts w:ascii="Arial" w:eastAsia="Arial" w:hAnsi="Arial" w:cs="Arial"/>
          <w:lang w:val="es-ES_tradnl"/>
        </w:rPr>
        <w:t xml:space="preserve"> “pediatría”, “manejo”, “epidemiología”, “resucitación”, “lesiones”</w:t>
      </w:r>
      <w:r w:rsidRPr="00A81B07">
        <w:rPr>
          <w:rFonts w:ascii="Arial" w:eastAsia="Arial" w:hAnsi="Arial" w:cs="Arial"/>
          <w:lang w:val="es-ES_tradnl"/>
        </w:rPr>
        <w:t xml:space="preserve"> y “</w:t>
      </w:r>
      <w:r>
        <w:rPr>
          <w:rFonts w:ascii="Arial" w:eastAsia="Arial" w:hAnsi="Arial" w:cs="Arial"/>
          <w:lang w:val="es-ES_tradnl"/>
        </w:rPr>
        <w:t>trauma</w:t>
      </w:r>
      <w:r w:rsidRPr="00A81B07">
        <w:rPr>
          <w:rFonts w:ascii="Arial" w:eastAsia="Arial" w:hAnsi="Arial" w:cs="Arial"/>
          <w:lang w:val="es-ES_tradnl"/>
        </w:rPr>
        <w:t xml:space="preserve">”. </w:t>
      </w:r>
      <w:r>
        <w:rPr>
          <w:rFonts w:ascii="Arial" w:eastAsia="Arial" w:hAnsi="Arial" w:cs="Arial"/>
          <w:lang w:val="es-ES_tradnl"/>
        </w:rPr>
        <w:t xml:space="preserve">Se utilizaron como criterios de inclusión el uso de dichas fuentes bibliográficas por hospitales reconocidos a nivel mundial  </w:t>
      </w:r>
      <w:r w:rsidRPr="006A6D72">
        <w:rPr>
          <w:rFonts w:ascii="Arial" w:hAnsi="Arial" w:cs="Arial"/>
          <w:color w:val="000000"/>
          <w:lang w:val="es-ES_tradnl"/>
        </w:rPr>
        <w:t>y que hayan sido realizados en los últimos 5 años, comprendiendo un periodo entre el 2015-2020</w:t>
      </w:r>
      <w:r w:rsidRPr="00A81B07">
        <w:rPr>
          <w:rFonts w:ascii="Arial" w:eastAsia="Arial" w:hAnsi="Arial" w:cs="Arial"/>
          <w:lang w:val="es-ES_tradnl"/>
        </w:rPr>
        <w:t xml:space="preserve">. </w:t>
      </w:r>
      <w:r>
        <w:rPr>
          <w:rFonts w:ascii="Arial" w:eastAsia="Arial" w:hAnsi="Arial" w:cs="Arial"/>
          <w:lang w:val="es-ES_tradnl"/>
        </w:rPr>
        <w:t>En cuanto a los criterios de exclusión se tomaron en cuenta artículos publicados hace más de 5 años y quemaduras en adultos.</w:t>
      </w:r>
      <w:r w:rsidRPr="00283538">
        <w:rPr>
          <w:rFonts w:ascii="Arial" w:hAnsi="Arial" w:cs="Arial"/>
          <w:color w:val="FF0000"/>
          <w:lang w:val="es-ES"/>
        </w:rPr>
        <w:t xml:space="preserve"> </w:t>
      </w:r>
    </w:p>
    <w:p w:rsidR="00590215" w:rsidRPr="009674D5" w:rsidRDefault="00590215" w:rsidP="009674D5">
      <w:pPr>
        <w:spacing w:after="0"/>
        <w:jc w:val="both"/>
        <w:rPr>
          <w:rFonts w:ascii="Arial" w:hAnsi="Arial" w:cs="Arial"/>
          <w:color w:val="FF0000"/>
          <w:sz w:val="28"/>
          <w:lang w:val="es-ES"/>
        </w:rPr>
      </w:pPr>
    </w:p>
    <w:p w:rsidR="00590215" w:rsidRPr="009674D5" w:rsidRDefault="00590215" w:rsidP="009674D5">
      <w:pPr>
        <w:jc w:val="center"/>
        <w:rPr>
          <w:rFonts w:ascii="Arial" w:eastAsia="Arial" w:hAnsi="Arial" w:cs="Arial"/>
          <w:b/>
          <w:sz w:val="24"/>
          <w:lang w:val="es-ES_tradnl"/>
        </w:rPr>
      </w:pPr>
      <w:r w:rsidRPr="009674D5">
        <w:rPr>
          <w:rFonts w:ascii="Arial" w:hAnsi="Arial" w:cs="Arial"/>
          <w:b/>
          <w:sz w:val="24"/>
          <w:lang w:val="es-ES"/>
        </w:rPr>
        <w:t>EPIDEMIOLOGÍA</w:t>
      </w:r>
    </w:p>
    <w:p w:rsidR="009674D5" w:rsidRDefault="00590215" w:rsidP="009674D5">
      <w:pPr>
        <w:spacing w:after="0"/>
        <w:jc w:val="both"/>
        <w:rPr>
          <w:rFonts w:ascii="Arial" w:hAnsi="Arial" w:cs="Arial"/>
          <w:lang w:val="es-ES_tradnl"/>
        </w:rPr>
      </w:pPr>
      <w:r>
        <w:rPr>
          <w:rFonts w:ascii="Arial" w:hAnsi="Arial" w:cs="Arial"/>
          <w:lang w:val="es-ES_tradnl"/>
        </w:rPr>
        <w:t>Con respecto a la epidemiología de quemaduras en la población pediátrica, s</w:t>
      </w:r>
      <w:r w:rsidRPr="00C42E04">
        <w:rPr>
          <w:rFonts w:ascii="Arial" w:hAnsi="Arial" w:cs="Arial"/>
          <w:lang w:val="es-ES_tradnl"/>
        </w:rPr>
        <w:t>on más frecuentes las quemaduras por contacto y escaldadura e</w:t>
      </w:r>
      <w:r>
        <w:rPr>
          <w:rFonts w:ascii="Arial" w:hAnsi="Arial" w:cs="Arial"/>
          <w:lang w:val="es-ES_tradnl"/>
        </w:rPr>
        <w:t xml:space="preserve">n lactantes menores e infantes (2,6). Por otro lado, las </w:t>
      </w:r>
      <w:r w:rsidRPr="00C42E04">
        <w:rPr>
          <w:rFonts w:ascii="Arial" w:hAnsi="Arial" w:cs="Arial"/>
          <w:lang w:val="es-ES_tradnl"/>
        </w:rPr>
        <w:t xml:space="preserve">quemaduras </w:t>
      </w:r>
      <w:r>
        <w:rPr>
          <w:rFonts w:ascii="Arial" w:hAnsi="Arial" w:cs="Arial"/>
          <w:lang w:val="es-ES_tradnl"/>
        </w:rPr>
        <w:t>por llamas o alto voltaje se realizan</w:t>
      </w:r>
      <w:r w:rsidRPr="00C42E04">
        <w:rPr>
          <w:rFonts w:ascii="Arial" w:hAnsi="Arial" w:cs="Arial"/>
          <w:lang w:val="es-ES_tradnl"/>
        </w:rPr>
        <w:t xml:space="preserve"> más en adolescentes o niños mayores</w:t>
      </w:r>
      <w:r>
        <w:rPr>
          <w:rFonts w:ascii="Arial" w:hAnsi="Arial" w:cs="Arial"/>
          <w:lang w:val="es-ES_tradnl"/>
        </w:rPr>
        <w:t>,</w:t>
      </w:r>
      <w:r w:rsidRPr="00C42E04">
        <w:rPr>
          <w:rFonts w:ascii="Arial" w:hAnsi="Arial" w:cs="Arial"/>
          <w:lang w:val="es-ES_tradnl"/>
        </w:rPr>
        <w:t xml:space="preserve"> </w:t>
      </w:r>
      <w:r>
        <w:rPr>
          <w:rFonts w:ascii="Arial" w:hAnsi="Arial" w:cs="Arial"/>
          <w:lang w:val="es-ES_tradnl"/>
        </w:rPr>
        <w:t>que se exponen a situaciones de riesgo y tienden a afectar un</w:t>
      </w:r>
      <w:r w:rsidRPr="00C42E04">
        <w:rPr>
          <w:rFonts w:ascii="Arial" w:hAnsi="Arial" w:cs="Arial"/>
          <w:lang w:val="es-ES_tradnl"/>
        </w:rPr>
        <w:t xml:space="preserve"> área de sup</w:t>
      </w:r>
      <w:r>
        <w:rPr>
          <w:rFonts w:ascii="Arial" w:hAnsi="Arial" w:cs="Arial"/>
          <w:lang w:val="es-ES_tradnl"/>
        </w:rPr>
        <w:t>erficie corporal total más extensa (2,6</w:t>
      </w:r>
      <w:r w:rsidRPr="00C42E04">
        <w:rPr>
          <w:rFonts w:ascii="Arial" w:hAnsi="Arial" w:cs="Arial"/>
          <w:lang w:val="es-ES_tradnl"/>
        </w:rPr>
        <w:t>)</w:t>
      </w:r>
      <w:r>
        <w:rPr>
          <w:rFonts w:ascii="Arial" w:hAnsi="Arial" w:cs="Arial"/>
          <w:lang w:val="es-ES_tradnl"/>
        </w:rPr>
        <w:t xml:space="preserve">. </w:t>
      </w:r>
    </w:p>
    <w:p w:rsidR="00590215" w:rsidRDefault="00590215" w:rsidP="009674D5">
      <w:pPr>
        <w:spacing w:after="0"/>
        <w:jc w:val="both"/>
        <w:rPr>
          <w:rFonts w:ascii="Arial" w:hAnsi="Arial" w:cs="Arial"/>
          <w:lang w:val="es-ES_tradnl"/>
        </w:rPr>
      </w:pPr>
      <w:r>
        <w:rPr>
          <w:rFonts w:ascii="Arial" w:hAnsi="Arial" w:cs="Arial"/>
          <w:lang w:val="es-ES_tradnl"/>
        </w:rPr>
        <w:t xml:space="preserve">En primer lugar de frecuencia están las quemaduras por escaldaduras, </w:t>
      </w:r>
      <w:r w:rsidRPr="00C42E04">
        <w:rPr>
          <w:rFonts w:ascii="Arial" w:hAnsi="Arial" w:cs="Arial"/>
          <w:lang w:val="es-ES_tradnl"/>
        </w:rPr>
        <w:t xml:space="preserve">seguido de </w:t>
      </w:r>
      <w:r>
        <w:rPr>
          <w:rFonts w:ascii="Arial" w:hAnsi="Arial" w:cs="Arial"/>
          <w:lang w:val="es-ES_tradnl"/>
        </w:rPr>
        <w:t>quemaduras por contacto y fuego (2,6</w:t>
      </w:r>
      <w:r w:rsidRPr="00C42E04">
        <w:rPr>
          <w:rFonts w:ascii="Arial" w:hAnsi="Arial" w:cs="Arial"/>
          <w:lang w:val="es-ES_tradnl"/>
        </w:rPr>
        <w:t>)</w:t>
      </w:r>
      <w:r>
        <w:rPr>
          <w:rFonts w:ascii="Arial" w:hAnsi="Arial" w:cs="Arial"/>
          <w:lang w:val="es-ES_tradnl"/>
        </w:rPr>
        <w:t xml:space="preserve">. Según estudios, 3 </w:t>
      </w:r>
      <w:r w:rsidRPr="00C42E04">
        <w:rPr>
          <w:rFonts w:ascii="Arial" w:hAnsi="Arial" w:cs="Arial"/>
          <w:lang w:val="es-ES_tradnl"/>
        </w:rPr>
        <w:t xml:space="preserve">de </w:t>
      </w:r>
      <w:r w:rsidR="009674D5">
        <w:rPr>
          <w:rFonts w:ascii="Arial" w:hAnsi="Arial" w:cs="Arial"/>
          <w:lang w:val="es-ES_tradnl"/>
        </w:rPr>
        <w:t xml:space="preserve">cada 4 quemaduras se dan dentro </w:t>
      </w:r>
      <w:r w:rsidRPr="00C42E04">
        <w:rPr>
          <w:rFonts w:ascii="Arial" w:hAnsi="Arial" w:cs="Arial"/>
          <w:lang w:val="es-ES_tradnl"/>
        </w:rPr>
        <w:t>del hogar, siendo l</w:t>
      </w:r>
      <w:r>
        <w:rPr>
          <w:rFonts w:ascii="Arial" w:hAnsi="Arial" w:cs="Arial"/>
          <w:lang w:val="es-ES_tradnl"/>
        </w:rPr>
        <w:t xml:space="preserve">a cocina el lugar más frecuente, </w:t>
      </w:r>
      <w:r>
        <w:rPr>
          <w:rFonts w:ascii="Arial" w:hAnsi="Arial" w:cs="Arial"/>
          <w:lang w:val="es-ES_tradnl"/>
        </w:rPr>
        <w:lastRenderedPageBreak/>
        <w:t>dentro de un periodo entre las 4 pm y 7 pm, hora que coincide con tiempo de preparación de comidas (7,8</w:t>
      </w:r>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w:t>
      </w:r>
    </w:p>
    <w:p w:rsidR="00590215" w:rsidRPr="009674D5" w:rsidRDefault="00590215" w:rsidP="009674D5">
      <w:pPr>
        <w:spacing w:after="0"/>
        <w:ind w:firstLine="720"/>
        <w:jc w:val="both"/>
        <w:rPr>
          <w:rFonts w:ascii="Arial" w:hAnsi="Arial" w:cs="Arial"/>
          <w:sz w:val="28"/>
          <w:lang w:val="es-ES_tradnl"/>
        </w:rPr>
      </w:pPr>
    </w:p>
    <w:p w:rsidR="00590215" w:rsidRPr="009674D5" w:rsidRDefault="00590215" w:rsidP="009674D5">
      <w:pPr>
        <w:jc w:val="center"/>
        <w:rPr>
          <w:rFonts w:ascii="Arial" w:hAnsi="Arial" w:cs="Arial"/>
          <w:b/>
          <w:sz w:val="24"/>
          <w:lang w:val="es-ES_tradnl"/>
        </w:rPr>
      </w:pPr>
      <w:r w:rsidRPr="009674D5">
        <w:rPr>
          <w:rFonts w:ascii="Arial" w:hAnsi="Arial" w:cs="Arial"/>
          <w:b/>
          <w:sz w:val="24"/>
          <w:lang w:val="es-ES_tradnl"/>
        </w:rPr>
        <w:t>MANEJO INICIAL DE TODO TIPO DE QUEMADURA</w:t>
      </w:r>
    </w:p>
    <w:p w:rsidR="00590215" w:rsidRPr="009674D5" w:rsidRDefault="00590215" w:rsidP="009674D5">
      <w:pPr>
        <w:spacing w:after="0"/>
        <w:jc w:val="both"/>
        <w:rPr>
          <w:rFonts w:ascii="Arial" w:hAnsi="Arial" w:cs="Arial"/>
        </w:rPr>
      </w:pPr>
      <w:r w:rsidRPr="009674D5">
        <w:rPr>
          <w:rFonts w:ascii="Arial" w:hAnsi="Arial" w:cs="Arial"/>
          <w:lang w:val="es-ES_tradnl"/>
        </w:rPr>
        <w:t>El manejo inicial general de cualquier tipo de quemadura debe reducir la ampliación de la quemadura y el dolor causado a raíz de este tipo de lesiones de forma rápida, concisa y temprana (9,10). Se debe retirar todo lo que el niño tenga puesto, ya sea accesorios, joyería y/o ropa, en especial si estos últimos pueden llegar a incrementar el área de quemadura. La herida debe ser puesta en agua a temperatura ambiente por 20 minutos o hasta que el dolor sea aliviado; sin embargo, diversos estudios han demostrado que el enfriamiento de la herida es beneficioso hasta 3 horas luego del accidente, por lo que siempre y cuando sea en esta ventana de tiempo que se realice, va a ser favorable (1,9,10). Luego de estos pasos, se debe cubrir con una sábana seca y limpia para disminuir el riesgo de hipotermia debido a que en esta población la piel es más delgada y tiene un menor porcentaje de grasa subcutánea, por lo cual es más susceptible la tendencia a temperaturas bajas (1</w:t>
      </w:r>
      <w:proofErr w:type="gramStart"/>
      <w:r w:rsidRPr="009674D5">
        <w:rPr>
          <w:rFonts w:ascii="Arial" w:hAnsi="Arial" w:cs="Arial"/>
          <w:lang w:val="es-ES_tradnl"/>
        </w:rPr>
        <w:t>,3,9,10</w:t>
      </w:r>
      <w:proofErr w:type="gramEnd"/>
      <w:r w:rsidRPr="009674D5">
        <w:rPr>
          <w:rFonts w:ascii="Arial" w:hAnsi="Arial" w:cs="Arial"/>
          <w:lang w:val="es-ES_tradnl"/>
        </w:rPr>
        <w:t xml:space="preserve">). Se  debe obtener un acceso intravenoso o </w:t>
      </w:r>
      <w:proofErr w:type="spellStart"/>
      <w:r w:rsidRPr="009674D5">
        <w:rPr>
          <w:rFonts w:ascii="Arial" w:hAnsi="Arial" w:cs="Arial"/>
          <w:lang w:val="es-ES_tradnl"/>
        </w:rPr>
        <w:t>intraóseo</w:t>
      </w:r>
      <w:proofErr w:type="spellEnd"/>
      <w:r w:rsidRPr="009674D5">
        <w:rPr>
          <w:rFonts w:ascii="Arial" w:hAnsi="Arial" w:cs="Arial"/>
          <w:lang w:val="es-ES_tradnl"/>
        </w:rPr>
        <w:t xml:space="preserve"> ya que quemaduras profundas o con afectación de superficies corporales extensas necesitarán de resucitación con fluidos (3). Una buena analgesia y sedación han demostrado obtener una menor estancia intrahospitalaria y un proceso menos impactante y traumático para pacientes pediátricos (3,9). También se ha visto un gran beneficio sobre terapias no farmacológicas como la realidad virtual </w:t>
      </w:r>
      <w:r w:rsidRPr="009674D5">
        <w:rPr>
          <w:rFonts w:ascii="Arial" w:hAnsi="Arial" w:cs="Arial"/>
        </w:rPr>
        <w:lastRenderedPageBreak/>
        <w:t xml:space="preserve">mediante aparatos tecnológicos que mantienen al paciente distraído en la medida de lo posible en la evaluación y el manejo de estas patologías (3,9). </w:t>
      </w:r>
    </w:p>
    <w:p w:rsidR="009674D5" w:rsidRPr="009674D5" w:rsidRDefault="00590215" w:rsidP="009674D5">
      <w:pPr>
        <w:spacing w:after="0"/>
        <w:jc w:val="both"/>
        <w:rPr>
          <w:rFonts w:ascii="Arial" w:hAnsi="Arial" w:cs="Arial"/>
        </w:rPr>
      </w:pPr>
      <w:r w:rsidRPr="009674D5">
        <w:rPr>
          <w:rFonts w:ascii="Arial" w:hAnsi="Arial" w:cs="Arial"/>
        </w:rPr>
        <w:t xml:space="preserve">Según guías, una vez que el paciente esté estable, se deben limpiar a profundidad las heridas para lograr distinguir el tipo y la clasificación de cada quemadura (1). </w:t>
      </w:r>
    </w:p>
    <w:p w:rsidR="00590215" w:rsidRPr="009674D5" w:rsidRDefault="00590215" w:rsidP="009674D5">
      <w:pPr>
        <w:spacing w:after="0"/>
        <w:jc w:val="both"/>
        <w:rPr>
          <w:rFonts w:ascii="Arial" w:hAnsi="Arial" w:cs="Arial"/>
        </w:rPr>
      </w:pPr>
      <w:r w:rsidRPr="009674D5">
        <w:rPr>
          <w:rFonts w:ascii="Arial" w:hAnsi="Arial" w:cs="Arial"/>
        </w:rPr>
        <w:t xml:space="preserve">Se debe </w:t>
      </w:r>
      <w:proofErr w:type="spellStart"/>
      <w:r w:rsidRPr="009674D5">
        <w:rPr>
          <w:rFonts w:ascii="Arial" w:hAnsi="Arial" w:cs="Arial"/>
        </w:rPr>
        <w:t>debridar</w:t>
      </w:r>
      <w:proofErr w:type="spellEnd"/>
      <w:r w:rsidRPr="009674D5">
        <w:rPr>
          <w:rFonts w:ascii="Arial" w:hAnsi="Arial" w:cs="Arial"/>
        </w:rPr>
        <w:t xml:space="preserve"> todo tejido desvitalizado y retirar cualquier escara necrótica, ya que esto reduce el estado </w:t>
      </w:r>
      <w:proofErr w:type="spellStart"/>
      <w:r w:rsidRPr="009674D5">
        <w:rPr>
          <w:rFonts w:ascii="Arial" w:hAnsi="Arial" w:cs="Arial"/>
        </w:rPr>
        <w:t>hipermetabólico</w:t>
      </w:r>
      <w:proofErr w:type="spellEnd"/>
      <w:r w:rsidRPr="009674D5">
        <w:rPr>
          <w:rFonts w:ascii="Arial" w:hAnsi="Arial" w:cs="Arial"/>
        </w:rPr>
        <w:t xml:space="preserve"> y el riesgo de infección (1</w:t>
      </w:r>
      <w:proofErr w:type="gramStart"/>
      <w:r w:rsidRPr="009674D5">
        <w:rPr>
          <w:rFonts w:ascii="Arial" w:hAnsi="Arial" w:cs="Arial"/>
        </w:rPr>
        <w:t>,9,11</w:t>
      </w:r>
      <w:proofErr w:type="gramEnd"/>
      <w:r w:rsidRPr="009674D5">
        <w:rPr>
          <w:rFonts w:ascii="Arial" w:hAnsi="Arial" w:cs="Arial"/>
        </w:rPr>
        <w:t>). Una vez realizados estos pasos, se debe transportar al paciente de la forma más rápida posible a un centro hospitalario (9).</w:t>
      </w:r>
    </w:p>
    <w:p w:rsidR="00590215" w:rsidRPr="009674D5" w:rsidRDefault="00590215" w:rsidP="009674D5">
      <w:pPr>
        <w:spacing w:after="0"/>
        <w:jc w:val="both"/>
        <w:rPr>
          <w:rFonts w:ascii="Arial" w:hAnsi="Arial" w:cs="Arial"/>
        </w:rPr>
      </w:pPr>
      <w:r w:rsidRPr="009674D5">
        <w:rPr>
          <w:rFonts w:ascii="Arial" w:hAnsi="Arial" w:cs="Arial"/>
        </w:rPr>
        <w:t>En todo tipo de quemadura, sin importar su clasificación, se debe mantener una vía aérea permeable, y vigilar la respiración y circulación, igual que en el caso de cualquier trauma (1,4). El mecanismo de lesión siempre debe ser verificado ya que en ciertas situaciones se requiere de manejos especiales (1,4). Por ejemplo, en quemaduras en espacios confinados siempre se debe considerar el riesgo de quemadura por inhalación e intoxicación con monóxido de carbono o cianuro (3</w:t>
      </w:r>
      <w:proofErr w:type="gramStart"/>
      <w:r w:rsidRPr="009674D5">
        <w:rPr>
          <w:rFonts w:ascii="Arial" w:hAnsi="Arial" w:cs="Arial"/>
        </w:rPr>
        <w:t>,4,9,10</w:t>
      </w:r>
      <w:proofErr w:type="gramEnd"/>
      <w:r w:rsidRPr="009674D5">
        <w:rPr>
          <w:rFonts w:ascii="Arial" w:hAnsi="Arial" w:cs="Arial"/>
        </w:rPr>
        <w:t xml:space="preserve">). </w:t>
      </w:r>
    </w:p>
    <w:p w:rsidR="00590215" w:rsidRPr="009674D5" w:rsidRDefault="00590215" w:rsidP="009674D5">
      <w:pPr>
        <w:spacing w:after="0"/>
        <w:jc w:val="both"/>
        <w:rPr>
          <w:rFonts w:ascii="Arial" w:hAnsi="Arial" w:cs="Arial"/>
        </w:rPr>
      </w:pPr>
      <w:r w:rsidRPr="009674D5">
        <w:rPr>
          <w:rFonts w:ascii="Arial" w:hAnsi="Arial" w:cs="Arial"/>
        </w:rPr>
        <w:t>En diversos artículos y guías se describen los signos de compromiso ventilatorio donde se debe intubar, ya que el edema de la vía aérea se da de forma rápida y mortal comprometiendo órganos vitales, sobre todo en las primeras 12 a 24 horas (3</w:t>
      </w:r>
      <w:proofErr w:type="gramStart"/>
      <w:r w:rsidRPr="009674D5">
        <w:rPr>
          <w:rFonts w:ascii="Arial" w:hAnsi="Arial" w:cs="Arial"/>
        </w:rPr>
        <w:t>,4,5,9,10</w:t>
      </w:r>
      <w:proofErr w:type="gramEnd"/>
      <w:r w:rsidRPr="009674D5">
        <w:rPr>
          <w:rFonts w:ascii="Arial" w:hAnsi="Arial" w:cs="Arial"/>
        </w:rPr>
        <w:t xml:space="preserve">). Estos signos son: quemaduras alrededor de la nariz y boca, pérdida de vello facial como cejas o pestañas,  dificultad respiratoria, esputo </w:t>
      </w:r>
      <w:proofErr w:type="spellStart"/>
      <w:r w:rsidRPr="009674D5">
        <w:rPr>
          <w:rFonts w:ascii="Arial" w:hAnsi="Arial" w:cs="Arial"/>
        </w:rPr>
        <w:t>carbonáceo</w:t>
      </w:r>
      <w:proofErr w:type="spellEnd"/>
      <w:r w:rsidRPr="009674D5">
        <w:rPr>
          <w:rFonts w:ascii="Arial" w:hAnsi="Arial" w:cs="Arial"/>
        </w:rPr>
        <w:t>, estridor y disfonías o alteraciones en el tono de la voz (1</w:t>
      </w:r>
      <w:proofErr w:type="gramStart"/>
      <w:r w:rsidRPr="009674D5">
        <w:rPr>
          <w:rFonts w:ascii="Arial" w:hAnsi="Arial" w:cs="Arial"/>
        </w:rPr>
        <w:t>,5,9,10</w:t>
      </w:r>
      <w:proofErr w:type="gramEnd"/>
      <w:r w:rsidRPr="009674D5">
        <w:rPr>
          <w:rFonts w:ascii="Arial" w:hAnsi="Arial" w:cs="Arial"/>
        </w:rPr>
        <w:t xml:space="preserve">). Ya dentro de un ámbito hospitalario, si la herida de la quemadura </w:t>
      </w:r>
      <w:r w:rsidRPr="009674D5">
        <w:rPr>
          <w:rFonts w:ascii="Arial" w:hAnsi="Arial" w:cs="Arial"/>
        </w:rPr>
        <w:lastRenderedPageBreak/>
        <w:t xml:space="preserve">es circunferencial y presenta una escara, por el mecanismo patológico puede llegar restringir el flujo de aire al reducir la </w:t>
      </w:r>
      <w:proofErr w:type="spellStart"/>
      <w:r w:rsidRPr="009674D5">
        <w:rPr>
          <w:rFonts w:ascii="Arial" w:hAnsi="Arial" w:cs="Arial"/>
        </w:rPr>
        <w:t>complianza</w:t>
      </w:r>
      <w:proofErr w:type="spellEnd"/>
      <w:r w:rsidRPr="009674D5">
        <w:rPr>
          <w:rFonts w:ascii="Arial" w:hAnsi="Arial" w:cs="Arial"/>
        </w:rPr>
        <w:t xml:space="preserve"> respiratoria en áreas como el tronco o el abdomen (1</w:t>
      </w:r>
      <w:proofErr w:type="gramStart"/>
      <w:r w:rsidRPr="009674D5">
        <w:rPr>
          <w:rFonts w:ascii="Arial" w:hAnsi="Arial" w:cs="Arial"/>
        </w:rPr>
        <w:t>,4,9</w:t>
      </w:r>
      <w:proofErr w:type="gramEnd"/>
      <w:r w:rsidRPr="009674D5">
        <w:rPr>
          <w:rFonts w:ascii="Arial" w:hAnsi="Arial" w:cs="Arial"/>
        </w:rPr>
        <w:t xml:space="preserve">). Por otro lado, en cuanto a estas lesiones circunferenciales en extremidades,  puede haber una disminución de flujo sanguíneo, una baja de la perfusión distal y crear un síndrome </w:t>
      </w:r>
      <w:proofErr w:type="spellStart"/>
      <w:r w:rsidRPr="009674D5">
        <w:rPr>
          <w:rFonts w:ascii="Arial" w:hAnsi="Arial" w:cs="Arial"/>
        </w:rPr>
        <w:t>compartimental</w:t>
      </w:r>
      <w:proofErr w:type="spellEnd"/>
      <w:r w:rsidRPr="009674D5">
        <w:rPr>
          <w:rFonts w:ascii="Arial" w:hAnsi="Arial" w:cs="Arial"/>
        </w:rPr>
        <w:t xml:space="preserve"> secundario a la lesión (1</w:t>
      </w:r>
      <w:proofErr w:type="gramStart"/>
      <w:r w:rsidRPr="009674D5">
        <w:rPr>
          <w:rFonts w:ascii="Arial" w:hAnsi="Arial" w:cs="Arial"/>
        </w:rPr>
        <w:t>,4,9</w:t>
      </w:r>
      <w:proofErr w:type="gramEnd"/>
      <w:r w:rsidRPr="009674D5">
        <w:rPr>
          <w:rFonts w:ascii="Arial" w:hAnsi="Arial" w:cs="Arial"/>
        </w:rPr>
        <w:t xml:space="preserve">). Por las razones expuestas y recomendaciones de diversos artículos, en cualquiera de estos casos si se llegara a alterar el flujo sanguíneo y/o la ventilación se requeriría de una </w:t>
      </w:r>
      <w:proofErr w:type="spellStart"/>
      <w:r w:rsidRPr="009674D5">
        <w:rPr>
          <w:rFonts w:ascii="Arial" w:hAnsi="Arial" w:cs="Arial"/>
        </w:rPr>
        <w:t>escarotomía</w:t>
      </w:r>
      <w:proofErr w:type="spellEnd"/>
      <w:r w:rsidRPr="009674D5">
        <w:rPr>
          <w:rFonts w:ascii="Arial" w:hAnsi="Arial" w:cs="Arial"/>
        </w:rPr>
        <w:t xml:space="preserve"> dentro de las primeras 8 horas desde el incidente, ya que el edema, la pérdida de flujo y la afectación ventilatoria irán en aumento (1,4,9). </w:t>
      </w:r>
    </w:p>
    <w:p w:rsidR="00590215" w:rsidRPr="009674D5" w:rsidRDefault="00590215" w:rsidP="009674D5">
      <w:pPr>
        <w:spacing w:after="0"/>
        <w:jc w:val="both"/>
        <w:rPr>
          <w:rFonts w:ascii="Arial" w:hAnsi="Arial" w:cs="Arial"/>
          <w:lang w:val="es-ES_tradnl"/>
        </w:rPr>
      </w:pPr>
      <w:r w:rsidRPr="009674D5">
        <w:rPr>
          <w:rFonts w:ascii="Arial" w:hAnsi="Arial" w:cs="Arial"/>
        </w:rPr>
        <w:t>Según artículos de revisión, siempre se debe sospechar de lesiones por negligencia o infligidas, ya que el médico también debe velar por el bienestar del paciente (1</w:t>
      </w:r>
      <w:proofErr w:type="gramStart"/>
      <w:r w:rsidRPr="009674D5">
        <w:rPr>
          <w:rFonts w:ascii="Arial" w:hAnsi="Arial" w:cs="Arial"/>
        </w:rPr>
        <w:t>,2,13</w:t>
      </w:r>
      <w:proofErr w:type="gramEnd"/>
      <w:r w:rsidRPr="009674D5">
        <w:rPr>
          <w:rFonts w:ascii="Arial" w:hAnsi="Arial" w:cs="Arial"/>
        </w:rPr>
        <w:t>). Las quemaduras por negligencia son aquellas que ocurren por falta de atención o conocimiento, mientras que las quemaduras infligidas ocurren por causa directa y malintencionada de una persona (1</w:t>
      </w:r>
      <w:proofErr w:type="gramStart"/>
      <w:r w:rsidRPr="009674D5">
        <w:rPr>
          <w:rFonts w:ascii="Arial" w:hAnsi="Arial" w:cs="Arial"/>
        </w:rPr>
        <w:t>,2,13</w:t>
      </w:r>
      <w:proofErr w:type="gramEnd"/>
      <w:r w:rsidRPr="009674D5">
        <w:rPr>
          <w:rFonts w:ascii="Arial" w:hAnsi="Arial" w:cs="Arial"/>
        </w:rPr>
        <w:t>). Por lo tanto, se debe obtener información sobre el lugar de los hechos, la secuencia de eventos que conllevaron a la lesión, los eventos procedentes, la fuente, el tiempo y la temperatura de la exposición, el manejo brindado, la severidad de la quemadura y su apariencia inicial (1,2,13). Cualquier inconsistencia en la historia clínica o presentación tardía a un centro médico debe levantar altas</w:t>
      </w:r>
      <w:r w:rsidRPr="009674D5">
        <w:rPr>
          <w:rFonts w:ascii="Arial" w:hAnsi="Arial" w:cs="Arial"/>
          <w:lang w:val="es-ES_tradnl"/>
        </w:rPr>
        <w:t xml:space="preserve"> sospechas de lesiones infligidas o negligentes (1</w:t>
      </w:r>
      <w:proofErr w:type="gramStart"/>
      <w:r w:rsidRPr="009674D5">
        <w:rPr>
          <w:rFonts w:ascii="Arial" w:hAnsi="Arial" w:cs="Arial"/>
          <w:lang w:val="es-ES_tradnl"/>
        </w:rPr>
        <w:t>,2,13</w:t>
      </w:r>
      <w:proofErr w:type="gramEnd"/>
      <w:r w:rsidRPr="009674D5">
        <w:rPr>
          <w:rFonts w:ascii="Arial" w:hAnsi="Arial" w:cs="Arial"/>
          <w:lang w:val="es-ES_tradnl"/>
        </w:rPr>
        <w:t xml:space="preserve">). </w:t>
      </w:r>
    </w:p>
    <w:p w:rsidR="00590215" w:rsidRDefault="00590215" w:rsidP="009674D5">
      <w:pPr>
        <w:spacing w:after="0"/>
        <w:jc w:val="both"/>
        <w:rPr>
          <w:rFonts w:ascii="Arial" w:hAnsi="Arial" w:cs="Arial"/>
          <w:lang w:val="es-ES_tradnl"/>
        </w:rPr>
      </w:pPr>
      <w:r w:rsidRPr="009674D5">
        <w:rPr>
          <w:rFonts w:ascii="Arial" w:hAnsi="Arial" w:cs="Arial"/>
          <w:lang w:val="es-ES_tradnl"/>
        </w:rPr>
        <w:t>Según diversos estudios, las quemaduras malintencionadas se</w:t>
      </w:r>
      <w:r>
        <w:rPr>
          <w:rFonts w:ascii="Arial" w:hAnsi="Arial" w:cs="Arial"/>
          <w:lang w:val="es-ES_tradnl"/>
        </w:rPr>
        <w:t xml:space="preserve"> </w:t>
      </w:r>
      <w:r>
        <w:rPr>
          <w:rFonts w:ascii="Arial" w:hAnsi="Arial" w:cs="Arial"/>
          <w:lang w:val="es-ES_tradnl"/>
        </w:rPr>
        <w:lastRenderedPageBreak/>
        <w:t>presentan</w:t>
      </w:r>
      <w:r w:rsidRPr="00C42E04">
        <w:rPr>
          <w:rFonts w:ascii="Arial" w:hAnsi="Arial" w:cs="Arial"/>
          <w:lang w:val="es-ES_tradnl"/>
        </w:rPr>
        <w:t xml:space="preserve"> en áreas corporales como genitales, periné y extremidades inferiores y frecuentan estar acompañadas de lesiones concomitantes como tra</w:t>
      </w:r>
      <w:r>
        <w:rPr>
          <w:rFonts w:ascii="Arial" w:hAnsi="Arial" w:cs="Arial"/>
          <w:lang w:val="es-ES_tradnl"/>
        </w:rPr>
        <w:t>uma, laceraciones, contusiones</w:t>
      </w:r>
      <w:r w:rsidRPr="00C42E04">
        <w:rPr>
          <w:rFonts w:ascii="Arial" w:hAnsi="Arial" w:cs="Arial"/>
          <w:lang w:val="es-ES_tradnl"/>
        </w:rPr>
        <w:t xml:space="preserve">, fracturas en costillas, hemorragia intracraneal o </w:t>
      </w:r>
      <w:proofErr w:type="spellStart"/>
      <w:r w:rsidRPr="00C42E04">
        <w:rPr>
          <w:rFonts w:ascii="Arial" w:hAnsi="Arial" w:cs="Arial"/>
          <w:lang w:val="es-ES_tradnl"/>
        </w:rPr>
        <w:t>retinal</w:t>
      </w:r>
      <w:proofErr w:type="spellEnd"/>
      <w:r w:rsidRPr="00C42E04">
        <w:rPr>
          <w:rFonts w:ascii="Arial" w:hAnsi="Arial" w:cs="Arial"/>
          <w:lang w:val="es-ES_tradnl"/>
        </w:rPr>
        <w:t xml:space="preserve"> </w:t>
      </w:r>
      <w:r>
        <w:rPr>
          <w:rFonts w:ascii="Arial" w:hAnsi="Arial" w:cs="Arial"/>
          <w:lang w:val="es-ES_tradnl"/>
        </w:rPr>
        <w:t>y laceraciones esplénicas (1</w:t>
      </w:r>
      <w:proofErr w:type="gramStart"/>
      <w:r>
        <w:rPr>
          <w:rFonts w:ascii="Arial" w:hAnsi="Arial" w:cs="Arial"/>
          <w:lang w:val="es-ES_tradnl"/>
        </w:rPr>
        <w:t>,2,13</w:t>
      </w:r>
      <w:proofErr w:type="gramEnd"/>
      <w:r w:rsidRPr="00C42E04">
        <w:rPr>
          <w:rFonts w:ascii="Arial" w:hAnsi="Arial" w:cs="Arial"/>
          <w:lang w:val="es-ES_tradnl"/>
        </w:rPr>
        <w:t>)</w:t>
      </w:r>
      <w:r>
        <w:rPr>
          <w:rFonts w:ascii="Arial" w:hAnsi="Arial" w:cs="Arial"/>
          <w:lang w:val="es-ES_tradnl"/>
        </w:rPr>
        <w:t xml:space="preserve">. </w:t>
      </w:r>
      <w:r w:rsidRPr="00C42E04">
        <w:rPr>
          <w:rFonts w:ascii="Arial" w:hAnsi="Arial" w:cs="Arial"/>
          <w:lang w:val="es-ES_tradnl"/>
        </w:rPr>
        <w:t>Quemaduras por escaldadura de tipo accidental tendrían un patrón en salpicadura y no suelen tener distribución bilateral, profundidad uniforme, simetría, líneas de inmer</w:t>
      </w:r>
      <w:r>
        <w:rPr>
          <w:rFonts w:ascii="Arial" w:hAnsi="Arial" w:cs="Arial"/>
          <w:lang w:val="es-ES_tradnl"/>
        </w:rPr>
        <w:t>sión o patrón de guantes como sería el caso de quemaduras infligidas (1</w:t>
      </w:r>
      <w:proofErr w:type="gramStart"/>
      <w:r>
        <w:rPr>
          <w:rFonts w:ascii="Arial" w:hAnsi="Arial" w:cs="Arial"/>
          <w:lang w:val="es-ES_tradnl"/>
        </w:rPr>
        <w:t>,2,13</w:t>
      </w:r>
      <w:proofErr w:type="gramEnd"/>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w:t>
      </w:r>
    </w:p>
    <w:p w:rsidR="00590215" w:rsidRPr="009674D5" w:rsidRDefault="00590215" w:rsidP="009674D5">
      <w:pPr>
        <w:spacing w:after="0"/>
        <w:jc w:val="both"/>
        <w:rPr>
          <w:rFonts w:ascii="Arial" w:hAnsi="Arial" w:cs="Arial"/>
          <w:sz w:val="28"/>
          <w:lang w:val="es-ES_tradnl"/>
        </w:rPr>
      </w:pPr>
    </w:p>
    <w:p w:rsidR="00590215" w:rsidRPr="009674D5" w:rsidRDefault="00590215" w:rsidP="009674D5">
      <w:pPr>
        <w:jc w:val="center"/>
        <w:rPr>
          <w:rFonts w:ascii="Arial" w:hAnsi="Arial" w:cs="Arial"/>
          <w:b/>
          <w:sz w:val="24"/>
          <w:lang w:val="es-ES_tradnl"/>
        </w:rPr>
      </w:pPr>
      <w:r w:rsidRPr="009674D5">
        <w:rPr>
          <w:rFonts w:ascii="Arial" w:hAnsi="Arial" w:cs="Arial"/>
          <w:b/>
          <w:sz w:val="24"/>
          <w:lang w:val="es-ES_tradnl"/>
        </w:rPr>
        <w:t>MANEJO ESPECÍFICO SEGÚN TIPO DE QUEMADURA</w:t>
      </w:r>
    </w:p>
    <w:p w:rsidR="00590215" w:rsidRPr="009674D5" w:rsidRDefault="00590215" w:rsidP="00F00BD7">
      <w:pPr>
        <w:pStyle w:val="Prrafodelista"/>
        <w:numPr>
          <w:ilvl w:val="0"/>
          <w:numId w:val="10"/>
        </w:numPr>
        <w:jc w:val="both"/>
        <w:rPr>
          <w:rFonts w:ascii="Arial" w:hAnsi="Arial" w:cs="Arial"/>
          <w:b/>
          <w:lang w:val="es-ES_tradnl"/>
        </w:rPr>
      </w:pPr>
      <w:r w:rsidRPr="009674D5">
        <w:rPr>
          <w:rFonts w:ascii="Arial" w:hAnsi="Arial" w:cs="Arial"/>
          <w:b/>
          <w:lang w:val="es-ES_tradnl"/>
        </w:rPr>
        <w:t>Clasificación de quemaduras</w:t>
      </w:r>
    </w:p>
    <w:p w:rsidR="00590215" w:rsidRPr="00C42E04" w:rsidRDefault="00590215" w:rsidP="009674D5">
      <w:pPr>
        <w:spacing w:after="0"/>
        <w:ind w:left="360"/>
        <w:jc w:val="both"/>
        <w:rPr>
          <w:rFonts w:ascii="Arial" w:hAnsi="Arial" w:cs="Arial"/>
          <w:lang w:val="es-ES_tradnl"/>
        </w:rPr>
      </w:pPr>
      <w:r>
        <w:rPr>
          <w:rFonts w:ascii="Arial" w:hAnsi="Arial" w:cs="Arial"/>
          <w:lang w:val="es-ES_tradnl"/>
        </w:rPr>
        <w:t>Una quemadura de p</w:t>
      </w:r>
      <w:r w:rsidRPr="00C42E04">
        <w:rPr>
          <w:rFonts w:ascii="Arial" w:hAnsi="Arial" w:cs="Arial"/>
          <w:lang w:val="es-ES_tradnl"/>
        </w:rPr>
        <w:t>rimer grado o superficial es aquella que afecta</w:t>
      </w:r>
      <w:r>
        <w:rPr>
          <w:rFonts w:ascii="Arial" w:hAnsi="Arial" w:cs="Arial"/>
          <w:lang w:val="es-ES_tradnl"/>
        </w:rPr>
        <w:t xml:space="preserve"> la epidermis, es eritematosa, </w:t>
      </w:r>
      <w:r w:rsidRPr="00C42E04">
        <w:rPr>
          <w:rFonts w:ascii="Arial" w:hAnsi="Arial" w:cs="Arial"/>
          <w:lang w:val="es-ES_tradnl"/>
        </w:rPr>
        <w:t xml:space="preserve">dolorosa, </w:t>
      </w:r>
      <w:r>
        <w:rPr>
          <w:rFonts w:ascii="Arial" w:hAnsi="Arial" w:cs="Arial"/>
          <w:lang w:val="es-ES_tradnl"/>
        </w:rPr>
        <w:t xml:space="preserve">se torna blanquecina con presión, </w:t>
      </w:r>
      <w:r w:rsidRPr="00C42E04">
        <w:rPr>
          <w:rFonts w:ascii="Arial" w:hAnsi="Arial" w:cs="Arial"/>
          <w:lang w:val="es-ES_tradnl"/>
        </w:rPr>
        <w:t xml:space="preserve">no contiene ampollas, no deja cicatriz y se </w:t>
      </w:r>
      <w:r>
        <w:rPr>
          <w:rFonts w:ascii="Arial" w:hAnsi="Arial" w:cs="Arial"/>
          <w:lang w:val="es-ES_tradnl"/>
        </w:rPr>
        <w:t>maneja</w:t>
      </w:r>
      <w:r w:rsidRPr="00C42E04">
        <w:rPr>
          <w:rFonts w:ascii="Arial" w:hAnsi="Arial" w:cs="Arial"/>
          <w:lang w:val="es-ES_tradnl"/>
        </w:rPr>
        <w:t xml:space="preserve"> con </w:t>
      </w:r>
      <w:r>
        <w:rPr>
          <w:rFonts w:ascii="Arial" w:hAnsi="Arial" w:cs="Arial"/>
          <w:lang w:val="es-ES_tradnl"/>
        </w:rPr>
        <w:t>cremas hidratantes y aloe vera (3</w:t>
      </w:r>
      <w:proofErr w:type="gramStart"/>
      <w:r>
        <w:rPr>
          <w:rFonts w:ascii="Arial" w:hAnsi="Arial" w:cs="Arial"/>
          <w:lang w:val="es-ES_tradnl"/>
        </w:rPr>
        <w:t>,7,9,10</w:t>
      </w:r>
      <w:proofErr w:type="gramEnd"/>
      <w:r w:rsidRPr="00C42E04">
        <w:rPr>
          <w:rFonts w:ascii="Arial" w:hAnsi="Arial" w:cs="Arial"/>
          <w:lang w:val="es-ES_tradnl"/>
        </w:rPr>
        <w:t>)</w:t>
      </w:r>
      <w:r>
        <w:rPr>
          <w:rFonts w:ascii="Arial" w:hAnsi="Arial" w:cs="Arial"/>
          <w:lang w:val="es-ES_tradnl"/>
        </w:rPr>
        <w:t>.</w:t>
      </w:r>
    </w:p>
    <w:p w:rsidR="00590215" w:rsidRPr="00C42E04" w:rsidRDefault="00590215" w:rsidP="009674D5">
      <w:pPr>
        <w:spacing w:after="0"/>
        <w:ind w:left="360"/>
        <w:jc w:val="both"/>
        <w:rPr>
          <w:rFonts w:ascii="Arial" w:hAnsi="Arial" w:cs="Arial"/>
          <w:lang w:val="es-ES_tradnl"/>
        </w:rPr>
      </w:pPr>
      <w:r>
        <w:rPr>
          <w:rFonts w:ascii="Arial" w:hAnsi="Arial" w:cs="Arial"/>
          <w:lang w:val="es-ES_tradnl"/>
        </w:rPr>
        <w:t>Las de s</w:t>
      </w:r>
      <w:r w:rsidRPr="00C42E04">
        <w:rPr>
          <w:rFonts w:ascii="Arial" w:hAnsi="Arial" w:cs="Arial"/>
          <w:lang w:val="es-ES_tradnl"/>
        </w:rPr>
        <w:t xml:space="preserve">egundo grado </w:t>
      </w:r>
      <w:r>
        <w:rPr>
          <w:rFonts w:ascii="Arial" w:hAnsi="Arial" w:cs="Arial"/>
          <w:lang w:val="es-ES_tradnl"/>
        </w:rPr>
        <w:t>tipo A son</w:t>
      </w:r>
      <w:r w:rsidRPr="00C42E04">
        <w:rPr>
          <w:rFonts w:ascii="Arial" w:hAnsi="Arial" w:cs="Arial"/>
          <w:lang w:val="es-ES_tradnl"/>
        </w:rPr>
        <w:t xml:space="preserve"> la</w:t>
      </w:r>
      <w:r>
        <w:rPr>
          <w:rFonts w:ascii="Arial" w:hAnsi="Arial" w:cs="Arial"/>
          <w:lang w:val="es-ES_tradnl"/>
        </w:rPr>
        <w:t>s</w:t>
      </w:r>
      <w:r w:rsidRPr="00C42E04">
        <w:rPr>
          <w:rFonts w:ascii="Arial" w:hAnsi="Arial" w:cs="Arial"/>
          <w:lang w:val="es-ES_tradnl"/>
        </w:rPr>
        <w:t xml:space="preserve"> que afecta</w:t>
      </w:r>
      <w:r>
        <w:rPr>
          <w:rFonts w:ascii="Arial" w:hAnsi="Arial" w:cs="Arial"/>
          <w:lang w:val="es-ES_tradnl"/>
        </w:rPr>
        <w:t>n</w:t>
      </w:r>
      <w:r w:rsidRPr="00C42E04">
        <w:rPr>
          <w:rFonts w:ascii="Arial" w:hAnsi="Arial" w:cs="Arial"/>
          <w:lang w:val="es-ES_tradnl"/>
        </w:rPr>
        <w:t xml:space="preserve"> </w:t>
      </w:r>
      <w:r>
        <w:rPr>
          <w:rFonts w:ascii="Arial" w:hAnsi="Arial" w:cs="Arial"/>
          <w:lang w:val="es-ES_tradnl"/>
        </w:rPr>
        <w:t>la dermis superficial, pueden</w:t>
      </w:r>
      <w:r w:rsidRPr="00C42E04">
        <w:rPr>
          <w:rFonts w:ascii="Arial" w:hAnsi="Arial" w:cs="Arial"/>
          <w:lang w:val="es-ES_tradnl"/>
        </w:rPr>
        <w:t xml:space="preserve"> ser rosada</w:t>
      </w:r>
      <w:r>
        <w:rPr>
          <w:rFonts w:ascii="Arial" w:hAnsi="Arial" w:cs="Arial"/>
          <w:lang w:val="es-ES_tradnl"/>
        </w:rPr>
        <w:t>s o rojas</w:t>
      </w:r>
      <w:r w:rsidRPr="00C42E04">
        <w:rPr>
          <w:rFonts w:ascii="Arial" w:hAnsi="Arial" w:cs="Arial"/>
          <w:lang w:val="es-ES_tradnl"/>
        </w:rPr>
        <w:t>,</w:t>
      </w:r>
      <w:r>
        <w:rPr>
          <w:rFonts w:ascii="Arial" w:hAnsi="Arial" w:cs="Arial"/>
          <w:lang w:val="es-ES_tradnl"/>
        </w:rPr>
        <w:t xml:space="preserve"> son húmedas,</w:t>
      </w:r>
      <w:r w:rsidRPr="00C42E04">
        <w:rPr>
          <w:rFonts w:ascii="Arial" w:hAnsi="Arial" w:cs="Arial"/>
          <w:lang w:val="es-ES_tradnl"/>
        </w:rPr>
        <w:t xml:space="preserve"> dolorosa</w:t>
      </w:r>
      <w:r>
        <w:rPr>
          <w:rFonts w:ascii="Arial" w:hAnsi="Arial" w:cs="Arial"/>
          <w:lang w:val="es-ES_tradnl"/>
        </w:rPr>
        <w:t>s</w:t>
      </w:r>
      <w:r w:rsidRPr="00C42E04">
        <w:rPr>
          <w:rFonts w:ascii="Arial" w:hAnsi="Arial" w:cs="Arial"/>
          <w:lang w:val="es-ES_tradnl"/>
        </w:rPr>
        <w:t>, puede</w:t>
      </w:r>
      <w:r>
        <w:rPr>
          <w:rFonts w:ascii="Arial" w:hAnsi="Arial" w:cs="Arial"/>
          <w:lang w:val="es-ES_tradnl"/>
        </w:rPr>
        <w:t>n</w:t>
      </w:r>
      <w:r w:rsidRPr="00C42E04">
        <w:rPr>
          <w:rFonts w:ascii="Arial" w:hAnsi="Arial" w:cs="Arial"/>
          <w:lang w:val="es-ES_tradnl"/>
        </w:rPr>
        <w:t xml:space="preserve"> tener a</w:t>
      </w:r>
      <w:r>
        <w:rPr>
          <w:rFonts w:ascii="Arial" w:hAnsi="Arial" w:cs="Arial"/>
          <w:lang w:val="es-ES_tradnl"/>
        </w:rPr>
        <w:t>mpollas y dejar cicatriz mínima (7,10</w:t>
      </w:r>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Suele</w:t>
      </w:r>
      <w:r>
        <w:rPr>
          <w:rFonts w:ascii="Arial" w:hAnsi="Arial" w:cs="Arial"/>
          <w:lang w:val="es-ES_tradnl"/>
        </w:rPr>
        <w:t>n</w:t>
      </w:r>
      <w:r w:rsidRPr="00C42E04">
        <w:rPr>
          <w:rFonts w:ascii="Arial" w:hAnsi="Arial" w:cs="Arial"/>
          <w:lang w:val="es-ES_tradnl"/>
        </w:rPr>
        <w:t xml:space="preserve"> ser manejad</w:t>
      </w:r>
      <w:r>
        <w:rPr>
          <w:rFonts w:ascii="Arial" w:hAnsi="Arial" w:cs="Arial"/>
          <w:lang w:val="es-ES_tradnl"/>
        </w:rPr>
        <w:t>as</w:t>
      </w:r>
      <w:r w:rsidRPr="00C42E04">
        <w:rPr>
          <w:rFonts w:ascii="Arial" w:hAnsi="Arial" w:cs="Arial"/>
          <w:lang w:val="es-ES_tradnl"/>
        </w:rPr>
        <w:t xml:space="preserve"> con narcóticos</w:t>
      </w:r>
      <w:r>
        <w:rPr>
          <w:rFonts w:ascii="Arial" w:hAnsi="Arial" w:cs="Arial"/>
          <w:lang w:val="es-ES_tradnl"/>
        </w:rPr>
        <w:t xml:space="preserve"> y </w:t>
      </w:r>
      <w:proofErr w:type="spellStart"/>
      <w:r>
        <w:rPr>
          <w:rFonts w:ascii="Arial" w:hAnsi="Arial" w:cs="Arial"/>
          <w:lang w:val="es-ES_tradnl"/>
        </w:rPr>
        <w:t>alginato</w:t>
      </w:r>
      <w:proofErr w:type="spellEnd"/>
      <w:r>
        <w:rPr>
          <w:rFonts w:ascii="Arial" w:hAnsi="Arial" w:cs="Arial"/>
          <w:lang w:val="es-ES_tradnl"/>
        </w:rPr>
        <w:t xml:space="preserve"> de plata o </w:t>
      </w:r>
      <w:proofErr w:type="spellStart"/>
      <w:r>
        <w:rPr>
          <w:rFonts w:ascii="Arial" w:hAnsi="Arial" w:cs="Arial"/>
          <w:lang w:val="es-ES_tradnl"/>
        </w:rPr>
        <w:t>aquacel</w:t>
      </w:r>
      <w:proofErr w:type="spellEnd"/>
      <w:r>
        <w:rPr>
          <w:rFonts w:ascii="Arial" w:hAnsi="Arial" w:cs="Arial"/>
          <w:lang w:val="es-ES_tradnl"/>
        </w:rPr>
        <w:t xml:space="preserve">  y se reevalúan a los </w:t>
      </w:r>
      <w:r w:rsidRPr="00123F3E">
        <w:rPr>
          <w:rFonts w:ascii="Arial" w:hAnsi="Arial" w:cs="Arial"/>
          <w:lang w:val="es-ES_tradnl"/>
        </w:rPr>
        <w:t>7 d</w:t>
      </w:r>
      <w:r>
        <w:rPr>
          <w:rFonts w:ascii="Arial" w:hAnsi="Arial" w:cs="Arial"/>
          <w:lang w:val="es-ES_tradnl"/>
        </w:rPr>
        <w:t xml:space="preserve">ías del </w:t>
      </w:r>
      <w:proofErr w:type="spellStart"/>
      <w:r>
        <w:rPr>
          <w:rFonts w:ascii="Arial" w:hAnsi="Arial" w:cs="Arial"/>
          <w:lang w:val="es-ES_tradnl"/>
        </w:rPr>
        <w:t>debridamiento</w:t>
      </w:r>
      <w:proofErr w:type="spellEnd"/>
      <w:r>
        <w:rPr>
          <w:rFonts w:ascii="Arial" w:hAnsi="Arial" w:cs="Arial"/>
          <w:lang w:val="es-ES_tradnl"/>
        </w:rPr>
        <w:t xml:space="preserve"> inicial (3, 9,10</w:t>
      </w:r>
      <w:r w:rsidRPr="00C42E04">
        <w:rPr>
          <w:rFonts w:ascii="Arial" w:hAnsi="Arial" w:cs="Arial"/>
          <w:lang w:val="es-ES_tradnl"/>
        </w:rPr>
        <w:t>)</w:t>
      </w:r>
      <w:r>
        <w:rPr>
          <w:rFonts w:ascii="Arial" w:hAnsi="Arial" w:cs="Arial"/>
          <w:lang w:val="es-ES_tradnl"/>
        </w:rPr>
        <w:t>.</w:t>
      </w:r>
    </w:p>
    <w:p w:rsidR="00590215" w:rsidRDefault="00590215" w:rsidP="009674D5">
      <w:pPr>
        <w:spacing w:after="0"/>
        <w:ind w:left="360"/>
        <w:jc w:val="both"/>
        <w:rPr>
          <w:rFonts w:ascii="Arial" w:hAnsi="Arial" w:cs="Arial"/>
          <w:lang w:val="es-ES_tradnl"/>
        </w:rPr>
      </w:pPr>
      <w:r w:rsidRPr="00C42E04">
        <w:rPr>
          <w:rFonts w:ascii="Arial" w:hAnsi="Arial" w:cs="Arial"/>
          <w:lang w:val="es-ES_tradnl"/>
        </w:rPr>
        <w:t xml:space="preserve">Segundo grado </w:t>
      </w:r>
      <w:r>
        <w:rPr>
          <w:rFonts w:ascii="Arial" w:hAnsi="Arial" w:cs="Arial"/>
          <w:lang w:val="es-ES_tradnl"/>
        </w:rPr>
        <w:t>tipo B o parcial profundo son</w:t>
      </w:r>
      <w:r w:rsidRPr="00C42E04">
        <w:rPr>
          <w:rFonts w:ascii="Arial" w:hAnsi="Arial" w:cs="Arial"/>
          <w:lang w:val="es-ES_tradnl"/>
        </w:rPr>
        <w:t xml:space="preserve"> la</w:t>
      </w:r>
      <w:r>
        <w:rPr>
          <w:rFonts w:ascii="Arial" w:hAnsi="Arial" w:cs="Arial"/>
          <w:lang w:val="es-ES_tradnl"/>
        </w:rPr>
        <w:t>s</w:t>
      </w:r>
      <w:r w:rsidRPr="00C42E04">
        <w:rPr>
          <w:rFonts w:ascii="Arial" w:hAnsi="Arial" w:cs="Arial"/>
          <w:lang w:val="es-ES_tradnl"/>
        </w:rPr>
        <w:t xml:space="preserve"> que afecta</w:t>
      </w:r>
      <w:r>
        <w:rPr>
          <w:rFonts w:ascii="Arial" w:hAnsi="Arial" w:cs="Arial"/>
          <w:lang w:val="es-ES_tradnl"/>
        </w:rPr>
        <w:t>n la parte profunda de la dermis (3</w:t>
      </w:r>
      <w:proofErr w:type="gramStart"/>
      <w:r>
        <w:rPr>
          <w:rFonts w:ascii="Arial" w:hAnsi="Arial" w:cs="Arial"/>
          <w:lang w:val="es-ES_tradnl"/>
        </w:rPr>
        <w:t>,7,10</w:t>
      </w:r>
      <w:proofErr w:type="gramEnd"/>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Suele</w:t>
      </w:r>
      <w:r>
        <w:rPr>
          <w:rFonts w:ascii="Arial" w:hAnsi="Arial" w:cs="Arial"/>
          <w:lang w:val="es-ES_tradnl"/>
        </w:rPr>
        <w:t>n</w:t>
      </w:r>
      <w:r w:rsidRPr="00C42E04">
        <w:rPr>
          <w:rFonts w:ascii="Arial" w:hAnsi="Arial" w:cs="Arial"/>
          <w:lang w:val="es-ES_tradnl"/>
        </w:rPr>
        <w:t xml:space="preserve"> ser </w:t>
      </w:r>
      <w:r>
        <w:rPr>
          <w:rFonts w:ascii="Arial" w:hAnsi="Arial" w:cs="Arial"/>
          <w:lang w:val="es-ES_tradnl"/>
        </w:rPr>
        <w:t>de color variante (desde rojas a blanquecinas)</w:t>
      </w:r>
      <w:r w:rsidRPr="00C42E04">
        <w:rPr>
          <w:rFonts w:ascii="Arial" w:hAnsi="Arial" w:cs="Arial"/>
          <w:lang w:val="es-ES_tradnl"/>
        </w:rPr>
        <w:t xml:space="preserve">, </w:t>
      </w:r>
      <w:r>
        <w:rPr>
          <w:rFonts w:ascii="Arial" w:hAnsi="Arial" w:cs="Arial"/>
          <w:lang w:val="es-ES_tradnl"/>
        </w:rPr>
        <w:t>no se tornan blanquecinas con presión, pueden tener</w:t>
      </w:r>
      <w:r w:rsidRPr="00C42E04">
        <w:rPr>
          <w:rFonts w:ascii="Arial" w:hAnsi="Arial" w:cs="Arial"/>
          <w:lang w:val="es-ES_tradnl"/>
        </w:rPr>
        <w:t xml:space="preserve"> ampollas</w:t>
      </w:r>
      <w:r>
        <w:rPr>
          <w:rFonts w:ascii="Arial" w:hAnsi="Arial" w:cs="Arial"/>
          <w:lang w:val="es-ES_tradnl"/>
        </w:rPr>
        <w:t xml:space="preserve"> que se desprenden fácilmente y lo más </w:t>
      </w:r>
      <w:r w:rsidRPr="00C42E04">
        <w:rPr>
          <w:rFonts w:ascii="Arial" w:hAnsi="Arial" w:cs="Arial"/>
          <w:lang w:val="es-ES_tradnl"/>
        </w:rPr>
        <w:t xml:space="preserve"> probable </w:t>
      </w:r>
      <w:r>
        <w:rPr>
          <w:rFonts w:ascii="Arial" w:hAnsi="Arial" w:cs="Arial"/>
          <w:lang w:val="es-ES_tradnl"/>
        </w:rPr>
        <w:t xml:space="preserve">es </w:t>
      </w:r>
      <w:r w:rsidRPr="00C42E04">
        <w:rPr>
          <w:rFonts w:ascii="Arial" w:hAnsi="Arial" w:cs="Arial"/>
          <w:lang w:val="es-ES_tradnl"/>
        </w:rPr>
        <w:t>que deje</w:t>
      </w:r>
      <w:r>
        <w:rPr>
          <w:rFonts w:ascii="Arial" w:hAnsi="Arial" w:cs="Arial"/>
          <w:lang w:val="es-ES_tradnl"/>
        </w:rPr>
        <w:t>n cicatriz (3</w:t>
      </w:r>
      <w:proofErr w:type="gramStart"/>
      <w:r>
        <w:rPr>
          <w:rFonts w:ascii="Arial" w:hAnsi="Arial" w:cs="Arial"/>
          <w:lang w:val="es-ES_tradnl"/>
        </w:rPr>
        <w:t>,7,9,10</w:t>
      </w:r>
      <w:proofErr w:type="gramEnd"/>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w:t>
      </w:r>
      <w:r>
        <w:rPr>
          <w:rFonts w:ascii="Arial" w:hAnsi="Arial" w:cs="Arial"/>
          <w:lang w:val="es-ES_tradnl"/>
        </w:rPr>
        <w:t xml:space="preserve">Deben ser </w:t>
      </w:r>
      <w:proofErr w:type="spellStart"/>
      <w:r>
        <w:rPr>
          <w:rFonts w:ascii="Arial" w:hAnsi="Arial" w:cs="Arial"/>
          <w:lang w:val="es-ES_tradnl"/>
        </w:rPr>
        <w:lastRenderedPageBreak/>
        <w:t>debridadas</w:t>
      </w:r>
      <w:proofErr w:type="spellEnd"/>
      <w:r>
        <w:rPr>
          <w:rFonts w:ascii="Arial" w:hAnsi="Arial" w:cs="Arial"/>
          <w:lang w:val="es-ES_tradnl"/>
        </w:rPr>
        <w:t xml:space="preserve"> y las ampollas removidas (3</w:t>
      </w:r>
      <w:proofErr w:type="gramStart"/>
      <w:r>
        <w:rPr>
          <w:rFonts w:ascii="Arial" w:hAnsi="Arial" w:cs="Arial"/>
          <w:lang w:val="es-ES_tradnl"/>
        </w:rPr>
        <w:t>,7,9,10</w:t>
      </w:r>
      <w:proofErr w:type="gramEnd"/>
      <w:r>
        <w:rPr>
          <w:rFonts w:ascii="Arial" w:hAnsi="Arial" w:cs="Arial"/>
          <w:lang w:val="es-ES_tradnl"/>
        </w:rPr>
        <w:t xml:space="preserve">). </w:t>
      </w:r>
      <w:r w:rsidRPr="00C42E04">
        <w:rPr>
          <w:rFonts w:ascii="Arial" w:hAnsi="Arial" w:cs="Arial"/>
          <w:lang w:val="es-ES_tradnl"/>
        </w:rPr>
        <w:t xml:space="preserve">Se </w:t>
      </w:r>
      <w:r>
        <w:rPr>
          <w:rFonts w:ascii="Arial" w:hAnsi="Arial" w:cs="Arial"/>
          <w:lang w:val="es-ES_tradnl"/>
        </w:rPr>
        <w:t xml:space="preserve">manejan con narcóticos, </w:t>
      </w:r>
      <w:proofErr w:type="spellStart"/>
      <w:r>
        <w:rPr>
          <w:rFonts w:ascii="Arial" w:hAnsi="Arial" w:cs="Arial"/>
          <w:lang w:val="es-ES_tradnl"/>
        </w:rPr>
        <w:t>bacitracina</w:t>
      </w:r>
      <w:proofErr w:type="spellEnd"/>
      <w:r>
        <w:rPr>
          <w:rFonts w:ascii="Arial" w:hAnsi="Arial" w:cs="Arial"/>
          <w:lang w:val="es-ES_tradnl"/>
        </w:rPr>
        <w:t xml:space="preserve">, </w:t>
      </w:r>
      <w:proofErr w:type="spellStart"/>
      <w:r>
        <w:rPr>
          <w:rFonts w:ascii="Arial" w:hAnsi="Arial" w:cs="Arial"/>
          <w:lang w:val="es-ES_tradnl"/>
        </w:rPr>
        <w:t>Telfa</w:t>
      </w:r>
      <w:proofErr w:type="spellEnd"/>
      <w:r>
        <w:rPr>
          <w:rFonts w:ascii="Arial" w:hAnsi="Arial" w:cs="Arial"/>
          <w:lang w:val="es-ES_tradnl"/>
        </w:rPr>
        <w:t xml:space="preserve">, </w:t>
      </w:r>
      <w:proofErr w:type="spellStart"/>
      <w:r>
        <w:rPr>
          <w:rFonts w:ascii="Arial" w:hAnsi="Arial" w:cs="Arial"/>
          <w:lang w:val="es-ES_tradnl"/>
        </w:rPr>
        <w:t>Dermanet</w:t>
      </w:r>
      <w:proofErr w:type="spellEnd"/>
      <w:r>
        <w:rPr>
          <w:rFonts w:ascii="Arial" w:hAnsi="Arial" w:cs="Arial"/>
          <w:lang w:val="es-ES_tradnl"/>
        </w:rPr>
        <w:t xml:space="preserve"> o </w:t>
      </w:r>
      <w:proofErr w:type="spellStart"/>
      <w:r>
        <w:rPr>
          <w:rFonts w:ascii="Arial" w:hAnsi="Arial" w:cs="Arial"/>
          <w:lang w:val="es-ES_tradnl"/>
        </w:rPr>
        <w:t>alginato</w:t>
      </w:r>
      <w:proofErr w:type="spellEnd"/>
      <w:r>
        <w:rPr>
          <w:rFonts w:ascii="Arial" w:hAnsi="Arial" w:cs="Arial"/>
          <w:lang w:val="es-ES_tradnl"/>
        </w:rPr>
        <w:t xml:space="preserve"> de plata que mantiene </w:t>
      </w:r>
      <w:r w:rsidRPr="00C42E04">
        <w:rPr>
          <w:rFonts w:ascii="Arial" w:hAnsi="Arial" w:cs="Arial"/>
          <w:lang w:val="es-ES_tradnl"/>
        </w:rPr>
        <w:t xml:space="preserve">la humectación de la herida </w:t>
      </w:r>
      <w:r>
        <w:rPr>
          <w:rFonts w:ascii="Arial" w:hAnsi="Arial" w:cs="Arial"/>
          <w:lang w:val="es-ES_tradnl"/>
        </w:rPr>
        <w:t>ya que crean</w:t>
      </w:r>
      <w:r w:rsidRPr="00C42E04">
        <w:rPr>
          <w:rFonts w:ascii="Arial" w:hAnsi="Arial" w:cs="Arial"/>
          <w:lang w:val="es-ES_tradnl"/>
        </w:rPr>
        <w:t xml:space="preserve"> un ambiente e</w:t>
      </w:r>
      <w:r>
        <w:rPr>
          <w:rFonts w:ascii="Arial" w:hAnsi="Arial" w:cs="Arial"/>
          <w:lang w:val="es-ES_tradnl"/>
        </w:rPr>
        <w:t>stable y de calidad que permite</w:t>
      </w:r>
      <w:r w:rsidRPr="00C42E04">
        <w:rPr>
          <w:rFonts w:ascii="Arial" w:hAnsi="Arial" w:cs="Arial"/>
          <w:lang w:val="es-ES_tradnl"/>
        </w:rPr>
        <w:t xml:space="preserve"> la proliferación de células óptim</w:t>
      </w:r>
      <w:r>
        <w:rPr>
          <w:rFonts w:ascii="Arial" w:hAnsi="Arial" w:cs="Arial"/>
          <w:lang w:val="es-ES_tradnl"/>
        </w:rPr>
        <w:t xml:space="preserve">as para el cierre de la lesión. También se debe realizar </w:t>
      </w:r>
      <w:r w:rsidRPr="00C42E04">
        <w:rPr>
          <w:rFonts w:ascii="Arial" w:hAnsi="Arial" w:cs="Arial"/>
          <w:lang w:val="es-ES_tradnl"/>
        </w:rPr>
        <w:t>interconsulta a cirugía para ver el requerimient</w:t>
      </w:r>
      <w:r>
        <w:rPr>
          <w:rFonts w:ascii="Arial" w:hAnsi="Arial" w:cs="Arial"/>
          <w:lang w:val="es-ES_tradnl"/>
        </w:rPr>
        <w:t xml:space="preserve">o de injertos y terapia física, sobre todo si dentro de las primeras 48 a </w:t>
      </w:r>
      <w:r w:rsidRPr="00123F3E">
        <w:rPr>
          <w:rFonts w:ascii="Arial" w:hAnsi="Arial" w:cs="Arial"/>
          <w:lang w:val="es-ES_tradnl"/>
        </w:rPr>
        <w:t xml:space="preserve">72 </w:t>
      </w:r>
      <w:r>
        <w:rPr>
          <w:rFonts w:ascii="Arial" w:hAnsi="Arial" w:cs="Arial"/>
          <w:lang w:val="es-ES_tradnl"/>
        </w:rPr>
        <w:t>hay progresión de la lesión (9,10</w:t>
      </w:r>
      <w:r w:rsidRPr="00C42E04">
        <w:rPr>
          <w:rFonts w:ascii="Arial" w:hAnsi="Arial" w:cs="Arial"/>
          <w:lang w:val="es-ES_tradnl"/>
        </w:rPr>
        <w:t>)</w:t>
      </w:r>
      <w:r>
        <w:rPr>
          <w:rFonts w:ascii="Arial" w:hAnsi="Arial" w:cs="Arial"/>
          <w:lang w:val="es-ES_tradnl"/>
        </w:rPr>
        <w:t>.</w:t>
      </w:r>
    </w:p>
    <w:p w:rsidR="00590215" w:rsidRPr="00C42E04" w:rsidRDefault="00590215" w:rsidP="00AA5206">
      <w:pPr>
        <w:spacing w:after="0"/>
        <w:ind w:left="360"/>
        <w:jc w:val="both"/>
        <w:rPr>
          <w:rFonts w:ascii="Arial" w:hAnsi="Arial" w:cs="Arial"/>
          <w:lang w:val="es-ES_tradnl"/>
        </w:rPr>
      </w:pPr>
      <w:r w:rsidRPr="00C42E04">
        <w:rPr>
          <w:rFonts w:ascii="Arial" w:hAnsi="Arial" w:cs="Arial"/>
          <w:lang w:val="es-ES_tradnl"/>
        </w:rPr>
        <w:t>La quemadura de tercer grado</w:t>
      </w:r>
      <w:r>
        <w:rPr>
          <w:rFonts w:ascii="Arial" w:hAnsi="Arial" w:cs="Arial"/>
          <w:lang w:val="es-ES_tradnl"/>
        </w:rPr>
        <w:t xml:space="preserve"> o de espesor total es aquella que afecta totalmente la dermis</w:t>
      </w:r>
      <w:r w:rsidRPr="00C42E04">
        <w:rPr>
          <w:rFonts w:ascii="Arial" w:hAnsi="Arial" w:cs="Arial"/>
          <w:lang w:val="es-ES_tradnl"/>
        </w:rPr>
        <w:t xml:space="preserve"> (</w:t>
      </w:r>
      <w:r>
        <w:rPr>
          <w:rFonts w:ascii="Arial" w:hAnsi="Arial" w:cs="Arial"/>
          <w:lang w:val="es-ES_tradnl"/>
        </w:rPr>
        <w:t>7,10</w:t>
      </w:r>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Generalmente es blanca</w:t>
      </w:r>
      <w:r>
        <w:rPr>
          <w:rFonts w:ascii="Arial" w:hAnsi="Arial" w:cs="Arial"/>
          <w:lang w:val="es-ES_tradnl"/>
        </w:rPr>
        <w:t xml:space="preserve"> (puede ser grisácea o incluso negra)</w:t>
      </w:r>
      <w:r w:rsidRPr="00C42E04">
        <w:rPr>
          <w:rFonts w:ascii="Arial" w:hAnsi="Arial" w:cs="Arial"/>
          <w:lang w:val="es-ES_tradnl"/>
        </w:rPr>
        <w:t>, no tiene folículos pilosos, es indolora y se real</w:t>
      </w:r>
      <w:r>
        <w:rPr>
          <w:rFonts w:ascii="Arial" w:hAnsi="Arial" w:cs="Arial"/>
          <w:lang w:val="es-ES_tradnl"/>
        </w:rPr>
        <w:t>izan injertos de cuero cabelludo o muslos como tratamiento (3, 9,10</w:t>
      </w:r>
      <w:r w:rsidRPr="00C42E04">
        <w:rPr>
          <w:rFonts w:ascii="Arial" w:hAnsi="Arial" w:cs="Arial"/>
          <w:lang w:val="es-ES_tradnl"/>
        </w:rPr>
        <w:t>)</w:t>
      </w:r>
      <w:r>
        <w:rPr>
          <w:rFonts w:ascii="Arial" w:hAnsi="Arial" w:cs="Arial"/>
          <w:lang w:val="es-ES_tradnl"/>
        </w:rPr>
        <w:t xml:space="preserve">. </w:t>
      </w:r>
      <w:r w:rsidRPr="00C42E04">
        <w:rPr>
          <w:rFonts w:ascii="Arial" w:hAnsi="Arial" w:cs="Arial"/>
          <w:lang w:val="es-ES_tradnl"/>
        </w:rPr>
        <w:t>En algunas clasificaciones pueden haber quemaduras de cuarto grado que son las que afectan tejidos subcutáne</w:t>
      </w:r>
      <w:r>
        <w:rPr>
          <w:rFonts w:ascii="Arial" w:hAnsi="Arial" w:cs="Arial"/>
          <w:lang w:val="es-ES_tradnl"/>
        </w:rPr>
        <w:t>os (7</w:t>
      </w:r>
      <w:proofErr w:type="gramStart"/>
      <w:r>
        <w:rPr>
          <w:rFonts w:ascii="Arial" w:hAnsi="Arial" w:cs="Arial"/>
          <w:lang w:val="es-ES_tradnl"/>
        </w:rPr>
        <w:t>,9,10</w:t>
      </w:r>
      <w:proofErr w:type="gramEnd"/>
      <w:r w:rsidRPr="00C42E04">
        <w:rPr>
          <w:rFonts w:ascii="Arial" w:hAnsi="Arial" w:cs="Arial"/>
          <w:lang w:val="es-ES_tradnl"/>
        </w:rPr>
        <w:t>)</w:t>
      </w:r>
      <w:r>
        <w:rPr>
          <w:rFonts w:ascii="Arial" w:hAnsi="Arial" w:cs="Arial"/>
          <w:lang w:val="es-ES_tradnl"/>
        </w:rPr>
        <w:t>.</w:t>
      </w:r>
    </w:p>
    <w:p w:rsidR="00590215" w:rsidRDefault="00590215" w:rsidP="00AA5206">
      <w:pPr>
        <w:spacing w:after="0"/>
        <w:jc w:val="both"/>
        <w:rPr>
          <w:rFonts w:ascii="Arial" w:hAnsi="Arial" w:cs="Arial"/>
          <w:lang w:val="es-ES_tradnl"/>
        </w:rPr>
      </w:pPr>
    </w:p>
    <w:p w:rsidR="00590215" w:rsidRPr="009674D5" w:rsidRDefault="00590215" w:rsidP="00F00BD7">
      <w:pPr>
        <w:pStyle w:val="Prrafodelista"/>
        <w:numPr>
          <w:ilvl w:val="0"/>
          <w:numId w:val="10"/>
        </w:numPr>
        <w:jc w:val="both"/>
        <w:rPr>
          <w:rFonts w:ascii="Arial" w:hAnsi="Arial" w:cs="Arial"/>
          <w:b/>
          <w:lang w:val="es-ES_tradnl"/>
        </w:rPr>
      </w:pPr>
      <w:r w:rsidRPr="009674D5">
        <w:rPr>
          <w:rFonts w:ascii="Arial" w:hAnsi="Arial" w:cs="Arial"/>
          <w:b/>
          <w:lang w:val="es-ES_tradnl"/>
        </w:rPr>
        <w:t>Cálculo del área de superficie corporal total quemado</w:t>
      </w:r>
    </w:p>
    <w:p w:rsidR="00590215" w:rsidRDefault="00590215" w:rsidP="009674D5">
      <w:pPr>
        <w:spacing w:after="0"/>
        <w:ind w:left="360"/>
        <w:jc w:val="both"/>
        <w:rPr>
          <w:rFonts w:ascii="Arial" w:hAnsi="Arial" w:cs="Arial"/>
          <w:lang w:val="es-ES_tradnl"/>
        </w:rPr>
      </w:pPr>
      <w:r>
        <w:rPr>
          <w:rFonts w:ascii="Arial" w:hAnsi="Arial" w:cs="Arial"/>
          <w:lang w:val="es-ES_tradnl"/>
        </w:rPr>
        <w:t>El</w:t>
      </w:r>
      <w:r w:rsidRPr="00C42E04">
        <w:rPr>
          <w:rFonts w:ascii="Arial" w:hAnsi="Arial" w:cs="Arial"/>
          <w:lang w:val="es-ES_tradnl"/>
        </w:rPr>
        <w:t xml:space="preserve"> proceso de evaluación y curación involucra determinar el tamaño y</w:t>
      </w:r>
      <w:r>
        <w:rPr>
          <w:rFonts w:ascii="Arial" w:hAnsi="Arial" w:cs="Arial"/>
          <w:lang w:val="es-ES_tradnl"/>
        </w:rPr>
        <w:t xml:space="preserve"> la profundidad de la quemadura (9</w:t>
      </w:r>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Estudios demuestran que el porcentaje de superficie corporal total</w:t>
      </w:r>
      <w:r>
        <w:rPr>
          <w:rFonts w:ascii="Arial" w:hAnsi="Arial" w:cs="Arial"/>
          <w:lang w:val="es-ES_tradnl"/>
        </w:rPr>
        <w:t xml:space="preserve"> afectado tiende a ser sobreestimado</w:t>
      </w:r>
      <w:r w:rsidRPr="00C42E04">
        <w:rPr>
          <w:rFonts w:ascii="Arial" w:hAnsi="Arial" w:cs="Arial"/>
          <w:lang w:val="es-ES_tradnl"/>
        </w:rPr>
        <w:t xml:space="preserve"> </w:t>
      </w:r>
      <w:r>
        <w:rPr>
          <w:rFonts w:ascii="Arial" w:hAnsi="Arial" w:cs="Arial"/>
          <w:lang w:val="es-ES_tradnl"/>
        </w:rPr>
        <w:t>por lo que debe ser</w:t>
      </w:r>
      <w:r w:rsidRPr="00C42E04">
        <w:rPr>
          <w:rFonts w:ascii="Arial" w:hAnsi="Arial" w:cs="Arial"/>
          <w:lang w:val="es-ES_tradnl"/>
        </w:rPr>
        <w:t xml:space="preserve"> cuantificado siguiendo los parámetros establecidos</w:t>
      </w:r>
      <w:r>
        <w:rPr>
          <w:rFonts w:ascii="Arial" w:hAnsi="Arial" w:cs="Arial"/>
          <w:lang w:val="es-ES_tradnl"/>
        </w:rPr>
        <w:t xml:space="preserve"> a continuación (2,9</w:t>
      </w:r>
      <w:r w:rsidRPr="00C42E04">
        <w:rPr>
          <w:rFonts w:ascii="Arial" w:hAnsi="Arial" w:cs="Arial"/>
          <w:lang w:val="es-ES_tradnl"/>
        </w:rPr>
        <w:t>)</w:t>
      </w:r>
      <w:r>
        <w:rPr>
          <w:rFonts w:ascii="Arial" w:hAnsi="Arial" w:cs="Arial"/>
          <w:lang w:val="es-ES_tradnl"/>
        </w:rPr>
        <w:t>.</w:t>
      </w:r>
    </w:p>
    <w:p w:rsidR="00590215" w:rsidRDefault="00590215" w:rsidP="009674D5">
      <w:pPr>
        <w:spacing w:after="0"/>
        <w:ind w:left="360"/>
        <w:jc w:val="both"/>
        <w:rPr>
          <w:rFonts w:ascii="Arial" w:hAnsi="Arial" w:cs="Arial"/>
          <w:lang w:val="es-ES_tradnl"/>
        </w:rPr>
      </w:pPr>
      <w:r w:rsidRPr="00C42E04">
        <w:rPr>
          <w:rFonts w:ascii="Arial" w:hAnsi="Arial" w:cs="Arial"/>
          <w:lang w:val="es-ES_tradnl"/>
        </w:rPr>
        <w:t>Para calcular el porcentaje de superficie corporal total afectado se utilizan únicamente las quemaduras de e</w:t>
      </w:r>
      <w:r>
        <w:rPr>
          <w:rFonts w:ascii="Arial" w:hAnsi="Arial" w:cs="Arial"/>
          <w:lang w:val="es-ES_tradnl"/>
        </w:rPr>
        <w:t xml:space="preserve">spesor parcial y espesor total </w:t>
      </w:r>
      <w:r w:rsidRPr="00C42E04">
        <w:rPr>
          <w:rFonts w:ascii="Arial" w:hAnsi="Arial" w:cs="Arial"/>
          <w:lang w:val="es-ES_tradnl"/>
        </w:rPr>
        <w:t>(</w:t>
      </w:r>
      <w:r>
        <w:rPr>
          <w:rFonts w:ascii="Arial" w:hAnsi="Arial" w:cs="Arial"/>
          <w:lang w:val="es-ES_tradnl"/>
        </w:rPr>
        <w:t>3</w:t>
      </w:r>
      <w:proofErr w:type="gramStart"/>
      <w:r>
        <w:rPr>
          <w:rFonts w:ascii="Arial" w:hAnsi="Arial" w:cs="Arial"/>
          <w:lang w:val="es-ES_tradnl"/>
        </w:rPr>
        <w:t>,9,10,11</w:t>
      </w:r>
      <w:proofErr w:type="gramEnd"/>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El porcentaje de superficie corporal total afectado </w:t>
      </w:r>
      <w:r w:rsidRPr="00C42E04">
        <w:rPr>
          <w:rFonts w:ascii="Arial" w:hAnsi="Arial" w:cs="Arial"/>
          <w:lang w:val="es-ES_tradnl"/>
        </w:rPr>
        <w:lastRenderedPageBreak/>
        <w:t xml:space="preserve">tiene </w:t>
      </w:r>
      <w:r>
        <w:rPr>
          <w:rFonts w:ascii="Arial" w:hAnsi="Arial" w:cs="Arial"/>
          <w:lang w:val="es-ES_tradnl"/>
        </w:rPr>
        <w:t xml:space="preserve">varios métodos para su cálculo; </w:t>
      </w:r>
      <w:r w:rsidRPr="00C42E04">
        <w:rPr>
          <w:rFonts w:ascii="Arial" w:hAnsi="Arial" w:cs="Arial"/>
          <w:lang w:val="es-ES_tradnl"/>
        </w:rPr>
        <w:t xml:space="preserve">sin embargo, el más preciso es la tabla de </w:t>
      </w:r>
      <w:proofErr w:type="spellStart"/>
      <w:r w:rsidRPr="00C42E04">
        <w:rPr>
          <w:rFonts w:ascii="Arial" w:hAnsi="Arial" w:cs="Arial"/>
          <w:lang w:val="es-ES_tradnl"/>
        </w:rPr>
        <w:t>Lund</w:t>
      </w:r>
      <w:proofErr w:type="spellEnd"/>
      <w:r w:rsidRPr="00C42E04">
        <w:rPr>
          <w:rFonts w:ascii="Arial" w:hAnsi="Arial" w:cs="Arial"/>
          <w:lang w:val="es-ES_tradnl"/>
        </w:rPr>
        <w:t xml:space="preserve">- </w:t>
      </w:r>
      <w:proofErr w:type="spellStart"/>
      <w:r w:rsidRPr="00C42E04">
        <w:rPr>
          <w:rFonts w:ascii="Arial" w:hAnsi="Arial" w:cs="Arial"/>
          <w:lang w:val="es-ES_tradnl"/>
        </w:rPr>
        <w:t>Browder</w:t>
      </w:r>
      <w:proofErr w:type="spellEnd"/>
      <w:r w:rsidRPr="00C42E04">
        <w:rPr>
          <w:rFonts w:ascii="Arial" w:hAnsi="Arial" w:cs="Arial"/>
          <w:lang w:val="es-ES_tradnl"/>
        </w:rPr>
        <w:t xml:space="preserve"> ya que este se modifica según la ed</w:t>
      </w:r>
      <w:r>
        <w:rPr>
          <w:rFonts w:ascii="Arial" w:hAnsi="Arial" w:cs="Arial"/>
          <w:lang w:val="es-ES_tradnl"/>
        </w:rPr>
        <w:t xml:space="preserve">ad del paciente </w:t>
      </w:r>
      <w:r w:rsidRPr="00C42E04">
        <w:rPr>
          <w:rFonts w:ascii="Arial" w:hAnsi="Arial" w:cs="Arial"/>
          <w:lang w:val="es-ES_tradnl"/>
        </w:rPr>
        <w:t>(</w:t>
      </w:r>
      <w:r>
        <w:rPr>
          <w:rFonts w:ascii="Arial" w:hAnsi="Arial" w:cs="Arial"/>
          <w:lang w:val="es-ES_tradnl"/>
        </w:rPr>
        <w:t>3</w:t>
      </w:r>
      <w:proofErr w:type="gramStart"/>
      <w:r>
        <w:rPr>
          <w:rFonts w:ascii="Arial" w:hAnsi="Arial" w:cs="Arial"/>
          <w:lang w:val="es-ES_tradnl"/>
        </w:rPr>
        <w:t>,7,11</w:t>
      </w:r>
      <w:proofErr w:type="gramEnd"/>
      <w:r w:rsidRPr="00C42E04">
        <w:rPr>
          <w:rFonts w:ascii="Arial" w:hAnsi="Arial" w:cs="Arial"/>
          <w:lang w:val="es-ES_tradnl"/>
        </w:rPr>
        <w:t>)</w:t>
      </w:r>
      <w:r>
        <w:rPr>
          <w:rFonts w:ascii="Arial" w:hAnsi="Arial" w:cs="Arial"/>
          <w:lang w:val="es-ES_tradnl"/>
        </w:rPr>
        <w:t xml:space="preserve"> (ver </w:t>
      </w:r>
      <w:r w:rsidR="00786448" w:rsidRPr="00786448">
        <w:rPr>
          <w:rFonts w:ascii="Arial" w:hAnsi="Arial" w:cs="Arial"/>
          <w:b/>
          <w:lang w:val="es-ES_tradnl"/>
        </w:rPr>
        <w:t>TABLA 1</w:t>
      </w:r>
      <w:r>
        <w:rPr>
          <w:rFonts w:ascii="Arial" w:hAnsi="Arial" w:cs="Arial"/>
          <w:lang w:val="es-ES_tradnl"/>
        </w:rPr>
        <w:t>).</w:t>
      </w:r>
      <w:r w:rsidRPr="00C42E04">
        <w:rPr>
          <w:rFonts w:ascii="Arial" w:hAnsi="Arial" w:cs="Arial"/>
          <w:lang w:val="es-ES_tradnl"/>
        </w:rPr>
        <w:t xml:space="preserve"> Si no se cuenta con esta tabla se puede utilizar la regla </w:t>
      </w:r>
      <w:r>
        <w:rPr>
          <w:rFonts w:ascii="Arial" w:hAnsi="Arial" w:cs="Arial"/>
          <w:lang w:val="es-ES_tradnl"/>
        </w:rPr>
        <w:t xml:space="preserve">de la palma de la mano </w:t>
      </w:r>
      <w:r w:rsidRPr="00C42E04">
        <w:rPr>
          <w:rFonts w:ascii="Arial" w:hAnsi="Arial" w:cs="Arial"/>
          <w:lang w:val="es-ES_tradnl"/>
        </w:rPr>
        <w:t>que eq</w:t>
      </w:r>
      <w:r>
        <w:rPr>
          <w:rFonts w:ascii="Arial" w:hAnsi="Arial" w:cs="Arial"/>
          <w:lang w:val="es-ES_tradnl"/>
        </w:rPr>
        <w:t>uivale a un 1% de área afectada</w:t>
      </w:r>
      <w:r w:rsidRPr="00C42E04">
        <w:rPr>
          <w:rFonts w:ascii="Arial" w:hAnsi="Arial" w:cs="Arial"/>
          <w:lang w:val="es-ES_tradnl"/>
        </w:rPr>
        <w:t xml:space="preserve"> (</w:t>
      </w:r>
      <w:r>
        <w:rPr>
          <w:rFonts w:ascii="Arial" w:hAnsi="Arial" w:cs="Arial"/>
          <w:lang w:val="es-ES_tradnl"/>
        </w:rPr>
        <w:t>4,11</w:t>
      </w:r>
      <w:r w:rsidRPr="00C42E04">
        <w:rPr>
          <w:rFonts w:ascii="Arial" w:hAnsi="Arial" w:cs="Arial"/>
          <w:lang w:val="es-ES_tradnl"/>
        </w:rPr>
        <w:t>)</w:t>
      </w:r>
      <w:r>
        <w:rPr>
          <w:rFonts w:ascii="Arial" w:hAnsi="Arial" w:cs="Arial"/>
          <w:lang w:val="es-ES_tradnl"/>
        </w:rPr>
        <w:t xml:space="preserve">. Otra opción es </w:t>
      </w:r>
      <w:r w:rsidRPr="00C42E04">
        <w:rPr>
          <w:rFonts w:ascii="Arial" w:hAnsi="Arial" w:cs="Arial"/>
          <w:lang w:val="es-ES_tradnl"/>
        </w:rPr>
        <w:t>la regla de los 9</w:t>
      </w:r>
      <w:r>
        <w:rPr>
          <w:rFonts w:ascii="Arial" w:hAnsi="Arial" w:cs="Arial"/>
          <w:lang w:val="es-ES_tradnl"/>
        </w:rPr>
        <w:t>´s</w:t>
      </w:r>
      <w:r w:rsidRPr="00C42E04">
        <w:rPr>
          <w:rFonts w:ascii="Arial" w:hAnsi="Arial" w:cs="Arial"/>
          <w:lang w:val="es-ES_tradnl"/>
        </w:rPr>
        <w:t xml:space="preserve"> para determinar de forma rápida la superficie corporal total y establecer si un niño debe </w:t>
      </w:r>
      <w:r>
        <w:rPr>
          <w:rFonts w:ascii="Arial" w:hAnsi="Arial" w:cs="Arial"/>
          <w:lang w:val="es-ES_tradnl"/>
        </w:rPr>
        <w:t xml:space="preserve">o no </w:t>
      </w:r>
      <w:r w:rsidRPr="00C42E04">
        <w:rPr>
          <w:rFonts w:ascii="Arial" w:hAnsi="Arial" w:cs="Arial"/>
          <w:lang w:val="es-ES_tradnl"/>
        </w:rPr>
        <w:t>ser transferido a un centro especializado</w:t>
      </w:r>
      <w:r>
        <w:rPr>
          <w:rFonts w:ascii="Arial" w:hAnsi="Arial" w:cs="Arial"/>
          <w:lang w:val="es-ES_tradnl"/>
        </w:rPr>
        <w:t xml:space="preserve"> (4,10</w:t>
      </w:r>
      <w:r w:rsidRPr="00C42E04">
        <w:rPr>
          <w:rFonts w:ascii="Arial" w:hAnsi="Arial" w:cs="Arial"/>
          <w:lang w:val="es-ES_tradnl"/>
        </w:rPr>
        <w:t>)</w:t>
      </w:r>
      <w:r>
        <w:rPr>
          <w:rFonts w:ascii="Arial" w:hAnsi="Arial" w:cs="Arial"/>
          <w:lang w:val="es-ES_tradnl"/>
        </w:rPr>
        <w:t>.</w:t>
      </w:r>
    </w:p>
    <w:p w:rsidR="009674D5" w:rsidRDefault="009674D5" w:rsidP="009674D5">
      <w:pPr>
        <w:spacing w:after="0"/>
        <w:ind w:left="360"/>
        <w:jc w:val="both"/>
        <w:rPr>
          <w:rFonts w:ascii="Arial" w:hAnsi="Arial" w:cs="Arial"/>
          <w:lang w:val="es-ES_tradnl"/>
        </w:rPr>
      </w:pPr>
    </w:p>
    <w:p w:rsidR="00590215" w:rsidRPr="009674D5" w:rsidRDefault="00590215" w:rsidP="00F00BD7">
      <w:pPr>
        <w:pStyle w:val="Prrafodelista"/>
        <w:numPr>
          <w:ilvl w:val="0"/>
          <w:numId w:val="10"/>
        </w:numPr>
        <w:jc w:val="both"/>
        <w:rPr>
          <w:rFonts w:ascii="Arial" w:hAnsi="Arial" w:cs="Arial"/>
          <w:b/>
          <w:lang w:val="es-ES_tradnl"/>
        </w:rPr>
      </w:pPr>
      <w:r w:rsidRPr="009674D5">
        <w:rPr>
          <w:rFonts w:ascii="Arial" w:hAnsi="Arial" w:cs="Arial"/>
          <w:b/>
          <w:lang w:val="es-ES_tradnl"/>
        </w:rPr>
        <w:t>Factores de transferencia y hospitalización en centro especializado</w:t>
      </w:r>
    </w:p>
    <w:p w:rsidR="00590215" w:rsidRPr="00C42E04" w:rsidRDefault="00590215" w:rsidP="009674D5">
      <w:pPr>
        <w:ind w:left="360"/>
        <w:jc w:val="both"/>
        <w:rPr>
          <w:rFonts w:ascii="Arial" w:hAnsi="Arial" w:cs="Arial"/>
          <w:lang w:val="es-ES_tradnl"/>
        </w:rPr>
      </w:pPr>
      <w:r>
        <w:rPr>
          <w:rFonts w:ascii="Arial" w:hAnsi="Arial" w:cs="Arial"/>
          <w:lang w:val="es-ES_tradnl"/>
        </w:rPr>
        <w:t>L</w:t>
      </w:r>
      <w:r w:rsidRPr="00C42E04">
        <w:rPr>
          <w:rFonts w:ascii="Arial" w:hAnsi="Arial" w:cs="Arial"/>
          <w:lang w:val="es-ES_tradnl"/>
        </w:rPr>
        <w:t>os factores para t</w:t>
      </w:r>
      <w:r>
        <w:rPr>
          <w:rFonts w:ascii="Arial" w:hAnsi="Arial" w:cs="Arial"/>
          <w:lang w:val="es-ES_tradnl"/>
        </w:rPr>
        <w:t>ransferir un paciente a un centro especializado para su respectiva hospitalización son</w:t>
      </w:r>
      <w:r w:rsidRPr="00C42E04">
        <w:rPr>
          <w:rFonts w:ascii="Arial" w:hAnsi="Arial" w:cs="Arial"/>
          <w:lang w:val="es-ES_tradnl"/>
        </w:rPr>
        <w:t xml:space="preserve">: quemaduras </w:t>
      </w:r>
      <w:r>
        <w:rPr>
          <w:rFonts w:ascii="Arial" w:hAnsi="Arial" w:cs="Arial"/>
          <w:lang w:val="es-ES_tradnl"/>
        </w:rPr>
        <w:t>igual o mayores a segundo grado con más</w:t>
      </w:r>
      <w:r w:rsidRPr="00C42E04">
        <w:rPr>
          <w:rFonts w:ascii="Arial" w:hAnsi="Arial" w:cs="Arial"/>
          <w:lang w:val="es-ES_tradnl"/>
        </w:rPr>
        <w:t xml:space="preserve"> de </w:t>
      </w:r>
      <w:r>
        <w:rPr>
          <w:rFonts w:ascii="Arial" w:hAnsi="Arial" w:cs="Arial"/>
          <w:lang w:val="es-ES_tradnl"/>
        </w:rPr>
        <w:t xml:space="preserve">un </w:t>
      </w:r>
      <w:r w:rsidRPr="00C42E04">
        <w:rPr>
          <w:rFonts w:ascii="Arial" w:hAnsi="Arial" w:cs="Arial"/>
          <w:lang w:val="es-ES_tradnl"/>
        </w:rPr>
        <w:t>10% de superficie corporal afectada; quemaduras en cara, manos, pies, genitales, periné o en articulaciones; toda quemadura de tercer grado o espesor total; quemaduras eléctricas (sobre todo las de alto voltaje o mayor a 1000 voltios), químicas, circunferenciales o por inhalación; quemaduras en niños con enfermedades o condiciones que pueden complicar más allá el manejo o la recuperación; niños con problemática social; niños quemados en algún centro que no cuente con el material</w:t>
      </w:r>
      <w:r>
        <w:rPr>
          <w:rFonts w:ascii="Arial" w:hAnsi="Arial" w:cs="Arial"/>
          <w:lang w:val="es-ES_tradnl"/>
        </w:rPr>
        <w:t xml:space="preserve"> adecuado</w:t>
      </w:r>
      <w:r w:rsidRPr="00C42E04">
        <w:rPr>
          <w:rFonts w:ascii="Arial" w:hAnsi="Arial" w:cs="Arial"/>
          <w:lang w:val="es-ES_tradnl"/>
        </w:rPr>
        <w:t>, equipo o personal especializado para el cuidado de las lesiones (</w:t>
      </w:r>
      <w:r>
        <w:rPr>
          <w:rFonts w:ascii="Arial" w:hAnsi="Arial" w:cs="Arial"/>
          <w:lang w:val="es-ES_tradnl"/>
        </w:rPr>
        <w:t>4,9</w:t>
      </w:r>
      <w:r w:rsidRPr="00C42E04">
        <w:rPr>
          <w:rFonts w:ascii="Arial" w:hAnsi="Arial" w:cs="Arial"/>
          <w:lang w:val="es-ES_tradnl"/>
        </w:rPr>
        <w:t>)</w:t>
      </w:r>
      <w:r>
        <w:rPr>
          <w:rFonts w:ascii="Arial" w:hAnsi="Arial" w:cs="Arial"/>
          <w:lang w:val="es-ES_tradnl"/>
        </w:rPr>
        <w:t>.</w:t>
      </w:r>
    </w:p>
    <w:p w:rsidR="00590215" w:rsidRPr="009674D5" w:rsidRDefault="00590215" w:rsidP="00F00BD7">
      <w:pPr>
        <w:pStyle w:val="Prrafodelista"/>
        <w:numPr>
          <w:ilvl w:val="0"/>
          <w:numId w:val="10"/>
        </w:numPr>
        <w:spacing w:after="0"/>
        <w:jc w:val="both"/>
        <w:rPr>
          <w:rFonts w:ascii="Arial" w:hAnsi="Arial" w:cs="Arial"/>
          <w:b/>
          <w:lang w:val="es-ES_tradnl"/>
        </w:rPr>
      </w:pPr>
      <w:r w:rsidRPr="009674D5">
        <w:rPr>
          <w:rFonts w:ascii="Arial" w:hAnsi="Arial" w:cs="Arial"/>
          <w:b/>
          <w:lang w:val="es-ES_tradnl"/>
        </w:rPr>
        <w:t>Resucitación con soluciones</w:t>
      </w:r>
    </w:p>
    <w:p w:rsidR="00590215" w:rsidRDefault="00590215" w:rsidP="009674D5">
      <w:pPr>
        <w:spacing w:after="0"/>
        <w:ind w:left="360"/>
        <w:jc w:val="both"/>
        <w:rPr>
          <w:rFonts w:ascii="Arial" w:hAnsi="Arial" w:cs="Arial"/>
          <w:lang w:val="es-ES_tradnl"/>
        </w:rPr>
      </w:pPr>
      <w:r w:rsidRPr="00C42E04">
        <w:rPr>
          <w:rFonts w:ascii="Arial" w:hAnsi="Arial" w:cs="Arial"/>
          <w:lang w:val="es-ES_tradnl"/>
        </w:rPr>
        <w:t xml:space="preserve">La severidad de una quemadura es proporcional al porcentaje de </w:t>
      </w:r>
      <w:r w:rsidRPr="00C42E04">
        <w:rPr>
          <w:rFonts w:ascii="Arial" w:hAnsi="Arial" w:cs="Arial"/>
          <w:lang w:val="es-ES_tradnl"/>
        </w:rPr>
        <w:lastRenderedPageBreak/>
        <w:t xml:space="preserve">superficie corporal total </w:t>
      </w:r>
      <w:proofErr w:type="gramStart"/>
      <w:r w:rsidRPr="00C42E04">
        <w:rPr>
          <w:rFonts w:ascii="Arial" w:hAnsi="Arial" w:cs="Arial"/>
          <w:lang w:val="es-ES_tradnl"/>
        </w:rPr>
        <w:t>afectado</w:t>
      </w:r>
      <w:proofErr w:type="gramEnd"/>
      <w:r w:rsidRPr="00C42E04">
        <w:rPr>
          <w:rFonts w:ascii="Arial" w:hAnsi="Arial" w:cs="Arial"/>
          <w:lang w:val="es-ES_tradnl"/>
        </w:rPr>
        <w:t>, la profundidad de la lesión</w:t>
      </w:r>
      <w:r>
        <w:rPr>
          <w:rFonts w:ascii="Arial" w:hAnsi="Arial" w:cs="Arial"/>
          <w:lang w:val="es-ES_tradnl"/>
        </w:rPr>
        <w:t xml:space="preserve"> y el sitio anatómico afectado (1</w:t>
      </w:r>
      <w:r w:rsidRPr="00C42E04">
        <w:rPr>
          <w:rFonts w:ascii="Arial" w:hAnsi="Arial" w:cs="Arial"/>
          <w:lang w:val="es-ES_tradnl"/>
        </w:rPr>
        <w:t>)</w:t>
      </w:r>
      <w:r>
        <w:rPr>
          <w:rFonts w:ascii="Arial" w:hAnsi="Arial" w:cs="Arial"/>
          <w:lang w:val="es-ES_tradnl"/>
        </w:rPr>
        <w:t xml:space="preserve">. </w:t>
      </w:r>
      <w:r w:rsidRPr="00C42E04">
        <w:rPr>
          <w:rFonts w:ascii="Arial" w:hAnsi="Arial" w:cs="Arial"/>
          <w:lang w:val="es-ES_tradnl"/>
        </w:rPr>
        <w:t xml:space="preserve">Niños con más de un 10% de superficie corporal total afectado requieren de resucitación con </w:t>
      </w:r>
      <w:r>
        <w:rPr>
          <w:rFonts w:ascii="Arial" w:hAnsi="Arial" w:cs="Arial"/>
          <w:lang w:val="es-ES_tradnl"/>
        </w:rPr>
        <w:t>soluciones intravenosas por el estado de hipovolemia que podría conllevar a shock</w:t>
      </w:r>
      <w:r w:rsidRPr="00C42E04">
        <w:rPr>
          <w:rFonts w:ascii="Arial" w:hAnsi="Arial" w:cs="Arial"/>
          <w:lang w:val="es-ES_tradnl"/>
        </w:rPr>
        <w:t xml:space="preserve"> (</w:t>
      </w:r>
      <w:r>
        <w:rPr>
          <w:rFonts w:ascii="Arial" w:hAnsi="Arial" w:cs="Arial"/>
          <w:lang w:val="es-ES_tradnl"/>
        </w:rPr>
        <w:t>1</w:t>
      </w:r>
      <w:proofErr w:type="gramStart"/>
      <w:r>
        <w:rPr>
          <w:rFonts w:ascii="Arial" w:hAnsi="Arial" w:cs="Arial"/>
          <w:lang w:val="es-ES_tradnl"/>
        </w:rPr>
        <w:t>,4,11</w:t>
      </w:r>
      <w:proofErr w:type="gramEnd"/>
      <w:r w:rsidRPr="00C42E04">
        <w:rPr>
          <w:rFonts w:ascii="Arial" w:hAnsi="Arial" w:cs="Arial"/>
          <w:lang w:val="es-ES_tradnl"/>
        </w:rPr>
        <w:t>)</w:t>
      </w:r>
      <w:r>
        <w:rPr>
          <w:rFonts w:ascii="Arial" w:hAnsi="Arial" w:cs="Arial"/>
          <w:lang w:val="es-ES_tradnl"/>
        </w:rPr>
        <w:t xml:space="preserve">. </w:t>
      </w:r>
    </w:p>
    <w:p w:rsidR="00590215" w:rsidRPr="00C42E04" w:rsidRDefault="00590215" w:rsidP="009674D5">
      <w:pPr>
        <w:ind w:left="360"/>
        <w:jc w:val="both"/>
        <w:rPr>
          <w:rFonts w:ascii="Arial" w:hAnsi="Arial" w:cs="Arial"/>
          <w:lang w:val="es-ES_tradnl"/>
        </w:rPr>
      </w:pPr>
      <w:r w:rsidRPr="00C42E04">
        <w:rPr>
          <w:rFonts w:ascii="Arial" w:hAnsi="Arial" w:cs="Arial"/>
          <w:lang w:val="es-ES_tradnl"/>
        </w:rPr>
        <w:t>Existen varias fórmulas para calcular el área de superficie corporal afecta</w:t>
      </w:r>
      <w:r>
        <w:rPr>
          <w:rFonts w:ascii="Arial" w:hAnsi="Arial" w:cs="Arial"/>
          <w:lang w:val="es-ES_tradnl"/>
        </w:rPr>
        <w:t>do por la quemadura. Dentro de éstas se encuentran (9</w:t>
      </w:r>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w:t>
      </w:r>
    </w:p>
    <w:p w:rsidR="00590215" w:rsidRPr="00C42E04" w:rsidRDefault="00590215" w:rsidP="00F00BD7">
      <w:pPr>
        <w:pStyle w:val="Prrafodelista"/>
        <w:numPr>
          <w:ilvl w:val="0"/>
          <w:numId w:val="9"/>
        </w:numPr>
        <w:spacing w:after="0"/>
        <w:jc w:val="both"/>
        <w:rPr>
          <w:rFonts w:ascii="Arial" w:hAnsi="Arial" w:cs="Arial"/>
          <w:lang w:val="es-ES_tradnl"/>
        </w:rPr>
      </w:pPr>
      <w:r w:rsidRPr="00726D6B">
        <w:rPr>
          <w:rFonts w:ascii="Arial" w:hAnsi="Arial" w:cs="Arial"/>
          <w:u w:val="single"/>
          <w:lang w:val="es-ES_tradnl"/>
        </w:rPr>
        <w:t xml:space="preserve">Fórmula de </w:t>
      </w:r>
      <w:proofErr w:type="spellStart"/>
      <w:r w:rsidRPr="00726D6B">
        <w:rPr>
          <w:rFonts w:ascii="Arial" w:hAnsi="Arial" w:cs="Arial"/>
          <w:u w:val="single"/>
          <w:lang w:val="es-ES_tradnl"/>
        </w:rPr>
        <w:t>Parkland</w:t>
      </w:r>
      <w:proofErr w:type="spellEnd"/>
      <w:r>
        <w:rPr>
          <w:rFonts w:ascii="Arial" w:hAnsi="Arial" w:cs="Arial"/>
          <w:u w:val="single"/>
          <w:lang w:val="es-ES_tradnl"/>
        </w:rPr>
        <w:t>:</w:t>
      </w:r>
      <w:r>
        <w:rPr>
          <w:rFonts w:ascii="Arial" w:hAnsi="Arial" w:cs="Arial"/>
          <w:lang w:val="es-ES_tradnl"/>
        </w:rPr>
        <w:t xml:space="preserve"> 4 </w:t>
      </w:r>
      <w:proofErr w:type="spellStart"/>
      <w:r>
        <w:rPr>
          <w:rFonts w:ascii="Arial" w:hAnsi="Arial" w:cs="Arial"/>
          <w:lang w:val="es-ES_tradnl"/>
        </w:rPr>
        <w:t>mL</w:t>
      </w:r>
      <w:proofErr w:type="spellEnd"/>
      <w:r>
        <w:rPr>
          <w:rFonts w:ascii="Arial" w:hAnsi="Arial" w:cs="Arial"/>
          <w:lang w:val="es-ES_tradnl"/>
        </w:rPr>
        <w:t xml:space="preserve"> x peso del paciente en K</w:t>
      </w:r>
      <w:r w:rsidRPr="00C42E04">
        <w:rPr>
          <w:rFonts w:ascii="Arial" w:hAnsi="Arial" w:cs="Arial"/>
          <w:lang w:val="es-ES_tradnl"/>
        </w:rPr>
        <w:t>g x % de superficie corporal total afectado más los reque</w:t>
      </w:r>
      <w:r>
        <w:rPr>
          <w:rFonts w:ascii="Arial" w:hAnsi="Arial" w:cs="Arial"/>
          <w:lang w:val="es-ES_tradnl"/>
        </w:rPr>
        <w:t xml:space="preserve">rimientos diarios del paciente </w:t>
      </w:r>
      <w:r w:rsidRPr="00C42E04">
        <w:rPr>
          <w:rFonts w:ascii="Arial" w:hAnsi="Arial" w:cs="Arial"/>
          <w:lang w:val="es-ES_tradnl"/>
        </w:rPr>
        <w:t>(</w:t>
      </w:r>
      <w:r>
        <w:rPr>
          <w:rFonts w:ascii="Arial" w:hAnsi="Arial" w:cs="Arial"/>
          <w:lang w:val="es-ES_tradnl"/>
        </w:rPr>
        <w:t>4</w:t>
      </w:r>
      <w:proofErr w:type="gramStart"/>
      <w:r>
        <w:rPr>
          <w:rFonts w:ascii="Arial" w:hAnsi="Arial" w:cs="Arial"/>
          <w:lang w:val="es-ES_tradnl"/>
        </w:rPr>
        <w:t>,5,9</w:t>
      </w:r>
      <w:proofErr w:type="gramEnd"/>
      <w:r w:rsidRPr="00C42E04">
        <w:rPr>
          <w:rFonts w:ascii="Arial" w:hAnsi="Arial" w:cs="Arial"/>
          <w:lang w:val="es-ES_tradnl"/>
        </w:rPr>
        <w:t>)</w:t>
      </w:r>
      <w:r>
        <w:rPr>
          <w:rFonts w:ascii="Arial" w:hAnsi="Arial" w:cs="Arial"/>
          <w:lang w:val="es-ES_tradnl"/>
        </w:rPr>
        <w:t>.</w:t>
      </w:r>
    </w:p>
    <w:p w:rsidR="00590215" w:rsidRDefault="00590215" w:rsidP="00F00BD7">
      <w:pPr>
        <w:pStyle w:val="Prrafodelista"/>
        <w:numPr>
          <w:ilvl w:val="0"/>
          <w:numId w:val="9"/>
        </w:numPr>
        <w:spacing w:after="0"/>
        <w:jc w:val="both"/>
        <w:rPr>
          <w:rFonts w:ascii="Arial" w:hAnsi="Arial" w:cs="Arial"/>
          <w:lang w:val="es-ES_tradnl"/>
        </w:rPr>
      </w:pPr>
      <w:r w:rsidRPr="00726D6B">
        <w:rPr>
          <w:rFonts w:ascii="Arial" w:hAnsi="Arial" w:cs="Arial"/>
          <w:u w:val="single"/>
          <w:lang w:val="es-ES_tradnl"/>
        </w:rPr>
        <w:t>Fórmula de Galveston</w:t>
      </w:r>
      <w:r w:rsidRPr="00C42E04">
        <w:rPr>
          <w:rFonts w:ascii="Arial" w:hAnsi="Arial" w:cs="Arial"/>
          <w:lang w:val="es-ES_tradnl"/>
        </w:rPr>
        <w:t xml:space="preserve">: 5000 </w:t>
      </w:r>
      <w:proofErr w:type="spellStart"/>
      <w:r w:rsidRPr="00C42E04">
        <w:rPr>
          <w:rFonts w:ascii="Arial" w:hAnsi="Arial" w:cs="Arial"/>
          <w:lang w:val="es-ES_tradnl"/>
        </w:rPr>
        <w:t>mL</w:t>
      </w:r>
      <w:proofErr w:type="spellEnd"/>
      <w:r w:rsidRPr="00C42E04">
        <w:rPr>
          <w:rFonts w:ascii="Arial" w:hAnsi="Arial" w:cs="Arial"/>
          <w:lang w:val="es-ES_tradnl"/>
        </w:rPr>
        <w:t xml:space="preserve"> x metro cuadrado</w:t>
      </w:r>
      <w:r>
        <w:rPr>
          <w:rFonts w:ascii="Arial" w:hAnsi="Arial" w:cs="Arial"/>
          <w:lang w:val="es-ES_tradnl"/>
        </w:rPr>
        <w:t xml:space="preserve"> (m</w:t>
      </w:r>
      <w:r>
        <w:rPr>
          <w:rFonts w:ascii="Arial" w:hAnsi="Arial" w:cs="Arial"/>
          <w:vertAlign w:val="superscript"/>
          <w:lang w:val="es-ES_tradnl"/>
        </w:rPr>
        <w:t>2</w:t>
      </w:r>
      <w:r>
        <w:rPr>
          <w:rFonts w:ascii="Arial" w:hAnsi="Arial" w:cs="Arial"/>
          <w:lang w:val="es-ES_tradnl"/>
        </w:rPr>
        <w:t xml:space="preserve">) </w:t>
      </w:r>
      <w:r w:rsidRPr="00C42E04">
        <w:rPr>
          <w:rFonts w:ascii="Arial" w:hAnsi="Arial" w:cs="Arial"/>
          <w:lang w:val="es-ES_tradnl"/>
        </w:rPr>
        <w:t xml:space="preserve">x % de superficie corporal total afectado y se suman 2000 </w:t>
      </w:r>
      <w:proofErr w:type="spellStart"/>
      <w:r w:rsidRPr="00C42E04">
        <w:rPr>
          <w:rFonts w:ascii="Arial" w:hAnsi="Arial" w:cs="Arial"/>
          <w:lang w:val="es-ES_tradnl"/>
        </w:rPr>
        <w:t>mL</w:t>
      </w:r>
      <w:proofErr w:type="spellEnd"/>
      <w:r w:rsidRPr="00C42E04">
        <w:rPr>
          <w:rFonts w:ascii="Arial" w:hAnsi="Arial" w:cs="Arial"/>
          <w:lang w:val="es-ES_tradnl"/>
        </w:rPr>
        <w:t xml:space="preserve"> x metro cuadrado </w:t>
      </w:r>
      <w:r>
        <w:rPr>
          <w:rFonts w:ascii="Arial" w:hAnsi="Arial" w:cs="Arial"/>
          <w:lang w:val="es-ES_tradnl"/>
        </w:rPr>
        <w:t>(m</w:t>
      </w:r>
      <w:r>
        <w:rPr>
          <w:rFonts w:ascii="Arial" w:hAnsi="Arial" w:cs="Arial"/>
          <w:vertAlign w:val="superscript"/>
          <w:lang w:val="es-ES_tradnl"/>
        </w:rPr>
        <w:t>2</w:t>
      </w:r>
      <w:r>
        <w:rPr>
          <w:rFonts w:ascii="Arial" w:hAnsi="Arial" w:cs="Arial"/>
          <w:lang w:val="es-ES_tradnl"/>
        </w:rPr>
        <w:t>) al día como requerimiento (9,11</w:t>
      </w:r>
      <w:r w:rsidRPr="00C42E04">
        <w:rPr>
          <w:rFonts w:ascii="Arial" w:hAnsi="Arial" w:cs="Arial"/>
          <w:lang w:val="es-ES_tradnl"/>
        </w:rPr>
        <w:t>)</w:t>
      </w:r>
      <w:r>
        <w:rPr>
          <w:rFonts w:ascii="Arial" w:hAnsi="Arial" w:cs="Arial"/>
          <w:lang w:val="es-ES_tradnl"/>
        </w:rPr>
        <w:t>.</w:t>
      </w:r>
    </w:p>
    <w:p w:rsidR="00590215" w:rsidRDefault="00590215" w:rsidP="00F00BD7">
      <w:pPr>
        <w:pStyle w:val="Prrafodelista"/>
        <w:numPr>
          <w:ilvl w:val="0"/>
          <w:numId w:val="9"/>
        </w:numPr>
        <w:spacing w:after="0"/>
        <w:jc w:val="both"/>
        <w:rPr>
          <w:rFonts w:ascii="Arial" w:hAnsi="Arial" w:cs="Arial"/>
          <w:lang w:val="es-ES_tradnl"/>
        </w:rPr>
      </w:pPr>
      <w:r w:rsidRPr="00726D6B">
        <w:rPr>
          <w:rFonts w:ascii="Arial" w:hAnsi="Arial" w:cs="Arial"/>
          <w:u w:val="single"/>
          <w:lang w:val="es-ES_tradnl"/>
        </w:rPr>
        <w:t xml:space="preserve">Fórmula de </w:t>
      </w:r>
      <w:proofErr w:type="spellStart"/>
      <w:r w:rsidRPr="00726D6B">
        <w:rPr>
          <w:rFonts w:ascii="Arial" w:hAnsi="Arial" w:cs="Arial"/>
          <w:u w:val="single"/>
          <w:lang w:val="es-ES_tradnl"/>
        </w:rPr>
        <w:t>Brooke</w:t>
      </w:r>
      <w:proofErr w:type="spellEnd"/>
      <w:r w:rsidRPr="00726D6B">
        <w:rPr>
          <w:rFonts w:ascii="Arial" w:hAnsi="Arial" w:cs="Arial"/>
          <w:u w:val="single"/>
          <w:lang w:val="es-ES_tradnl"/>
        </w:rPr>
        <w:t xml:space="preserve"> modificada</w:t>
      </w:r>
      <w:r>
        <w:rPr>
          <w:rFonts w:ascii="Arial" w:hAnsi="Arial" w:cs="Arial"/>
          <w:u w:val="single"/>
          <w:lang w:val="es-ES_tradnl"/>
        </w:rPr>
        <w:t>:</w:t>
      </w:r>
      <w:r>
        <w:rPr>
          <w:rFonts w:ascii="Arial" w:hAnsi="Arial" w:cs="Arial"/>
          <w:lang w:val="es-ES_tradnl"/>
        </w:rPr>
        <w:t xml:space="preserve"> 2mL</w:t>
      </w:r>
      <w:r w:rsidRPr="00726D6B">
        <w:rPr>
          <w:rFonts w:ascii="Arial" w:hAnsi="Arial" w:cs="Arial"/>
          <w:lang w:val="es-ES_tradnl"/>
        </w:rPr>
        <w:t xml:space="preserve"> x peso </w:t>
      </w:r>
      <w:r>
        <w:rPr>
          <w:rFonts w:ascii="Arial" w:hAnsi="Arial" w:cs="Arial"/>
          <w:lang w:val="es-ES_tradnl"/>
        </w:rPr>
        <w:t xml:space="preserve">del paciente en Kg x % </w:t>
      </w:r>
      <w:r w:rsidRPr="00C42E04">
        <w:rPr>
          <w:rFonts w:ascii="Arial" w:hAnsi="Arial" w:cs="Arial"/>
          <w:lang w:val="es-ES_tradnl"/>
        </w:rPr>
        <w:t>de superficie corporal total afectado</w:t>
      </w:r>
      <w:r>
        <w:rPr>
          <w:rFonts w:ascii="Arial" w:hAnsi="Arial" w:cs="Arial"/>
          <w:lang w:val="es-ES_tradnl"/>
        </w:rPr>
        <w:t xml:space="preserve"> (9,11).</w:t>
      </w:r>
    </w:p>
    <w:p w:rsidR="00590215" w:rsidRPr="00296A44" w:rsidRDefault="00590215" w:rsidP="009674D5">
      <w:pPr>
        <w:spacing w:after="0"/>
        <w:ind w:left="720" w:firstLine="720"/>
        <w:jc w:val="both"/>
        <w:rPr>
          <w:rFonts w:ascii="Arial" w:hAnsi="Arial" w:cs="Arial"/>
          <w:lang w:val="es-ES_tradnl"/>
        </w:rPr>
      </w:pPr>
      <w:r w:rsidRPr="00296A44">
        <w:rPr>
          <w:rFonts w:ascii="Arial" w:hAnsi="Arial" w:cs="Arial"/>
          <w:lang w:val="es-ES_tradnl"/>
        </w:rPr>
        <w:t>En cualquiera de estas fórmulas se utiliza la primera mitad de la solución dentro de las primeras 8 horas y la segunda mitad en las siguientes 16 horas (5</w:t>
      </w:r>
      <w:proofErr w:type="gramStart"/>
      <w:r w:rsidRPr="00296A44">
        <w:rPr>
          <w:rFonts w:ascii="Arial" w:hAnsi="Arial" w:cs="Arial"/>
          <w:lang w:val="es-ES_tradnl"/>
        </w:rPr>
        <w:t>,9</w:t>
      </w:r>
      <w:r>
        <w:rPr>
          <w:rFonts w:ascii="Arial" w:hAnsi="Arial" w:cs="Arial"/>
          <w:lang w:val="es-ES_tradnl"/>
        </w:rPr>
        <w:t>,10,11</w:t>
      </w:r>
      <w:proofErr w:type="gramEnd"/>
      <w:r w:rsidRPr="00296A44">
        <w:rPr>
          <w:rFonts w:ascii="Arial" w:hAnsi="Arial" w:cs="Arial"/>
          <w:lang w:val="es-ES_tradnl"/>
        </w:rPr>
        <w:t>).</w:t>
      </w:r>
    </w:p>
    <w:p w:rsidR="000B19AB" w:rsidRDefault="00590215" w:rsidP="009674D5">
      <w:pPr>
        <w:spacing w:after="0"/>
        <w:ind w:left="720"/>
        <w:jc w:val="both"/>
        <w:rPr>
          <w:rFonts w:ascii="Arial" w:hAnsi="Arial" w:cs="Arial"/>
          <w:lang w:val="es-ES_tradnl"/>
        </w:rPr>
      </w:pPr>
      <w:r w:rsidRPr="00C42E04">
        <w:rPr>
          <w:rFonts w:ascii="Arial" w:hAnsi="Arial" w:cs="Arial"/>
          <w:lang w:val="es-ES_tradnl"/>
        </w:rPr>
        <w:t xml:space="preserve">Cuando se trata de la escogencia de </w:t>
      </w:r>
      <w:r>
        <w:rPr>
          <w:rFonts w:ascii="Arial" w:hAnsi="Arial" w:cs="Arial"/>
          <w:lang w:val="es-ES_tradnl"/>
        </w:rPr>
        <w:t>solución estudios</w:t>
      </w:r>
      <w:r w:rsidRPr="00C42E04">
        <w:rPr>
          <w:rFonts w:ascii="Arial" w:hAnsi="Arial" w:cs="Arial"/>
          <w:lang w:val="es-ES_tradnl"/>
        </w:rPr>
        <w:t xml:space="preserve"> recomienda</w:t>
      </w:r>
      <w:r>
        <w:rPr>
          <w:rFonts w:ascii="Arial" w:hAnsi="Arial" w:cs="Arial"/>
          <w:lang w:val="es-ES_tradnl"/>
        </w:rPr>
        <w:t>n el uso de una solución</w:t>
      </w:r>
      <w:r w:rsidRPr="00C42E04">
        <w:rPr>
          <w:rFonts w:ascii="Arial" w:hAnsi="Arial" w:cs="Arial"/>
          <w:lang w:val="es-ES_tradnl"/>
        </w:rPr>
        <w:t xml:space="preserve"> cristaloide isotónica dentro de las primeras 24 h</w:t>
      </w:r>
      <w:r>
        <w:rPr>
          <w:rFonts w:ascii="Arial" w:hAnsi="Arial" w:cs="Arial"/>
          <w:lang w:val="es-ES_tradnl"/>
        </w:rPr>
        <w:t>oras</w:t>
      </w:r>
      <w:r w:rsidRPr="00C42E04">
        <w:rPr>
          <w:rFonts w:ascii="Arial" w:hAnsi="Arial" w:cs="Arial"/>
          <w:lang w:val="es-ES_tradnl"/>
        </w:rPr>
        <w:t xml:space="preserve"> (</w:t>
      </w:r>
      <w:r>
        <w:rPr>
          <w:rFonts w:ascii="Arial" w:hAnsi="Arial" w:cs="Arial"/>
          <w:lang w:val="es-ES_tradnl"/>
        </w:rPr>
        <w:t>9</w:t>
      </w:r>
      <w:proofErr w:type="gramStart"/>
      <w:r>
        <w:rPr>
          <w:rFonts w:ascii="Arial" w:hAnsi="Arial" w:cs="Arial"/>
          <w:lang w:val="es-ES_tradnl"/>
        </w:rPr>
        <w:t>,10,11</w:t>
      </w:r>
      <w:proofErr w:type="gramEnd"/>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El lactato de </w:t>
      </w:r>
      <w:proofErr w:type="spellStart"/>
      <w:r w:rsidRPr="00C42E04">
        <w:rPr>
          <w:rFonts w:ascii="Arial" w:hAnsi="Arial" w:cs="Arial"/>
          <w:lang w:val="es-ES_tradnl"/>
        </w:rPr>
        <w:t>Ringer</w:t>
      </w:r>
      <w:proofErr w:type="spellEnd"/>
      <w:r>
        <w:rPr>
          <w:rFonts w:ascii="Arial" w:hAnsi="Arial" w:cs="Arial"/>
          <w:lang w:val="es-ES_tradnl"/>
        </w:rPr>
        <w:t xml:space="preserve"> o solución de Hartman</w:t>
      </w:r>
      <w:r w:rsidRPr="00C42E04">
        <w:rPr>
          <w:rFonts w:ascii="Arial" w:hAnsi="Arial" w:cs="Arial"/>
          <w:lang w:val="es-ES_tradnl"/>
        </w:rPr>
        <w:t xml:space="preserve"> se considera</w:t>
      </w:r>
      <w:r>
        <w:rPr>
          <w:rFonts w:ascii="Arial" w:hAnsi="Arial" w:cs="Arial"/>
          <w:lang w:val="es-ES_tradnl"/>
        </w:rPr>
        <w:t>n las soluciones</w:t>
      </w:r>
      <w:r w:rsidRPr="00C42E04">
        <w:rPr>
          <w:rFonts w:ascii="Arial" w:hAnsi="Arial" w:cs="Arial"/>
          <w:lang w:val="es-ES_tradnl"/>
        </w:rPr>
        <w:t xml:space="preserve"> de elección en di</w:t>
      </w:r>
      <w:r>
        <w:rPr>
          <w:rFonts w:ascii="Arial" w:hAnsi="Arial" w:cs="Arial"/>
          <w:lang w:val="es-ES_tradnl"/>
        </w:rPr>
        <w:t xml:space="preserve">ferentes centros hospitalarios </w:t>
      </w:r>
      <w:r w:rsidRPr="00C42E04">
        <w:rPr>
          <w:rFonts w:ascii="Arial" w:hAnsi="Arial" w:cs="Arial"/>
          <w:lang w:val="es-ES_tradnl"/>
        </w:rPr>
        <w:t>(</w:t>
      </w:r>
      <w:r>
        <w:rPr>
          <w:rFonts w:ascii="Arial" w:hAnsi="Arial" w:cs="Arial"/>
          <w:lang w:val="es-ES_tradnl"/>
        </w:rPr>
        <w:t>1</w:t>
      </w:r>
      <w:proofErr w:type="gramStart"/>
      <w:r>
        <w:rPr>
          <w:rFonts w:ascii="Arial" w:hAnsi="Arial" w:cs="Arial"/>
          <w:lang w:val="es-ES_tradnl"/>
        </w:rPr>
        <w:t>,9,10</w:t>
      </w:r>
      <w:proofErr w:type="gramEnd"/>
      <w:r w:rsidRPr="00C42E04">
        <w:rPr>
          <w:rFonts w:ascii="Arial" w:hAnsi="Arial" w:cs="Arial"/>
          <w:lang w:val="es-ES_tradnl"/>
        </w:rPr>
        <w:t>)</w:t>
      </w:r>
      <w:r>
        <w:rPr>
          <w:rFonts w:ascii="Arial" w:hAnsi="Arial" w:cs="Arial"/>
          <w:lang w:val="es-ES_tradnl"/>
        </w:rPr>
        <w:t>.</w:t>
      </w:r>
      <w:r w:rsidRPr="00C42E04">
        <w:rPr>
          <w:rFonts w:ascii="Arial" w:hAnsi="Arial" w:cs="Arial"/>
          <w:lang w:val="es-ES_tradnl"/>
        </w:rPr>
        <w:t xml:space="preserve"> Se</w:t>
      </w:r>
      <w:r>
        <w:rPr>
          <w:rFonts w:ascii="Arial" w:hAnsi="Arial" w:cs="Arial"/>
          <w:lang w:val="es-ES_tradnl"/>
        </w:rPr>
        <w:t>gún diversos artículos, se</w:t>
      </w:r>
      <w:r w:rsidRPr="00C42E04">
        <w:rPr>
          <w:rFonts w:ascii="Arial" w:hAnsi="Arial" w:cs="Arial"/>
          <w:lang w:val="es-ES_tradnl"/>
        </w:rPr>
        <w:t xml:space="preserve"> recomienda </w:t>
      </w:r>
    </w:p>
    <w:p w:rsidR="000B19AB" w:rsidRDefault="000B19AB" w:rsidP="004603A7">
      <w:pPr>
        <w:rPr>
          <w:rFonts w:ascii="Arial" w:hAnsi="Arial" w:cs="Arial"/>
          <w:b/>
        </w:rPr>
        <w:sectPr w:rsidR="000B19AB" w:rsidSect="00274687">
          <w:footerReference w:type="even" r:id="rId39"/>
          <w:footerReference w:type="default" r:id="rId40"/>
          <w:type w:val="continuous"/>
          <w:pgSz w:w="12240" w:h="15840"/>
          <w:pgMar w:top="1417" w:right="1701" w:bottom="1417" w:left="1701" w:header="708" w:footer="708" w:gutter="0"/>
          <w:cols w:num="2" w:space="708"/>
          <w:docGrid w:linePitch="360"/>
        </w:sectPr>
      </w:pPr>
    </w:p>
    <w:tbl>
      <w:tblPr>
        <w:tblStyle w:val="Tablaconcuadrcula"/>
        <w:tblW w:w="8931" w:type="dxa"/>
        <w:tblInd w:w="108" w:type="dxa"/>
        <w:tblLayout w:type="fixed"/>
        <w:tblCellMar>
          <w:top w:w="57" w:type="dxa"/>
          <w:left w:w="57" w:type="dxa"/>
          <w:bottom w:w="57" w:type="dxa"/>
          <w:right w:w="57" w:type="dxa"/>
        </w:tblCellMar>
        <w:tblLook w:val="04A0" w:firstRow="1" w:lastRow="0" w:firstColumn="1" w:lastColumn="0" w:noHBand="0" w:noVBand="1"/>
      </w:tblPr>
      <w:tblGrid>
        <w:gridCol w:w="1225"/>
        <w:gridCol w:w="1843"/>
        <w:gridCol w:w="1417"/>
        <w:gridCol w:w="1560"/>
        <w:gridCol w:w="1417"/>
        <w:gridCol w:w="1469"/>
      </w:tblGrid>
      <w:tr w:rsidR="00065F16" w:rsidTr="00AC7D88">
        <w:trPr>
          <w:trHeight w:val="90"/>
        </w:trPr>
        <w:tc>
          <w:tcPr>
            <w:tcW w:w="8931" w:type="dxa"/>
            <w:gridSpan w:val="6"/>
            <w:vAlign w:val="center"/>
          </w:tcPr>
          <w:p w:rsidR="00065F16" w:rsidRPr="000B19AB" w:rsidRDefault="00065F16" w:rsidP="00065F16">
            <w:pPr>
              <w:spacing w:line="276" w:lineRule="auto"/>
              <w:rPr>
                <w:rFonts w:ascii="Arial" w:hAnsi="Arial" w:cs="Arial"/>
                <w:sz w:val="20"/>
                <w:szCs w:val="20"/>
              </w:rPr>
            </w:pPr>
            <w:r>
              <w:rPr>
                <w:rFonts w:ascii="Arial" w:hAnsi="Arial" w:cs="Arial"/>
                <w:b/>
                <w:lang w:val="es-ES_tradnl"/>
              </w:rPr>
              <w:lastRenderedPageBreak/>
              <w:t xml:space="preserve">TABLA 1. </w:t>
            </w:r>
            <w:r>
              <w:rPr>
                <w:rFonts w:ascii="Arial" w:hAnsi="Arial" w:cs="Arial"/>
                <w:lang w:val="es-ES_tradnl"/>
              </w:rPr>
              <w:t xml:space="preserve">Tabla de </w:t>
            </w:r>
            <w:proofErr w:type="spellStart"/>
            <w:r>
              <w:rPr>
                <w:rFonts w:ascii="Arial" w:hAnsi="Arial" w:cs="Arial"/>
                <w:lang w:val="es-ES_tradnl"/>
              </w:rPr>
              <w:t>Lund</w:t>
            </w:r>
            <w:proofErr w:type="spellEnd"/>
            <w:r>
              <w:rPr>
                <w:rFonts w:ascii="Arial" w:hAnsi="Arial" w:cs="Arial"/>
                <w:lang w:val="es-ES_tradnl"/>
              </w:rPr>
              <w:t xml:space="preserve"> y </w:t>
            </w:r>
            <w:proofErr w:type="spellStart"/>
            <w:r>
              <w:rPr>
                <w:rFonts w:ascii="Arial" w:hAnsi="Arial" w:cs="Arial"/>
                <w:lang w:val="es-ES_tradnl"/>
              </w:rPr>
              <w:t>Browder</w:t>
            </w:r>
            <w:proofErr w:type="spellEnd"/>
            <w:r>
              <w:rPr>
                <w:rFonts w:ascii="Arial" w:hAnsi="Arial" w:cs="Arial"/>
                <w:lang w:val="es-ES_tradnl"/>
              </w:rPr>
              <w:t xml:space="preserve"> con porcentajes de área de superficie corporal total</w:t>
            </w:r>
          </w:p>
        </w:tc>
      </w:tr>
      <w:tr w:rsidR="00065F16" w:rsidTr="00065F16">
        <w:trPr>
          <w:trHeight w:val="540"/>
        </w:trPr>
        <w:tc>
          <w:tcPr>
            <w:tcW w:w="1225" w:type="dxa"/>
            <w:vAlign w:val="center"/>
          </w:tcPr>
          <w:p w:rsidR="00065F16" w:rsidRDefault="00065F16" w:rsidP="000B19AB">
            <w:pPr>
              <w:spacing w:line="276" w:lineRule="auto"/>
              <w:jc w:val="center"/>
              <w:rPr>
                <w:rFonts w:ascii="Arial" w:hAnsi="Arial" w:cs="Arial"/>
                <w:sz w:val="20"/>
                <w:szCs w:val="20"/>
              </w:rPr>
            </w:pPr>
            <w:r w:rsidRPr="000B19AB">
              <w:rPr>
                <w:rFonts w:ascii="Arial" w:hAnsi="Arial" w:cs="Arial"/>
                <w:sz w:val="20"/>
                <w:szCs w:val="20"/>
              </w:rPr>
              <w:t>Área</w:t>
            </w:r>
          </w:p>
        </w:tc>
        <w:tc>
          <w:tcPr>
            <w:tcW w:w="1843" w:type="dxa"/>
            <w:vAlign w:val="center"/>
          </w:tcPr>
          <w:p w:rsidR="00065F16" w:rsidRPr="000B19AB" w:rsidRDefault="00065F16" w:rsidP="000B19AB">
            <w:pPr>
              <w:spacing w:line="276" w:lineRule="auto"/>
              <w:jc w:val="center"/>
              <w:rPr>
                <w:rFonts w:ascii="Arial" w:hAnsi="Arial" w:cs="Arial"/>
                <w:sz w:val="20"/>
                <w:szCs w:val="20"/>
              </w:rPr>
            </w:pPr>
            <w:r w:rsidRPr="000B19AB">
              <w:rPr>
                <w:rFonts w:ascii="Arial" w:hAnsi="Arial" w:cs="Arial"/>
                <w:sz w:val="20"/>
                <w:szCs w:val="20"/>
              </w:rPr>
              <w:t>Nacimiento-1 año</w:t>
            </w:r>
          </w:p>
        </w:tc>
        <w:tc>
          <w:tcPr>
            <w:tcW w:w="1417" w:type="dxa"/>
            <w:vAlign w:val="center"/>
          </w:tcPr>
          <w:p w:rsidR="00065F16" w:rsidRPr="000B19AB" w:rsidRDefault="00065F16" w:rsidP="000B19AB">
            <w:pPr>
              <w:spacing w:line="276" w:lineRule="auto"/>
              <w:jc w:val="center"/>
              <w:rPr>
                <w:rFonts w:ascii="Arial" w:hAnsi="Arial" w:cs="Arial"/>
                <w:sz w:val="20"/>
                <w:szCs w:val="20"/>
              </w:rPr>
            </w:pPr>
            <w:r w:rsidRPr="000B19AB">
              <w:rPr>
                <w:rFonts w:ascii="Arial" w:hAnsi="Arial" w:cs="Arial"/>
                <w:sz w:val="20"/>
                <w:szCs w:val="20"/>
              </w:rPr>
              <w:t>1-4 años</w:t>
            </w:r>
          </w:p>
        </w:tc>
        <w:tc>
          <w:tcPr>
            <w:tcW w:w="1560" w:type="dxa"/>
            <w:vAlign w:val="center"/>
          </w:tcPr>
          <w:p w:rsidR="00065F16" w:rsidRPr="000B19AB" w:rsidRDefault="00065F16" w:rsidP="000B19AB">
            <w:pPr>
              <w:spacing w:line="276" w:lineRule="auto"/>
              <w:jc w:val="center"/>
              <w:rPr>
                <w:rFonts w:ascii="Arial" w:hAnsi="Arial" w:cs="Arial"/>
                <w:sz w:val="20"/>
                <w:szCs w:val="20"/>
              </w:rPr>
            </w:pPr>
            <w:r w:rsidRPr="000B19AB">
              <w:rPr>
                <w:rFonts w:ascii="Arial" w:hAnsi="Arial" w:cs="Arial"/>
                <w:sz w:val="20"/>
                <w:szCs w:val="20"/>
              </w:rPr>
              <w:t>5-9 años</w:t>
            </w:r>
          </w:p>
        </w:tc>
        <w:tc>
          <w:tcPr>
            <w:tcW w:w="1417" w:type="dxa"/>
            <w:vAlign w:val="center"/>
          </w:tcPr>
          <w:p w:rsidR="00065F16" w:rsidRPr="000B19AB" w:rsidRDefault="00065F16" w:rsidP="000B19AB">
            <w:pPr>
              <w:spacing w:line="276" w:lineRule="auto"/>
              <w:jc w:val="center"/>
              <w:rPr>
                <w:rFonts w:ascii="Arial" w:hAnsi="Arial" w:cs="Arial"/>
                <w:sz w:val="20"/>
                <w:szCs w:val="20"/>
              </w:rPr>
            </w:pPr>
            <w:r w:rsidRPr="000B19AB">
              <w:rPr>
                <w:rFonts w:ascii="Arial" w:hAnsi="Arial" w:cs="Arial"/>
                <w:sz w:val="20"/>
                <w:szCs w:val="20"/>
              </w:rPr>
              <w:t>10-14 años</w:t>
            </w:r>
          </w:p>
        </w:tc>
        <w:tc>
          <w:tcPr>
            <w:tcW w:w="1469" w:type="dxa"/>
            <w:vAlign w:val="center"/>
          </w:tcPr>
          <w:p w:rsidR="00065F16" w:rsidRPr="000B19AB" w:rsidRDefault="00065F16" w:rsidP="000B19AB">
            <w:pPr>
              <w:spacing w:line="276" w:lineRule="auto"/>
              <w:jc w:val="center"/>
              <w:rPr>
                <w:rFonts w:ascii="Arial" w:hAnsi="Arial" w:cs="Arial"/>
                <w:sz w:val="20"/>
                <w:szCs w:val="20"/>
              </w:rPr>
            </w:pPr>
            <w:r w:rsidRPr="000B19AB">
              <w:rPr>
                <w:rFonts w:ascii="Arial" w:hAnsi="Arial" w:cs="Arial"/>
                <w:sz w:val="20"/>
                <w:szCs w:val="20"/>
              </w:rPr>
              <w:t>15 años</w:t>
            </w:r>
          </w:p>
        </w:tc>
      </w:tr>
      <w:tr w:rsidR="000B19AB" w:rsidTr="00065F16">
        <w:trPr>
          <w:trHeight w:val="258"/>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Cabeza</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19</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17</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13</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11</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9</w:t>
            </w:r>
          </w:p>
        </w:tc>
      </w:tr>
      <w:tr w:rsidR="000B19AB" w:rsidTr="00065F16">
        <w:trPr>
          <w:trHeight w:val="236"/>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Cuello</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w:t>
            </w:r>
          </w:p>
        </w:tc>
      </w:tr>
      <w:tr w:rsidR="000B19AB" w:rsidTr="00065F16">
        <w:trPr>
          <w:trHeight w:val="258"/>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Tronco</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13</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13</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13</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13</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13</w:t>
            </w:r>
          </w:p>
        </w:tc>
      </w:tr>
      <w:tr w:rsidR="000B19AB" w:rsidTr="00065F16">
        <w:trPr>
          <w:trHeight w:val="236"/>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Glúteos</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r>
      <w:tr w:rsidR="000B19AB" w:rsidTr="00065F16">
        <w:trPr>
          <w:trHeight w:val="236"/>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Genitales</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1</w:t>
            </w:r>
          </w:p>
        </w:tc>
      </w:tr>
      <w:tr w:rsidR="000B19AB" w:rsidTr="00065F16">
        <w:trPr>
          <w:trHeight w:val="258"/>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Brazos</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4</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4</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4</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4</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4</w:t>
            </w:r>
          </w:p>
        </w:tc>
      </w:tr>
      <w:tr w:rsidR="000B19AB" w:rsidTr="00065F16">
        <w:trPr>
          <w:trHeight w:val="236"/>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Antebrazos</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w:t>
            </w:r>
          </w:p>
        </w:tc>
      </w:tr>
      <w:tr w:rsidR="000B19AB" w:rsidTr="00065F16">
        <w:trPr>
          <w:trHeight w:val="258"/>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Manos</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2.5</w:t>
            </w:r>
          </w:p>
        </w:tc>
      </w:tr>
      <w:tr w:rsidR="000B19AB" w:rsidTr="00065F16">
        <w:trPr>
          <w:trHeight w:val="236"/>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Muslos</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5.5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6.5</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8</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8.5</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9</w:t>
            </w:r>
          </w:p>
        </w:tc>
      </w:tr>
      <w:tr w:rsidR="000B19AB" w:rsidTr="00065F16">
        <w:trPr>
          <w:trHeight w:val="258"/>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Piernas</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5</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5.5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6</w:t>
            </w:r>
          </w:p>
        </w:tc>
        <w:tc>
          <w:tcPr>
            <w:tcW w:w="1469"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6.5</w:t>
            </w:r>
          </w:p>
        </w:tc>
      </w:tr>
      <w:tr w:rsidR="000B19AB" w:rsidTr="00065F16">
        <w:trPr>
          <w:trHeight w:val="225"/>
        </w:trPr>
        <w:tc>
          <w:tcPr>
            <w:tcW w:w="1225" w:type="dxa"/>
            <w:vAlign w:val="center"/>
          </w:tcPr>
          <w:p w:rsidR="000B19AB" w:rsidRPr="000B19AB" w:rsidRDefault="000B19AB" w:rsidP="000B19AB">
            <w:pPr>
              <w:spacing w:line="276" w:lineRule="auto"/>
              <w:rPr>
                <w:rFonts w:ascii="Arial" w:hAnsi="Arial" w:cs="Arial"/>
                <w:sz w:val="20"/>
                <w:szCs w:val="20"/>
              </w:rPr>
            </w:pPr>
            <w:r w:rsidRPr="000B19AB">
              <w:rPr>
                <w:rFonts w:ascii="Arial" w:hAnsi="Arial" w:cs="Arial"/>
                <w:sz w:val="20"/>
                <w:szCs w:val="20"/>
              </w:rPr>
              <w:t>Pies</w:t>
            </w:r>
          </w:p>
        </w:tc>
        <w:tc>
          <w:tcPr>
            <w:tcW w:w="1843"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3.5</w:t>
            </w:r>
          </w:p>
        </w:tc>
        <w:tc>
          <w:tcPr>
            <w:tcW w:w="1560"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3.5</w:t>
            </w:r>
          </w:p>
        </w:tc>
        <w:tc>
          <w:tcPr>
            <w:tcW w:w="1417" w:type="dxa"/>
          </w:tcPr>
          <w:p w:rsidR="000B19AB" w:rsidRPr="000B19AB" w:rsidRDefault="000B19AB" w:rsidP="000B19AB">
            <w:pPr>
              <w:spacing w:line="276" w:lineRule="auto"/>
              <w:jc w:val="center"/>
              <w:rPr>
                <w:rFonts w:ascii="Arial" w:hAnsi="Arial" w:cs="Arial"/>
                <w:sz w:val="20"/>
                <w:szCs w:val="20"/>
              </w:rPr>
            </w:pPr>
            <w:r w:rsidRPr="000B19AB">
              <w:rPr>
                <w:rFonts w:ascii="Arial" w:hAnsi="Arial" w:cs="Arial"/>
                <w:sz w:val="20"/>
                <w:szCs w:val="20"/>
              </w:rPr>
              <w:t>3.5</w:t>
            </w:r>
          </w:p>
        </w:tc>
        <w:tc>
          <w:tcPr>
            <w:tcW w:w="1469" w:type="dxa"/>
          </w:tcPr>
          <w:p w:rsidR="00065F16" w:rsidRPr="000B19AB" w:rsidRDefault="000B19AB" w:rsidP="00065F16">
            <w:pPr>
              <w:spacing w:line="276" w:lineRule="auto"/>
              <w:jc w:val="center"/>
              <w:rPr>
                <w:rFonts w:ascii="Arial" w:hAnsi="Arial" w:cs="Arial"/>
                <w:sz w:val="20"/>
                <w:szCs w:val="20"/>
              </w:rPr>
            </w:pPr>
            <w:r w:rsidRPr="000B19AB">
              <w:rPr>
                <w:rFonts w:ascii="Arial" w:hAnsi="Arial" w:cs="Arial"/>
                <w:sz w:val="20"/>
                <w:szCs w:val="20"/>
              </w:rPr>
              <w:t>3.5</w:t>
            </w:r>
          </w:p>
        </w:tc>
      </w:tr>
      <w:tr w:rsidR="00065F16" w:rsidTr="0075531A">
        <w:trPr>
          <w:trHeight w:val="135"/>
        </w:trPr>
        <w:tc>
          <w:tcPr>
            <w:tcW w:w="8931" w:type="dxa"/>
            <w:gridSpan w:val="6"/>
            <w:vAlign w:val="center"/>
          </w:tcPr>
          <w:p w:rsidR="00065F16" w:rsidRPr="00065F16" w:rsidRDefault="00065F16" w:rsidP="00065F16">
            <w:pPr>
              <w:spacing w:line="276" w:lineRule="auto"/>
              <w:jc w:val="both"/>
              <w:rPr>
                <w:rFonts w:ascii="Arial" w:hAnsi="Arial" w:cs="Arial"/>
                <w:sz w:val="16"/>
                <w:szCs w:val="16"/>
              </w:rPr>
            </w:pPr>
            <w:proofErr w:type="spellStart"/>
            <w:r w:rsidRPr="00065F16">
              <w:rPr>
                <w:rFonts w:ascii="Arial" w:hAnsi="Arial" w:cs="Arial"/>
                <w:sz w:val="16"/>
                <w:szCs w:val="16"/>
                <w:lang w:val="en-US"/>
              </w:rPr>
              <w:t>Fuente</w:t>
            </w:r>
            <w:proofErr w:type="spellEnd"/>
            <w:r w:rsidRPr="00065F16">
              <w:rPr>
                <w:rFonts w:ascii="Arial" w:hAnsi="Arial" w:cs="Arial"/>
                <w:sz w:val="16"/>
                <w:szCs w:val="16"/>
                <w:lang w:val="en-US"/>
              </w:rPr>
              <w:t xml:space="preserve">: </w:t>
            </w:r>
            <w:r w:rsidRPr="00065F16">
              <w:rPr>
                <w:rFonts w:ascii="Arial" w:hAnsi="Arial" w:cs="Arial"/>
                <w:color w:val="000000"/>
                <w:sz w:val="16"/>
                <w:szCs w:val="16"/>
                <w:lang w:val="en-US"/>
              </w:rPr>
              <w:t xml:space="preserve">Cox, S., </w:t>
            </w:r>
            <w:proofErr w:type="spellStart"/>
            <w:r w:rsidRPr="00065F16">
              <w:rPr>
                <w:rFonts w:ascii="Arial" w:hAnsi="Arial" w:cs="Arial"/>
                <w:color w:val="000000"/>
                <w:sz w:val="16"/>
                <w:szCs w:val="16"/>
                <w:lang w:val="en-US"/>
              </w:rPr>
              <w:t>Burahee</w:t>
            </w:r>
            <w:proofErr w:type="spellEnd"/>
            <w:r w:rsidRPr="00065F16">
              <w:rPr>
                <w:rFonts w:ascii="Arial" w:hAnsi="Arial" w:cs="Arial"/>
                <w:color w:val="000000"/>
                <w:sz w:val="16"/>
                <w:szCs w:val="16"/>
                <w:lang w:val="en-US"/>
              </w:rPr>
              <w:t xml:space="preserve">, A., </w:t>
            </w:r>
            <w:proofErr w:type="spellStart"/>
            <w:r w:rsidRPr="00065F16">
              <w:rPr>
                <w:rFonts w:ascii="Arial" w:hAnsi="Arial" w:cs="Arial"/>
                <w:color w:val="000000"/>
                <w:sz w:val="16"/>
                <w:szCs w:val="16"/>
                <w:lang w:val="en-US"/>
              </w:rPr>
              <w:t>Albertyn</w:t>
            </w:r>
            <w:proofErr w:type="spellEnd"/>
            <w:r w:rsidRPr="00065F16">
              <w:rPr>
                <w:rFonts w:ascii="Arial" w:hAnsi="Arial" w:cs="Arial"/>
                <w:color w:val="000000"/>
                <w:sz w:val="16"/>
                <w:szCs w:val="16"/>
                <w:lang w:val="en-US"/>
              </w:rPr>
              <w:t xml:space="preserve">, R., </w:t>
            </w:r>
            <w:proofErr w:type="spellStart"/>
            <w:r w:rsidRPr="00065F16">
              <w:rPr>
                <w:rFonts w:ascii="Arial" w:hAnsi="Arial" w:cs="Arial"/>
                <w:color w:val="000000"/>
                <w:sz w:val="16"/>
                <w:szCs w:val="16"/>
                <w:lang w:val="en-US"/>
              </w:rPr>
              <w:t>Makahabane</w:t>
            </w:r>
            <w:proofErr w:type="spellEnd"/>
            <w:r w:rsidRPr="00065F16">
              <w:rPr>
                <w:rFonts w:ascii="Arial" w:hAnsi="Arial" w:cs="Arial"/>
                <w:color w:val="000000"/>
                <w:sz w:val="16"/>
                <w:szCs w:val="16"/>
                <w:lang w:val="en-US"/>
              </w:rPr>
              <w:t xml:space="preserve">, J. and Rode, H. (2016). Parent knowledge on </w:t>
            </w:r>
            <w:proofErr w:type="spellStart"/>
            <w:r w:rsidRPr="00065F16">
              <w:rPr>
                <w:rFonts w:ascii="Arial" w:hAnsi="Arial" w:cs="Arial"/>
                <w:color w:val="000000"/>
                <w:sz w:val="16"/>
                <w:szCs w:val="16"/>
                <w:lang w:val="en-US"/>
              </w:rPr>
              <w:t>paediatric</w:t>
            </w:r>
            <w:proofErr w:type="spellEnd"/>
            <w:r w:rsidRPr="00065F16">
              <w:rPr>
                <w:rFonts w:ascii="Arial" w:hAnsi="Arial" w:cs="Arial"/>
                <w:color w:val="000000"/>
                <w:sz w:val="16"/>
                <w:szCs w:val="16"/>
                <w:lang w:val="en-US"/>
              </w:rPr>
              <w:t xml:space="preserve"> burn prevention related to the home environment. Burns, 42(8), pp.1854-1860</w:t>
            </w:r>
          </w:p>
        </w:tc>
      </w:tr>
    </w:tbl>
    <w:p w:rsidR="000B19AB" w:rsidRDefault="000B19AB" w:rsidP="009674D5">
      <w:pPr>
        <w:spacing w:after="0"/>
        <w:ind w:left="720"/>
        <w:jc w:val="both"/>
        <w:rPr>
          <w:rFonts w:ascii="Arial" w:hAnsi="Arial" w:cs="Arial"/>
          <w:lang w:val="es-ES_tradnl"/>
        </w:rPr>
        <w:sectPr w:rsidR="000B19AB" w:rsidSect="000B19AB">
          <w:type w:val="continuous"/>
          <w:pgSz w:w="12240" w:h="15840"/>
          <w:pgMar w:top="1417" w:right="1701" w:bottom="1417" w:left="1701" w:header="708" w:footer="708" w:gutter="0"/>
          <w:cols w:space="708"/>
          <w:docGrid w:linePitch="360"/>
        </w:sectPr>
      </w:pPr>
    </w:p>
    <w:p w:rsidR="000B19AB" w:rsidRPr="00065F16" w:rsidRDefault="000B19AB" w:rsidP="009674D5">
      <w:pPr>
        <w:spacing w:after="0"/>
        <w:ind w:left="720"/>
        <w:jc w:val="both"/>
        <w:rPr>
          <w:rFonts w:ascii="Arial" w:hAnsi="Arial" w:cs="Arial"/>
          <w:sz w:val="28"/>
          <w:lang w:val="es-ES_tradnl"/>
        </w:rPr>
      </w:pPr>
    </w:p>
    <w:p w:rsidR="00590215" w:rsidRDefault="00590215" w:rsidP="009674D5">
      <w:pPr>
        <w:spacing w:after="0"/>
        <w:ind w:left="720"/>
        <w:jc w:val="both"/>
        <w:rPr>
          <w:rFonts w:ascii="Arial" w:hAnsi="Arial" w:cs="Arial"/>
          <w:lang w:val="es-ES_tradnl"/>
        </w:rPr>
      </w:pPr>
      <w:proofErr w:type="gramStart"/>
      <w:r w:rsidRPr="00C42E04">
        <w:rPr>
          <w:rFonts w:ascii="Arial" w:hAnsi="Arial" w:cs="Arial"/>
          <w:lang w:val="es-ES_tradnl"/>
        </w:rPr>
        <w:t>adicionar</w:t>
      </w:r>
      <w:proofErr w:type="gramEnd"/>
      <w:r w:rsidRPr="00C42E04">
        <w:rPr>
          <w:rFonts w:ascii="Arial" w:hAnsi="Arial" w:cs="Arial"/>
          <w:lang w:val="es-ES_tradnl"/>
        </w:rPr>
        <w:t xml:space="preserve"> dextrosa al 5% en niños menores de 5 años o con u</w:t>
      </w:r>
      <w:r>
        <w:rPr>
          <w:rFonts w:ascii="Arial" w:hAnsi="Arial" w:cs="Arial"/>
          <w:lang w:val="es-ES_tradnl"/>
        </w:rPr>
        <w:t xml:space="preserve">n peso menor a 20 kg para prevenir el desarrollo de </w:t>
      </w:r>
      <w:r w:rsidRPr="00C42E04">
        <w:rPr>
          <w:rFonts w:ascii="Arial" w:hAnsi="Arial" w:cs="Arial"/>
          <w:lang w:val="es-ES_tradnl"/>
        </w:rPr>
        <w:t xml:space="preserve"> hipoglicemia</w:t>
      </w:r>
      <w:r>
        <w:rPr>
          <w:rFonts w:ascii="Arial" w:hAnsi="Arial" w:cs="Arial"/>
          <w:lang w:val="es-ES_tradnl"/>
        </w:rPr>
        <w:t>s (9,10,11</w:t>
      </w:r>
      <w:r w:rsidRPr="00C42E04">
        <w:rPr>
          <w:rFonts w:ascii="Arial" w:hAnsi="Arial" w:cs="Arial"/>
          <w:lang w:val="es-ES_tradnl"/>
        </w:rPr>
        <w:t>)</w:t>
      </w:r>
      <w:r>
        <w:rPr>
          <w:rFonts w:ascii="Arial" w:hAnsi="Arial" w:cs="Arial"/>
          <w:lang w:val="es-ES_tradnl"/>
        </w:rPr>
        <w:t xml:space="preserve">. </w:t>
      </w:r>
    </w:p>
    <w:p w:rsidR="00590215" w:rsidRPr="00835DEB" w:rsidRDefault="00590215" w:rsidP="009674D5">
      <w:pPr>
        <w:spacing w:after="0"/>
        <w:ind w:left="720"/>
        <w:jc w:val="both"/>
        <w:rPr>
          <w:rFonts w:ascii="Arial" w:hAnsi="Arial" w:cs="Arial"/>
          <w:lang w:val="es-ES_tradnl"/>
        </w:rPr>
      </w:pPr>
      <w:r w:rsidRPr="00C42E04">
        <w:rPr>
          <w:rFonts w:ascii="Arial" w:hAnsi="Arial" w:cs="Arial"/>
          <w:lang w:val="es-ES_tradnl"/>
        </w:rPr>
        <w:t>Se debe monitorizar</w:t>
      </w:r>
      <w:r>
        <w:rPr>
          <w:rFonts w:ascii="Arial" w:hAnsi="Arial" w:cs="Arial"/>
          <w:lang w:val="es-ES_tradnl"/>
        </w:rPr>
        <w:t xml:space="preserve"> la resucitación de soluciones intravenosas con</w:t>
      </w:r>
      <w:r w:rsidRPr="00C42E04">
        <w:rPr>
          <w:rFonts w:ascii="Arial" w:hAnsi="Arial" w:cs="Arial"/>
          <w:lang w:val="es-ES_tradnl"/>
        </w:rPr>
        <w:t xml:space="preserve"> la diuresis por medio de </w:t>
      </w:r>
      <w:r>
        <w:rPr>
          <w:rFonts w:ascii="Arial" w:hAnsi="Arial" w:cs="Arial"/>
          <w:lang w:val="es-ES_tradnl"/>
        </w:rPr>
        <w:t>colocación de catéter urinario (4</w:t>
      </w:r>
      <w:proofErr w:type="gramStart"/>
      <w:r>
        <w:rPr>
          <w:rFonts w:ascii="Arial" w:hAnsi="Arial" w:cs="Arial"/>
          <w:lang w:val="es-ES_tradnl"/>
        </w:rPr>
        <w:t>,9,10,11</w:t>
      </w:r>
      <w:proofErr w:type="gramEnd"/>
      <w:r w:rsidRPr="00C42E04">
        <w:rPr>
          <w:rFonts w:ascii="Arial" w:hAnsi="Arial" w:cs="Arial"/>
          <w:lang w:val="es-ES_tradnl"/>
        </w:rPr>
        <w:t>)</w:t>
      </w:r>
      <w:r>
        <w:rPr>
          <w:rFonts w:ascii="Arial" w:hAnsi="Arial" w:cs="Arial"/>
          <w:lang w:val="es-ES_tradnl"/>
        </w:rPr>
        <w:t>. El volumen urinario</w:t>
      </w:r>
      <w:r w:rsidRPr="00B83F0D">
        <w:rPr>
          <w:rFonts w:ascii="Arial" w:hAnsi="Arial" w:cs="Arial"/>
          <w:color w:val="FF0000"/>
          <w:lang w:val="es-ES_tradnl"/>
        </w:rPr>
        <w:t xml:space="preserve"> </w:t>
      </w:r>
      <w:r w:rsidRPr="00C42E04">
        <w:rPr>
          <w:rFonts w:ascii="Arial" w:hAnsi="Arial" w:cs="Arial"/>
          <w:lang w:val="es-ES_tradnl"/>
        </w:rPr>
        <w:t xml:space="preserve">debe ser de 1-2 </w:t>
      </w:r>
      <w:proofErr w:type="spellStart"/>
      <w:r w:rsidRPr="00C42E04">
        <w:rPr>
          <w:rFonts w:ascii="Arial" w:hAnsi="Arial" w:cs="Arial"/>
          <w:lang w:val="es-ES_tradnl"/>
        </w:rPr>
        <w:t>mL</w:t>
      </w:r>
      <w:proofErr w:type="spellEnd"/>
      <w:r w:rsidRPr="00C42E04">
        <w:rPr>
          <w:rFonts w:ascii="Arial" w:hAnsi="Arial" w:cs="Arial"/>
          <w:lang w:val="es-ES_tradnl"/>
        </w:rPr>
        <w:t>/kg/hora en niños menores de 30 kg y de 0.5-1mL/kg/hora en niños ma</w:t>
      </w:r>
      <w:r>
        <w:rPr>
          <w:rFonts w:ascii="Arial" w:hAnsi="Arial" w:cs="Arial"/>
          <w:lang w:val="es-ES_tradnl"/>
        </w:rPr>
        <w:t>yores de 30 kg (4</w:t>
      </w:r>
      <w:proofErr w:type="gramStart"/>
      <w:r>
        <w:rPr>
          <w:rFonts w:ascii="Arial" w:hAnsi="Arial" w:cs="Arial"/>
          <w:lang w:val="es-ES_tradnl"/>
        </w:rPr>
        <w:t>,9,10,11</w:t>
      </w:r>
      <w:proofErr w:type="gramEnd"/>
      <w:r w:rsidRPr="00C42E04">
        <w:rPr>
          <w:rFonts w:ascii="Arial" w:hAnsi="Arial" w:cs="Arial"/>
          <w:lang w:val="es-ES_tradnl"/>
        </w:rPr>
        <w:t>)</w:t>
      </w:r>
      <w:r>
        <w:rPr>
          <w:rFonts w:ascii="Arial" w:hAnsi="Arial" w:cs="Arial"/>
          <w:lang w:val="es-ES_tradnl"/>
        </w:rPr>
        <w:t xml:space="preserve">. </w:t>
      </w:r>
    </w:p>
    <w:p w:rsidR="00590215" w:rsidRPr="00065F16" w:rsidRDefault="00590215" w:rsidP="009674D5">
      <w:pPr>
        <w:spacing w:after="0"/>
        <w:jc w:val="both"/>
        <w:rPr>
          <w:rFonts w:ascii="Arial" w:hAnsi="Arial" w:cs="Arial"/>
          <w:sz w:val="32"/>
          <w:lang w:val="es-ES_tradnl"/>
        </w:rPr>
      </w:pPr>
    </w:p>
    <w:p w:rsidR="00590215" w:rsidRPr="009674D5" w:rsidRDefault="00590215" w:rsidP="009674D5">
      <w:pPr>
        <w:jc w:val="center"/>
        <w:rPr>
          <w:rFonts w:ascii="Arial" w:hAnsi="Arial" w:cs="Arial"/>
          <w:b/>
          <w:sz w:val="24"/>
          <w:lang w:val="es-ES_tradnl"/>
        </w:rPr>
      </w:pPr>
      <w:r w:rsidRPr="009674D5">
        <w:rPr>
          <w:rFonts w:ascii="Arial" w:hAnsi="Arial" w:cs="Arial"/>
          <w:b/>
          <w:sz w:val="24"/>
          <w:lang w:val="es-ES_tradnl"/>
        </w:rPr>
        <w:t>COMPLICACIONES</w:t>
      </w:r>
    </w:p>
    <w:p w:rsidR="00065F16" w:rsidRDefault="00590215" w:rsidP="00AA5206">
      <w:pPr>
        <w:spacing w:after="0"/>
        <w:jc w:val="both"/>
        <w:rPr>
          <w:rFonts w:ascii="Arial" w:hAnsi="Arial" w:cs="Arial"/>
        </w:rPr>
      </w:pPr>
      <w:r w:rsidRPr="00AA5206">
        <w:rPr>
          <w:rFonts w:ascii="Arial" w:hAnsi="Arial" w:cs="Arial"/>
        </w:rPr>
        <w:t xml:space="preserve">Las quemaduras en pacientes pediátricos pueden ocasionar varias complicaciones, dentro de las más destacadas están la lesión renal aguda y la infección (4,10). Generalmente las </w:t>
      </w:r>
    </w:p>
    <w:p w:rsidR="00065F16" w:rsidRPr="00065F16" w:rsidRDefault="00065F16" w:rsidP="00AA5206">
      <w:pPr>
        <w:spacing w:after="0"/>
        <w:jc w:val="both"/>
        <w:rPr>
          <w:rFonts w:ascii="Arial" w:hAnsi="Arial" w:cs="Arial"/>
          <w:sz w:val="24"/>
        </w:rPr>
      </w:pPr>
    </w:p>
    <w:p w:rsidR="00590215" w:rsidRPr="00AA5206" w:rsidRDefault="00590215" w:rsidP="00AA5206">
      <w:pPr>
        <w:spacing w:after="0"/>
        <w:jc w:val="both"/>
        <w:rPr>
          <w:rFonts w:ascii="Arial" w:hAnsi="Arial" w:cs="Arial"/>
        </w:rPr>
      </w:pPr>
      <w:proofErr w:type="gramStart"/>
      <w:r w:rsidRPr="00AA5206">
        <w:rPr>
          <w:rFonts w:ascii="Arial" w:hAnsi="Arial" w:cs="Arial"/>
        </w:rPr>
        <w:t>quemaduras</w:t>
      </w:r>
      <w:proofErr w:type="gramEnd"/>
      <w:r w:rsidRPr="00AA5206">
        <w:rPr>
          <w:rFonts w:ascii="Arial" w:hAnsi="Arial" w:cs="Arial"/>
        </w:rPr>
        <w:t xml:space="preserve"> se van colonizando por organismos </w:t>
      </w:r>
      <w:proofErr w:type="spellStart"/>
      <w:r w:rsidRPr="00AA5206">
        <w:rPr>
          <w:rFonts w:ascii="Arial" w:hAnsi="Arial" w:cs="Arial"/>
        </w:rPr>
        <w:t>gram</w:t>
      </w:r>
      <w:proofErr w:type="spellEnd"/>
      <w:r w:rsidRPr="00AA5206">
        <w:rPr>
          <w:rFonts w:ascii="Arial" w:hAnsi="Arial" w:cs="Arial"/>
        </w:rPr>
        <w:t xml:space="preserve"> positivos dentro de las primeras 48 horas y éstas son reemplazadas por organismos </w:t>
      </w:r>
      <w:proofErr w:type="spellStart"/>
      <w:r w:rsidRPr="00AA5206">
        <w:rPr>
          <w:rFonts w:ascii="Arial" w:hAnsi="Arial" w:cs="Arial"/>
        </w:rPr>
        <w:t>gram</w:t>
      </w:r>
      <w:proofErr w:type="spellEnd"/>
      <w:r w:rsidRPr="00AA5206">
        <w:rPr>
          <w:rFonts w:ascii="Arial" w:hAnsi="Arial" w:cs="Arial"/>
        </w:rPr>
        <w:t xml:space="preserve"> negativos a la semana de evolución (1,4,14). En las primeras 48 a 72 horas después de una quemadura es de esperarse cierto incremento en la temperatura corporal; sin embargo, luego de este tiempo se debe sospechar de infección, por lo cual los antibióticos profilácticos no están recomendados a menos de que se encuentre el factor desencadenante infeccioso (4</w:t>
      </w:r>
      <w:proofErr w:type="gramStart"/>
      <w:r w:rsidRPr="00AA5206">
        <w:rPr>
          <w:rFonts w:ascii="Arial" w:hAnsi="Arial" w:cs="Arial"/>
        </w:rPr>
        <w:t>,10,14</w:t>
      </w:r>
      <w:proofErr w:type="gramEnd"/>
      <w:r w:rsidRPr="00AA5206">
        <w:rPr>
          <w:rFonts w:ascii="Arial" w:hAnsi="Arial" w:cs="Arial"/>
        </w:rPr>
        <w:t xml:space="preserve">). El hecho de que una herida esté colonizada, no implica que esté infectada, por lo cual se recetarán antibióticos solo en caso de infección demostrada acompañada de síntomas y signos </w:t>
      </w:r>
      <w:r w:rsidR="00AA5206" w:rsidRPr="00AA5206">
        <w:rPr>
          <w:rFonts w:ascii="Arial" w:hAnsi="Arial" w:cs="Arial"/>
        </w:rPr>
        <w:t xml:space="preserve">del paciente como dolor, edema, </w:t>
      </w:r>
      <w:r w:rsidRPr="00AA5206">
        <w:rPr>
          <w:rFonts w:ascii="Arial" w:hAnsi="Arial" w:cs="Arial"/>
        </w:rPr>
        <w:t>nuevo eritema en la herida o apariencia purulenta (1</w:t>
      </w:r>
      <w:proofErr w:type="gramStart"/>
      <w:r w:rsidRPr="00AA5206">
        <w:rPr>
          <w:rFonts w:ascii="Arial" w:hAnsi="Arial" w:cs="Arial"/>
        </w:rPr>
        <w:t>,4,10,14</w:t>
      </w:r>
      <w:proofErr w:type="gramEnd"/>
      <w:r w:rsidRPr="00AA5206">
        <w:rPr>
          <w:rFonts w:ascii="Arial" w:hAnsi="Arial" w:cs="Arial"/>
        </w:rPr>
        <w:t>).</w:t>
      </w:r>
      <w:r w:rsidR="00065F16">
        <w:rPr>
          <w:rFonts w:ascii="Arial" w:hAnsi="Arial" w:cs="Arial"/>
        </w:rPr>
        <w:t xml:space="preserve"> </w:t>
      </w:r>
      <w:r w:rsidRPr="00AA5206">
        <w:rPr>
          <w:rFonts w:ascii="Arial" w:hAnsi="Arial" w:cs="Arial"/>
        </w:rPr>
        <w:t xml:space="preserve">La vacuna contra el tétano debe ser administrada en todo </w:t>
      </w:r>
      <w:r w:rsidRPr="00AA5206">
        <w:rPr>
          <w:rFonts w:ascii="Arial" w:hAnsi="Arial" w:cs="Arial"/>
        </w:rPr>
        <w:lastRenderedPageBreak/>
        <w:t>niño con quemaduras mayores de primer grado que no hayan recibido la vacuna en más de 5 años (9,10). Si el paciente nunca ha recibido la vacuna se le debe administrar también la inmunoglobulina tetánica (9,10).</w:t>
      </w:r>
    </w:p>
    <w:p w:rsidR="00590215" w:rsidRPr="00AA5206" w:rsidRDefault="00590215" w:rsidP="00AA5206">
      <w:pPr>
        <w:spacing w:after="0"/>
        <w:jc w:val="both"/>
        <w:rPr>
          <w:rFonts w:ascii="Arial" w:hAnsi="Arial" w:cs="Arial"/>
        </w:rPr>
      </w:pPr>
      <w:r w:rsidRPr="00AA5206">
        <w:rPr>
          <w:rFonts w:ascii="Arial" w:hAnsi="Arial" w:cs="Arial"/>
        </w:rPr>
        <w:t xml:space="preserve">Otra de las complicaciones demostradas en el paciente pediátrico con quemaduras es la diarrea por el organismo </w:t>
      </w:r>
      <w:proofErr w:type="spellStart"/>
      <w:r w:rsidRPr="00AA5206">
        <w:rPr>
          <w:rFonts w:ascii="Arial" w:hAnsi="Arial" w:cs="Arial"/>
        </w:rPr>
        <w:t>Clostridium</w:t>
      </w:r>
      <w:proofErr w:type="spellEnd"/>
      <w:r w:rsidRPr="00AA5206">
        <w:rPr>
          <w:rFonts w:ascii="Arial" w:hAnsi="Arial" w:cs="Arial"/>
        </w:rPr>
        <w:t xml:space="preserve"> </w:t>
      </w:r>
      <w:proofErr w:type="spellStart"/>
      <w:r w:rsidRPr="00AA5206">
        <w:rPr>
          <w:rFonts w:ascii="Arial" w:hAnsi="Arial" w:cs="Arial"/>
        </w:rPr>
        <w:t>difficile</w:t>
      </w:r>
      <w:proofErr w:type="spellEnd"/>
      <w:r w:rsidRPr="00AA5206">
        <w:rPr>
          <w:rFonts w:ascii="Arial" w:hAnsi="Arial" w:cs="Arial"/>
        </w:rPr>
        <w:t xml:space="preserve"> (1,5). Esta infección se suele dar en pacientes con hospitalización prolongada, con uso de múltiples antibióticos, críticamente enfermos, pacientes quemados y pacientes que utilizan inhibidor de bomba de protones. Sus manifestaciones pueden ir desde diarrea hasta colitis </w:t>
      </w:r>
      <w:proofErr w:type="spellStart"/>
      <w:r w:rsidRPr="00AA5206">
        <w:rPr>
          <w:rFonts w:ascii="Arial" w:hAnsi="Arial" w:cs="Arial"/>
        </w:rPr>
        <w:t>pseudomembranosa</w:t>
      </w:r>
      <w:proofErr w:type="spellEnd"/>
      <w:r w:rsidRPr="00AA5206">
        <w:rPr>
          <w:rFonts w:ascii="Arial" w:hAnsi="Arial" w:cs="Arial"/>
        </w:rPr>
        <w:t xml:space="preserve"> (1,15).</w:t>
      </w:r>
    </w:p>
    <w:p w:rsidR="00590215" w:rsidRPr="00AA5206" w:rsidRDefault="00590215" w:rsidP="00AA5206">
      <w:pPr>
        <w:spacing w:after="0"/>
        <w:jc w:val="both"/>
        <w:rPr>
          <w:rFonts w:ascii="Arial" w:hAnsi="Arial" w:cs="Arial"/>
        </w:rPr>
      </w:pPr>
      <w:r w:rsidRPr="00AA5206">
        <w:rPr>
          <w:rFonts w:ascii="Arial" w:hAnsi="Arial" w:cs="Arial"/>
        </w:rPr>
        <w:t xml:space="preserve">El síndrome de shock tóxico es una de las complicaciones menos frecuentes en quemaduras pero con una alta mortalidad (1,4). Para establecer su diagnóstico se requiere de la presencia de 4 criterios mayores que deben de estar presentes y al menos 3 criterios menores (1,4). Los criterios mayores son: fiebre mayor a 38.9 grados centígrados, </w:t>
      </w:r>
      <w:proofErr w:type="spellStart"/>
      <w:r w:rsidRPr="00AA5206">
        <w:rPr>
          <w:rFonts w:ascii="Arial" w:hAnsi="Arial" w:cs="Arial"/>
        </w:rPr>
        <w:t>rash</w:t>
      </w:r>
      <w:proofErr w:type="spellEnd"/>
      <w:r w:rsidRPr="00AA5206">
        <w:rPr>
          <w:rFonts w:ascii="Arial" w:hAnsi="Arial" w:cs="Arial"/>
        </w:rPr>
        <w:t xml:space="preserve"> macular difuso, descamación después de 1 o 2 semanas e hipotensión (1,4). Dentro de los criterios menores se encuentran: vómitos, diarrea, mialgia, </w:t>
      </w:r>
      <w:proofErr w:type="spellStart"/>
      <w:r w:rsidRPr="00AA5206">
        <w:rPr>
          <w:rFonts w:ascii="Arial" w:hAnsi="Arial" w:cs="Arial"/>
        </w:rPr>
        <w:t>creatinin-fosfoquinasa</w:t>
      </w:r>
      <w:proofErr w:type="spellEnd"/>
      <w:r w:rsidRPr="00AA5206">
        <w:rPr>
          <w:rFonts w:ascii="Arial" w:hAnsi="Arial" w:cs="Arial"/>
        </w:rPr>
        <w:t xml:space="preserve"> mayor del doble de su límite superior, urea o creatinina duplicados en su valor, aumento de pruebas de función hepática,</w:t>
      </w:r>
      <w:r w:rsidR="009674D5" w:rsidRPr="00AA5206">
        <w:rPr>
          <w:rFonts w:ascii="Arial" w:hAnsi="Arial" w:cs="Arial"/>
        </w:rPr>
        <w:t xml:space="preserve"> </w:t>
      </w:r>
      <w:r w:rsidRPr="00AA5206">
        <w:rPr>
          <w:rFonts w:ascii="Arial" w:hAnsi="Arial" w:cs="Arial"/>
        </w:rPr>
        <w:t>plaquetas menores a 100 mil o desorientación/confusión (1,4).</w:t>
      </w:r>
    </w:p>
    <w:p w:rsidR="00AA5206" w:rsidRPr="00AA5206" w:rsidRDefault="00AA5206" w:rsidP="009674D5">
      <w:pPr>
        <w:spacing w:after="0"/>
        <w:jc w:val="both"/>
        <w:rPr>
          <w:rFonts w:ascii="Arial" w:hAnsi="Arial" w:cs="Arial"/>
          <w:sz w:val="28"/>
          <w:lang w:val="es-ES_tradnl"/>
        </w:rPr>
      </w:pPr>
    </w:p>
    <w:p w:rsidR="00590215" w:rsidRPr="009674D5" w:rsidRDefault="00590215" w:rsidP="009674D5">
      <w:pPr>
        <w:jc w:val="center"/>
        <w:rPr>
          <w:rFonts w:ascii="Arial" w:hAnsi="Arial" w:cs="Arial"/>
          <w:b/>
          <w:sz w:val="24"/>
          <w:lang w:val="es-ES_tradnl"/>
        </w:rPr>
      </w:pPr>
      <w:r w:rsidRPr="009674D5">
        <w:rPr>
          <w:rFonts w:ascii="Arial" w:hAnsi="Arial" w:cs="Arial"/>
          <w:b/>
          <w:sz w:val="24"/>
          <w:lang w:val="es-ES_tradnl"/>
        </w:rPr>
        <w:t>CONCLUSIÓN</w:t>
      </w:r>
    </w:p>
    <w:p w:rsidR="00590215" w:rsidRDefault="00590215" w:rsidP="009674D5">
      <w:pPr>
        <w:widowControl w:val="0"/>
        <w:autoSpaceDE w:val="0"/>
        <w:autoSpaceDN w:val="0"/>
        <w:adjustRightInd w:val="0"/>
        <w:spacing w:after="0" w:line="280" w:lineRule="atLeast"/>
        <w:jc w:val="both"/>
        <w:rPr>
          <w:rFonts w:ascii="Arial" w:hAnsi="Arial" w:cs="Arial"/>
          <w:lang w:val="es-ES_tradnl"/>
        </w:rPr>
      </w:pPr>
      <w:r w:rsidRPr="00C42E04">
        <w:rPr>
          <w:rFonts w:ascii="Arial" w:hAnsi="Arial" w:cs="Arial"/>
          <w:lang w:val="es-ES_tradnl"/>
        </w:rPr>
        <w:t>Las quemaduras continúan siendo una gran causa de morbilidad y mort</w:t>
      </w:r>
      <w:r>
        <w:rPr>
          <w:rFonts w:ascii="Arial" w:hAnsi="Arial" w:cs="Arial"/>
          <w:lang w:val="es-ES_tradnl"/>
        </w:rPr>
        <w:t>alidad en pacientes pediátricos por más que se trate de una fuente de trauma prevenible.</w:t>
      </w:r>
      <w:r w:rsidRPr="00C42E04">
        <w:rPr>
          <w:rFonts w:ascii="Arial" w:hAnsi="Arial" w:cs="Arial"/>
          <w:lang w:val="es-ES_tradnl"/>
        </w:rPr>
        <w:t xml:space="preserve"> </w:t>
      </w:r>
      <w:r w:rsidRPr="00C42E04">
        <w:rPr>
          <w:rFonts w:ascii="Arial" w:hAnsi="Arial" w:cs="Arial"/>
          <w:lang w:val="es-ES_tradnl"/>
        </w:rPr>
        <w:lastRenderedPageBreak/>
        <w:t>Un adecuado manejo</w:t>
      </w:r>
      <w:r>
        <w:rPr>
          <w:rFonts w:ascii="Arial" w:hAnsi="Arial" w:cs="Arial"/>
          <w:lang w:val="es-ES_tradnl"/>
        </w:rPr>
        <w:t xml:space="preserve"> </w:t>
      </w:r>
      <w:r w:rsidRPr="00C42E04">
        <w:rPr>
          <w:rFonts w:ascii="Arial" w:hAnsi="Arial" w:cs="Arial"/>
          <w:lang w:val="es-ES_tradnl"/>
        </w:rPr>
        <w:t>de quemaduras</w:t>
      </w:r>
      <w:r>
        <w:rPr>
          <w:rFonts w:ascii="Arial" w:hAnsi="Arial" w:cs="Arial"/>
          <w:lang w:val="es-ES_tradnl"/>
        </w:rPr>
        <w:t xml:space="preserve"> en la población pediátrica</w:t>
      </w:r>
      <w:r w:rsidRPr="00C42E04">
        <w:rPr>
          <w:rFonts w:ascii="Arial" w:hAnsi="Arial" w:cs="Arial"/>
          <w:lang w:val="es-ES_tradnl"/>
        </w:rPr>
        <w:t xml:space="preserve"> </w:t>
      </w:r>
      <w:r>
        <w:rPr>
          <w:rFonts w:ascii="Arial" w:hAnsi="Arial" w:cs="Arial"/>
          <w:lang w:val="es-ES_tradnl"/>
        </w:rPr>
        <w:t xml:space="preserve">no solo </w:t>
      </w:r>
      <w:r w:rsidRPr="00C42E04">
        <w:rPr>
          <w:rFonts w:ascii="Arial" w:hAnsi="Arial" w:cs="Arial"/>
          <w:lang w:val="es-ES_tradnl"/>
        </w:rPr>
        <w:t>disminuye la mortalidad asociada</w:t>
      </w:r>
      <w:r>
        <w:rPr>
          <w:rFonts w:ascii="Arial" w:hAnsi="Arial" w:cs="Arial"/>
          <w:lang w:val="es-ES_tradnl"/>
        </w:rPr>
        <w:t xml:space="preserve">, </w:t>
      </w:r>
      <w:r w:rsidRPr="00C42E04">
        <w:rPr>
          <w:rFonts w:ascii="Arial" w:hAnsi="Arial" w:cs="Arial"/>
          <w:lang w:val="es-ES_tradnl"/>
        </w:rPr>
        <w:t xml:space="preserve">sino también la menor </w:t>
      </w:r>
      <w:r w:rsidRPr="00BF29AB">
        <w:rPr>
          <w:rFonts w:ascii="Arial" w:hAnsi="Arial" w:cs="Arial"/>
          <w:lang w:val="es-ES_tradnl"/>
        </w:rPr>
        <w:t xml:space="preserve">cantidad de </w:t>
      </w:r>
      <w:r w:rsidRPr="00647D32">
        <w:rPr>
          <w:rFonts w:ascii="Arial" w:hAnsi="Arial" w:cs="Arial"/>
          <w:lang w:val="es-ES_tradnl"/>
        </w:rPr>
        <w:t xml:space="preserve">efectos secundarios a raíz de esta lesión, como el daño físico, emocional o funcional de ésta. </w:t>
      </w:r>
      <w:r>
        <w:rPr>
          <w:rFonts w:ascii="Arial" w:hAnsi="Arial" w:cs="Arial"/>
          <w:lang w:val="es-ES_tradnl"/>
        </w:rPr>
        <w:t xml:space="preserve">Concluyendo sobre el manejo de quemaduras, siempre se debe mantener la vía aérea permeable, quitar toda ropa u objetos que aumenten el área de lesión, colocar la herida bajo agua a temperatura ambiente por un mínimo de 20 minutos o hasta que el área sea indolora, cubrir con una sábana para prevenir hipotermia, verificar el mecanismo de lesión y limpiar o </w:t>
      </w:r>
      <w:proofErr w:type="spellStart"/>
      <w:r>
        <w:rPr>
          <w:rFonts w:ascii="Arial" w:hAnsi="Arial" w:cs="Arial"/>
          <w:lang w:val="es-ES_tradnl"/>
        </w:rPr>
        <w:t>debridar</w:t>
      </w:r>
      <w:proofErr w:type="spellEnd"/>
      <w:r>
        <w:rPr>
          <w:rFonts w:ascii="Arial" w:hAnsi="Arial" w:cs="Arial"/>
          <w:lang w:val="es-ES_tradnl"/>
        </w:rPr>
        <w:t xml:space="preserve"> la herida para poder clasificarla de forma adecuada. La</w:t>
      </w:r>
      <w:r w:rsidRPr="00C42E04">
        <w:rPr>
          <w:rFonts w:ascii="Arial" w:hAnsi="Arial" w:cs="Arial"/>
          <w:lang w:val="es-ES_tradnl"/>
        </w:rPr>
        <w:t xml:space="preserve"> mayoría de quemaduras son</w:t>
      </w:r>
      <w:r>
        <w:rPr>
          <w:rFonts w:ascii="Arial" w:hAnsi="Arial" w:cs="Arial"/>
          <w:lang w:val="es-ES_tradnl"/>
        </w:rPr>
        <w:t xml:space="preserve"> causadas por escaldaduras y son de primer grado, por lo que </w:t>
      </w:r>
      <w:r w:rsidRPr="00C42E04">
        <w:rPr>
          <w:rFonts w:ascii="Arial" w:hAnsi="Arial" w:cs="Arial"/>
          <w:lang w:val="es-ES_tradnl"/>
        </w:rPr>
        <w:t>pueden ser</w:t>
      </w:r>
      <w:r>
        <w:rPr>
          <w:rFonts w:ascii="Arial" w:hAnsi="Arial" w:cs="Arial"/>
          <w:lang w:val="es-ES_tradnl"/>
        </w:rPr>
        <w:t xml:space="preserve"> manejadas de forma ambulatoria.</w:t>
      </w:r>
      <w:r w:rsidRPr="00C42E04">
        <w:rPr>
          <w:rFonts w:ascii="Arial" w:hAnsi="Arial" w:cs="Arial"/>
          <w:lang w:val="es-ES_tradnl"/>
        </w:rPr>
        <w:t xml:space="preserve"> Niños con quemaduras de segundo o tercer grado requieren de u</w:t>
      </w:r>
      <w:r>
        <w:rPr>
          <w:rFonts w:ascii="Arial" w:hAnsi="Arial" w:cs="Arial"/>
          <w:lang w:val="es-ES_tradnl"/>
        </w:rPr>
        <w:t>na historia clínica certera,</w:t>
      </w:r>
      <w:r w:rsidRPr="00C42E04">
        <w:rPr>
          <w:rFonts w:ascii="Arial" w:hAnsi="Arial" w:cs="Arial"/>
          <w:lang w:val="es-ES_tradnl"/>
        </w:rPr>
        <w:t xml:space="preserve"> identificación del mecanismo de lesión y cuantificación exacta de</w:t>
      </w:r>
      <w:r>
        <w:rPr>
          <w:rFonts w:ascii="Arial" w:hAnsi="Arial" w:cs="Arial"/>
          <w:lang w:val="es-ES_tradnl"/>
        </w:rPr>
        <w:t>l</w:t>
      </w:r>
      <w:r w:rsidRPr="00C42E04">
        <w:rPr>
          <w:rFonts w:ascii="Arial" w:hAnsi="Arial" w:cs="Arial"/>
          <w:lang w:val="es-ES_tradnl"/>
        </w:rPr>
        <w:t xml:space="preserve"> área de superficie corporal tota</w:t>
      </w:r>
      <w:r>
        <w:rPr>
          <w:rFonts w:ascii="Arial" w:hAnsi="Arial" w:cs="Arial"/>
          <w:lang w:val="es-ES_tradnl"/>
        </w:rPr>
        <w:t>l afectado utilizando las fórmulas</w:t>
      </w:r>
      <w:r w:rsidRPr="00C42E04">
        <w:rPr>
          <w:rFonts w:ascii="Arial" w:hAnsi="Arial" w:cs="Arial"/>
          <w:lang w:val="es-ES_tradnl"/>
        </w:rPr>
        <w:t xml:space="preserve"> correspondientes para inic</w:t>
      </w:r>
      <w:r>
        <w:rPr>
          <w:rFonts w:ascii="Arial" w:hAnsi="Arial" w:cs="Arial"/>
          <w:lang w:val="es-ES_tradnl"/>
        </w:rPr>
        <w:t xml:space="preserve">iar resucitación con fluidos intravenosos y ser transferidos a un centro hospitalario cercano en caso de ser necesario. El mejor método de cuantificar el área de superficie corporal total afectado es mediante la tabla de </w:t>
      </w:r>
      <w:proofErr w:type="spellStart"/>
      <w:r>
        <w:rPr>
          <w:rFonts w:ascii="Arial" w:hAnsi="Arial" w:cs="Arial"/>
          <w:lang w:val="es-ES_tradnl"/>
        </w:rPr>
        <w:t>Lund</w:t>
      </w:r>
      <w:proofErr w:type="spellEnd"/>
      <w:r>
        <w:rPr>
          <w:rFonts w:ascii="Arial" w:hAnsi="Arial" w:cs="Arial"/>
          <w:lang w:val="es-ES_tradnl"/>
        </w:rPr>
        <w:t xml:space="preserve"> y </w:t>
      </w:r>
      <w:proofErr w:type="spellStart"/>
      <w:r>
        <w:rPr>
          <w:rFonts w:ascii="Arial" w:hAnsi="Arial" w:cs="Arial"/>
          <w:lang w:val="es-ES_tradnl"/>
        </w:rPr>
        <w:t>Browder</w:t>
      </w:r>
      <w:proofErr w:type="spellEnd"/>
      <w:r>
        <w:rPr>
          <w:rFonts w:ascii="Arial" w:hAnsi="Arial" w:cs="Arial"/>
          <w:lang w:val="es-ES_tradnl"/>
        </w:rPr>
        <w:t xml:space="preserve"> ya que es el único de estos que se modifica según la edad del paciente.</w:t>
      </w:r>
      <w:r w:rsidRPr="00C42E04">
        <w:rPr>
          <w:rFonts w:ascii="Arial" w:hAnsi="Arial" w:cs="Arial"/>
          <w:lang w:val="es-ES_tradnl"/>
        </w:rPr>
        <w:t xml:space="preserve"> </w:t>
      </w:r>
      <w:r>
        <w:rPr>
          <w:rFonts w:ascii="Arial" w:hAnsi="Arial" w:cs="Arial"/>
          <w:lang w:val="es-ES_tradnl"/>
        </w:rPr>
        <w:t>Quemaduras con un grado de superficie corporal total afectado mayor a 10% o con quemaduras de segundo grado deben tener un abordaje multidisciplinario con uso de soluciones isotónicas intravenosas, utilización de apósitos, referencia a cirugía para utilización de injertos, interconsulta a psicología e inclusive terapia física.</w:t>
      </w:r>
    </w:p>
    <w:p w:rsidR="00985364" w:rsidRPr="00590215" w:rsidRDefault="00590215" w:rsidP="009674D5">
      <w:pPr>
        <w:widowControl w:val="0"/>
        <w:autoSpaceDE w:val="0"/>
        <w:autoSpaceDN w:val="0"/>
        <w:adjustRightInd w:val="0"/>
        <w:spacing w:after="0" w:line="280" w:lineRule="atLeast"/>
        <w:jc w:val="both"/>
        <w:rPr>
          <w:rFonts w:ascii="Arial" w:hAnsi="Arial" w:cs="Arial"/>
          <w:lang w:val="es-ES_tradnl"/>
        </w:rPr>
        <w:sectPr w:rsidR="00985364" w:rsidRPr="00590215" w:rsidSect="00274687">
          <w:type w:val="continuous"/>
          <w:pgSz w:w="12240" w:h="15840"/>
          <w:pgMar w:top="1417" w:right="1701" w:bottom="1417" w:left="1701" w:header="708" w:footer="708" w:gutter="0"/>
          <w:cols w:num="2" w:space="708"/>
          <w:docGrid w:linePitch="360"/>
        </w:sectPr>
      </w:pPr>
      <w:r>
        <w:rPr>
          <w:rFonts w:ascii="Arial" w:hAnsi="Arial" w:cs="Arial"/>
          <w:lang w:val="es-ES_tradnl"/>
        </w:rPr>
        <w:t xml:space="preserve">La prevención es fundamental, sobre todo a nivel de hogares donde se dan la </w:t>
      </w:r>
      <w:r>
        <w:rPr>
          <w:rFonts w:ascii="Arial" w:hAnsi="Arial" w:cs="Arial"/>
          <w:lang w:val="es-ES_tradnl"/>
        </w:rPr>
        <w:lastRenderedPageBreak/>
        <w:t xml:space="preserve">mayoría de eventos, por lo que es crucial que los padres de familia y cuidadores implementen medidas de seguridad. Dentro de estas medidas se encuentran: no exponer a niños a situaciones de riesgo como a cocinas o áreas donde se trabaja con fuego o líquidos hirviendo, explicarle a los niños la importancia de no acercarse a estufas o cocinas calientes, no dejar nunca un electrodoméstico con capacidad de </w:t>
      </w:r>
      <w:r>
        <w:rPr>
          <w:rFonts w:ascii="Arial" w:hAnsi="Arial" w:cs="Arial"/>
          <w:lang w:val="es-ES_tradnl"/>
        </w:rPr>
        <w:lastRenderedPageBreak/>
        <w:t xml:space="preserve">quemadura sin supervisión y tratar de no utilizar fuegos artificiales cerca de menores de edad. </w:t>
      </w:r>
      <w:r w:rsidRPr="00C42E04">
        <w:rPr>
          <w:rFonts w:ascii="Arial" w:hAnsi="Arial" w:cs="Arial"/>
          <w:lang w:val="es-ES_tradnl"/>
        </w:rPr>
        <w:t>El abordaje debe ser multidisciplinario ya que esto afectará de forma ex</w:t>
      </w:r>
      <w:r>
        <w:rPr>
          <w:rFonts w:ascii="Arial" w:hAnsi="Arial" w:cs="Arial"/>
          <w:lang w:val="es-ES_tradnl"/>
        </w:rPr>
        <w:t>ponencial la calidad y expectativa</w:t>
      </w:r>
      <w:r w:rsidRPr="00C42E04">
        <w:rPr>
          <w:rFonts w:ascii="Arial" w:hAnsi="Arial" w:cs="Arial"/>
          <w:lang w:val="es-ES_tradnl"/>
        </w:rPr>
        <w:t xml:space="preserve"> de vida d</w:t>
      </w:r>
      <w:r>
        <w:rPr>
          <w:rFonts w:ascii="Arial" w:hAnsi="Arial" w:cs="Arial"/>
          <w:lang w:val="es-ES_tradnl"/>
        </w:rPr>
        <w:t>el niño.</w:t>
      </w:r>
      <w:r w:rsidRPr="00C42E04">
        <w:rPr>
          <w:rFonts w:ascii="Arial" w:hAnsi="Arial" w:cs="Arial"/>
          <w:lang w:val="es-ES_tradnl"/>
        </w:rPr>
        <w:t xml:space="preserve"> </w:t>
      </w:r>
      <w:r>
        <w:rPr>
          <w:rFonts w:ascii="Arial" w:hAnsi="Arial" w:cs="Arial"/>
          <w:lang w:val="es-ES_tradnl"/>
        </w:rPr>
        <w:t xml:space="preserve"> </w:t>
      </w:r>
      <w:r w:rsidRPr="00647D32">
        <w:rPr>
          <w:rFonts w:ascii="Arial" w:hAnsi="Arial" w:cs="Arial"/>
          <w:lang w:val="es-ES_tradnl"/>
        </w:rPr>
        <w:t>Se debe de enfatizar en la educación a la población para lograr reducir la cantidad de casos anuales, mejorando los esfuerzos de promoción de la salud enfo</w:t>
      </w:r>
      <w:r>
        <w:rPr>
          <w:rFonts w:ascii="Arial" w:hAnsi="Arial" w:cs="Arial"/>
          <w:lang w:val="es-ES_tradnl"/>
        </w:rPr>
        <w:t>cados en quemaduras en el hogar</w:t>
      </w:r>
      <w:r w:rsidR="00166ED8" w:rsidRPr="003645B8">
        <w:rPr>
          <w:rFonts w:ascii="Arial" w:eastAsia="Arial" w:hAnsi="Arial" w:cs="Arial"/>
        </w:rPr>
        <w:t>.</w:t>
      </w:r>
    </w:p>
    <w:p w:rsidR="00690D05" w:rsidRPr="00065F16" w:rsidRDefault="00690D05" w:rsidP="00985364">
      <w:pPr>
        <w:spacing w:before="30" w:after="0"/>
        <w:jc w:val="both"/>
        <w:rPr>
          <w:rFonts w:ascii="Arial" w:hAnsi="Arial" w:cs="Arial"/>
          <w:sz w:val="32"/>
        </w:rPr>
      </w:pPr>
    </w:p>
    <w:p w:rsidR="00690D05" w:rsidRDefault="00690D05" w:rsidP="00985364">
      <w:pPr>
        <w:spacing w:before="30" w:after="0"/>
        <w:jc w:val="both"/>
        <w:rPr>
          <w:rFonts w:ascii="Arial" w:hAnsi="Arial" w:cs="Arial"/>
          <w:sz w:val="28"/>
        </w:rPr>
      </w:pPr>
    </w:p>
    <w:p w:rsidR="00690D05" w:rsidRPr="00166ED8" w:rsidRDefault="00690D05" w:rsidP="00985364">
      <w:pPr>
        <w:spacing w:before="30" w:after="0"/>
        <w:jc w:val="both"/>
        <w:rPr>
          <w:rFonts w:ascii="Arial" w:hAnsi="Arial" w:cs="Arial"/>
          <w:sz w:val="28"/>
        </w:rPr>
        <w:sectPr w:rsidR="00690D05" w:rsidRPr="00166ED8" w:rsidSect="00274687">
          <w:type w:val="continuous"/>
          <w:pgSz w:w="12240" w:h="15840"/>
          <w:pgMar w:top="1417" w:right="1701" w:bottom="1417" w:left="1701" w:header="708" w:footer="708" w:gutter="0"/>
          <w:cols w:num="2" w:space="708"/>
          <w:docGrid w:linePitch="360"/>
        </w:sectPr>
      </w:pPr>
    </w:p>
    <w:p w:rsidR="00CE465B" w:rsidRPr="009E1BD9" w:rsidRDefault="00423375" w:rsidP="009E1BD9">
      <w:pPr>
        <w:jc w:val="both"/>
        <w:rPr>
          <w:rFonts w:ascii="Arial" w:hAnsi="Arial" w:cs="Arial"/>
          <w:b/>
          <w:sz w:val="24"/>
        </w:rPr>
      </w:pPr>
      <w:r w:rsidRPr="005F04D9">
        <w:rPr>
          <w:rFonts w:ascii="Arial" w:hAnsi="Arial" w:cs="Arial"/>
          <w:b/>
          <w:sz w:val="24"/>
        </w:rPr>
        <w:lastRenderedPageBreak/>
        <w:t>REFERENCIAS</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896"/>
      </w:tblGrid>
      <w:tr w:rsidR="009674D5" w:rsidRPr="009674D5" w:rsidTr="009674D5">
        <w:trPr>
          <w:tblCellSpacing w:w="7" w:type="dxa"/>
        </w:trPr>
        <w:tc>
          <w:tcPr>
            <w:tcW w:w="4984" w:type="pct"/>
            <w:vAlign w:val="center"/>
            <w:hideMark/>
          </w:tcPr>
          <w:p w:rsidR="009674D5" w:rsidRPr="009674D5" w:rsidRDefault="009674D5" w:rsidP="00F00BD7">
            <w:pPr>
              <w:pStyle w:val="Prrafodelista"/>
              <w:numPr>
                <w:ilvl w:val="0"/>
                <w:numId w:val="11"/>
              </w:numPr>
              <w:jc w:val="both"/>
              <w:rPr>
                <w:rFonts w:ascii="Arial" w:hAnsi="Arial" w:cs="Arial"/>
                <w:color w:val="000000"/>
                <w:sz w:val="18"/>
                <w:szCs w:val="18"/>
                <w:lang w:val="en-US"/>
              </w:rPr>
            </w:pPr>
            <w:r w:rsidRPr="009674D5">
              <w:rPr>
                <w:rFonts w:ascii="Arial" w:hAnsi="Arial" w:cs="Arial"/>
                <w:color w:val="000000"/>
                <w:sz w:val="18"/>
                <w:szCs w:val="18"/>
                <w:lang w:val="en-US"/>
              </w:rPr>
              <w:t xml:space="preserve">Gill P, </w:t>
            </w:r>
            <w:proofErr w:type="spellStart"/>
            <w:r w:rsidRPr="009674D5">
              <w:rPr>
                <w:rFonts w:ascii="Arial" w:hAnsi="Arial" w:cs="Arial"/>
                <w:color w:val="000000"/>
                <w:sz w:val="18"/>
                <w:szCs w:val="18"/>
                <w:lang w:val="en-US"/>
              </w:rPr>
              <w:t>Falder</w:t>
            </w:r>
            <w:proofErr w:type="spellEnd"/>
            <w:r w:rsidRPr="009674D5">
              <w:rPr>
                <w:rFonts w:ascii="Arial" w:hAnsi="Arial" w:cs="Arial"/>
                <w:color w:val="000000"/>
                <w:sz w:val="18"/>
                <w:szCs w:val="18"/>
                <w:lang w:val="en-US"/>
              </w:rPr>
              <w:t xml:space="preserve"> S. Early management of </w:t>
            </w:r>
            <w:proofErr w:type="spellStart"/>
            <w:r w:rsidRPr="009674D5">
              <w:rPr>
                <w:rFonts w:ascii="Arial" w:hAnsi="Arial" w:cs="Arial"/>
                <w:color w:val="000000"/>
                <w:sz w:val="18"/>
                <w:szCs w:val="18"/>
                <w:lang w:val="en-US"/>
              </w:rPr>
              <w:t>paediatric</w:t>
            </w:r>
            <w:proofErr w:type="spellEnd"/>
            <w:r w:rsidRPr="009674D5">
              <w:rPr>
                <w:rFonts w:ascii="Arial" w:hAnsi="Arial" w:cs="Arial"/>
                <w:color w:val="000000"/>
                <w:sz w:val="18"/>
                <w:szCs w:val="18"/>
                <w:lang w:val="en-US"/>
              </w:rPr>
              <w:t xml:space="preserve"> burn injuries. </w:t>
            </w:r>
            <w:proofErr w:type="spellStart"/>
            <w:r w:rsidRPr="009674D5">
              <w:rPr>
                <w:rFonts w:ascii="Arial" w:hAnsi="Arial" w:cs="Arial"/>
                <w:color w:val="000000"/>
                <w:sz w:val="18"/>
                <w:szCs w:val="18"/>
                <w:lang w:val="en-US"/>
              </w:rPr>
              <w:t>Paediatrics</w:t>
            </w:r>
            <w:proofErr w:type="spellEnd"/>
            <w:r w:rsidRPr="009674D5">
              <w:rPr>
                <w:rFonts w:ascii="Arial" w:hAnsi="Arial" w:cs="Arial"/>
                <w:color w:val="000000"/>
                <w:sz w:val="18"/>
                <w:szCs w:val="18"/>
                <w:lang w:val="en-US"/>
              </w:rPr>
              <w:t xml:space="preserve"> and Child Health. 2017</w:t>
            </w:r>
            <w:proofErr w:type="gramStart"/>
            <w:r w:rsidRPr="009674D5">
              <w:rPr>
                <w:rFonts w:ascii="Arial" w:hAnsi="Arial" w:cs="Arial"/>
                <w:color w:val="000000"/>
                <w:sz w:val="18"/>
                <w:szCs w:val="18"/>
                <w:lang w:val="en-US"/>
              </w:rPr>
              <w:t>;27</w:t>
            </w:r>
            <w:proofErr w:type="gramEnd"/>
            <w:r w:rsidRPr="009674D5">
              <w:rPr>
                <w:rFonts w:ascii="Arial" w:hAnsi="Arial" w:cs="Arial"/>
                <w:color w:val="000000"/>
                <w:sz w:val="18"/>
                <w:szCs w:val="18"/>
                <w:lang w:val="en-US"/>
              </w:rPr>
              <w:t>(9):406-414.</w:t>
            </w:r>
            <w:hyperlink r:id="rId41" w:tgtFrame="_blank" w:history="1">
              <w:r w:rsidRPr="009674D5">
                <w:rPr>
                  <w:rStyle w:val="Hipervnculo"/>
                  <w:rFonts w:ascii="Arial" w:hAnsi="Arial" w:cs="Arial"/>
                  <w:sz w:val="18"/>
                  <w:szCs w:val="18"/>
                  <w:lang w:val="en-US"/>
                </w:rPr>
                <w:t>https://doi.org/10.1016/j.paed.2017.03.011</w:t>
              </w:r>
            </w:hyperlink>
          </w:p>
        </w:tc>
      </w:tr>
      <w:tr w:rsidR="009674D5" w:rsidRPr="009674D5" w:rsidTr="009674D5">
        <w:trPr>
          <w:tblCellSpacing w:w="7" w:type="dxa"/>
        </w:trPr>
        <w:tc>
          <w:tcPr>
            <w:tcW w:w="4984" w:type="pct"/>
            <w:vAlign w:val="center"/>
          </w:tcPr>
          <w:p w:rsidR="009674D5" w:rsidRPr="009674D5" w:rsidRDefault="009674D5" w:rsidP="00F00BD7">
            <w:pPr>
              <w:pStyle w:val="Prrafodelista"/>
              <w:numPr>
                <w:ilvl w:val="0"/>
                <w:numId w:val="11"/>
              </w:numPr>
              <w:jc w:val="both"/>
              <w:rPr>
                <w:rFonts w:ascii="Arial" w:hAnsi="Arial" w:cs="Arial"/>
                <w:color w:val="000000"/>
                <w:sz w:val="18"/>
                <w:szCs w:val="18"/>
                <w:lang w:val="en-US"/>
              </w:rPr>
            </w:pPr>
            <w:proofErr w:type="spellStart"/>
            <w:r w:rsidRPr="009674D5">
              <w:rPr>
                <w:rFonts w:ascii="Arial" w:hAnsi="Arial" w:cs="Arial"/>
                <w:color w:val="000000"/>
                <w:sz w:val="18"/>
                <w:szCs w:val="18"/>
                <w:lang w:val="en-US"/>
              </w:rPr>
              <w:t>Moehrlen</w:t>
            </w:r>
            <w:proofErr w:type="spellEnd"/>
            <w:r w:rsidRPr="009674D5">
              <w:rPr>
                <w:rFonts w:ascii="Arial" w:hAnsi="Arial" w:cs="Arial"/>
                <w:color w:val="000000"/>
                <w:sz w:val="18"/>
                <w:szCs w:val="18"/>
                <w:lang w:val="en-US"/>
              </w:rPr>
              <w:t xml:space="preserve"> T, </w:t>
            </w:r>
            <w:proofErr w:type="spellStart"/>
            <w:r w:rsidRPr="009674D5">
              <w:rPr>
                <w:rFonts w:ascii="Arial" w:hAnsi="Arial" w:cs="Arial"/>
                <w:color w:val="000000"/>
                <w:sz w:val="18"/>
                <w:szCs w:val="18"/>
                <w:lang w:val="en-US"/>
              </w:rPr>
              <w:t>Landolt</w:t>
            </w:r>
            <w:proofErr w:type="spellEnd"/>
            <w:r w:rsidRPr="009674D5">
              <w:rPr>
                <w:rFonts w:ascii="Arial" w:hAnsi="Arial" w:cs="Arial"/>
                <w:color w:val="000000"/>
                <w:sz w:val="18"/>
                <w:szCs w:val="18"/>
                <w:lang w:val="en-US"/>
              </w:rPr>
              <w:t xml:space="preserve"> M, </w:t>
            </w:r>
            <w:proofErr w:type="spellStart"/>
            <w:proofErr w:type="gramStart"/>
            <w:r w:rsidRPr="009674D5">
              <w:rPr>
                <w:rFonts w:ascii="Arial" w:hAnsi="Arial" w:cs="Arial"/>
                <w:color w:val="000000"/>
                <w:sz w:val="18"/>
                <w:szCs w:val="18"/>
                <w:lang w:val="en-US"/>
              </w:rPr>
              <w:t>Meuli</w:t>
            </w:r>
            <w:proofErr w:type="spellEnd"/>
            <w:proofErr w:type="gramEnd"/>
            <w:r w:rsidRPr="009674D5">
              <w:rPr>
                <w:rFonts w:ascii="Arial" w:hAnsi="Arial" w:cs="Arial"/>
                <w:color w:val="000000"/>
                <w:sz w:val="18"/>
                <w:szCs w:val="18"/>
                <w:lang w:val="en-US"/>
              </w:rPr>
              <w:t xml:space="preserve"> M, </w:t>
            </w:r>
            <w:proofErr w:type="spellStart"/>
            <w:r w:rsidRPr="009674D5">
              <w:rPr>
                <w:rFonts w:ascii="Arial" w:hAnsi="Arial" w:cs="Arial"/>
                <w:color w:val="000000"/>
                <w:sz w:val="18"/>
                <w:szCs w:val="18"/>
                <w:lang w:val="en-US"/>
              </w:rPr>
              <w:t>Moehrlen</w:t>
            </w:r>
            <w:proofErr w:type="spellEnd"/>
            <w:r w:rsidRPr="009674D5">
              <w:rPr>
                <w:rFonts w:ascii="Arial" w:hAnsi="Arial" w:cs="Arial"/>
                <w:color w:val="000000"/>
                <w:sz w:val="18"/>
                <w:szCs w:val="18"/>
                <w:lang w:val="en-US"/>
              </w:rPr>
              <w:t xml:space="preserve"> U. Non intentional burns in children: Analyzing prevention and acute treatment in a highly developed country. </w:t>
            </w:r>
            <w:r>
              <w:rPr>
                <w:rFonts w:ascii="Arial" w:hAnsi="Arial" w:cs="Arial"/>
                <w:color w:val="000000"/>
                <w:sz w:val="18"/>
                <w:szCs w:val="18"/>
                <w:lang w:val="en-US"/>
              </w:rPr>
              <w:t>Burns. 2019</w:t>
            </w:r>
            <w:proofErr w:type="gramStart"/>
            <w:r>
              <w:rPr>
                <w:rFonts w:ascii="Arial" w:hAnsi="Arial" w:cs="Arial"/>
                <w:color w:val="000000"/>
                <w:sz w:val="18"/>
                <w:szCs w:val="18"/>
                <w:lang w:val="en-US"/>
              </w:rPr>
              <w:t>;45</w:t>
            </w:r>
            <w:proofErr w:type="gramEnd"/>
            <w:r>
              <w:rPr>
                <w:rFonts w:ascii="Arial" w:hAnsi="Arial" w:cs="Arial"/>
                <w:color w:val="000000"/>
                <w:sz w:val="18"/>
                <w:szCs w:val="18"/>
                <w:lang w:val="en-US"/>
              </w:rPr>
              <w:t xml:space="preserve">(8):1908-1917. </w:t>
            </w:r>
            <w:hyperlink r:id="rId42" w:tgtFrame="_blank" w:history="1">
              <w:r w:rsidRPr="009674D5">
                <w:rPr>
                  <w:rStyle w:val="Hipervnculo"/>
                  <w:rFonts w:ascii="Arial" w:hAnsi="Arial" w:cs="Arial"/>
                  <w:sz w:val="18"/>
                  <w:szCs w:val="18"/>
                  <w:lang w:val="en-US"/>
                </w:rPr>
                <w:t>https://doi.org/10.1016/j.burns.2019.05.018</w:t>
              </w:r>
            </w:hyperlink>
          </w:p>
        </w:tc>
      </w:tr>
      <w:tr w:rsidR="009674D5" w:rsidRPr="009674D5" w:rsidTr="009674D5">
        <w:trPr>
          <w:tblCellSpacing w:w="7" w:type="dxa"/>
        </w:trPr>
        <w:tc>
          <w:tcPr>
            <w:tcW w:w="4984" w:type="pct"/>
            <w:vAlign w:val="center"/>
          </w:tcPr>
          <w:p w:rsidR="009674D5" w:rsidRPr="009674D5" w:rsidRDefault="009674D5" w:rsidP="00F00BD7">
            <w:pPr>
              <w:pStyle w:val="Prrafodelista"/>
              <w:numPr>
                <w:ilvl w:val="0"/>
                <w:numId w:val="11"/>
              </w:numPr>
              <w:jc w:val="both"/>
              <w:rPr>
                <w:rFonts w:ascii="Arial" w:hAnsi="Arial" w:cs="Arial"/>
                <w:color w:val="000000"/>
                <w:sz w:val="18"/>
                <w:szCs w:val="18"/>
                <w:lang w:val="en-US"/>
              </w:rPr>
            </w:pPr>
            <w:r w:rsidRPr="009674D5">
              <w:rPr>
                <w:rFonts w:ascii="Arial" w:hAnsi="Arial" w:cs="Arial"/>
                <w:color w:val="000000"/>
                <w:sz w:val="18"/>
                <w:szCs w:val="18"/>
                <w:lang w:val="en-US"/>
              </w:rPr>
              <w:t xml:space="preserve">Shah A, Liao L. Pediatric Burn Care Unique Considerations in Management. </w:t>
            </w:r>
            <w:proofErr w:type="spellStart"/>
            <w:r w:rsidRPr="009674D5">
              <w:rPr>
                <w:rFonts w:ascii="Arial" w:hAnsi="Arial" w:cs="Arial"/>
                <w:color w:val="000000"/>
                <w:sz w:val="18"/>
                <w:szCs w:val="18"/>
                <w:lang w:val="en-US"/>
              </w:rPr>
              <w:t>Clin</w:t>
            </w:r>
            <w:proofErr w:type="spellEnd"/>
            <w:r w:rsidRPr="009674D5">
              <w:rPr>
                <w:rFonts w:ascii="Arial" w:hAnsi="Arial" w:cs="Arial"/>
                <w:color w:val="000000"/>
                <w:sz w:val="18"/>
                <w:szCs w:val="18"/>
                <w:lang w:val="en-US"/>
              </w:rPr>
              <w:t>. Plastic Surg. 2017; 44:603-610.</w:t>
            </w:r>
            <w:hyperlink r:id="rId43" w:tgtFrame="_blank" w:history="1">
              <w:r w:rsidRPr="009674D5">
                <w:rPr>
                  <w:rStyle w:val="Hipervnculo"/>
                  <w:rFonts w:ascii="Arial" w:hAnsi="Arial" w:cs="Arial"/>
                  <w:sz w:val="18"/>
                  <w:szCs w:val="18"/>
                  <w:lang w:val="en-US"/>
                </w:rPr>
                <w:t>https://doi.org/10.1016/j.cps.2017.02.017</w:t>
              </w:r>
            </w:hyperlink>
          </w:p>
        </w:tc>
      </w:tr>
      <w:tr w:rsidR="009674D5" w:rsidRPr="002519A6" w:rsidTr="009674D5">
        <w:trPr>
          <w:tblCellSpacing w:w="7" w:type="dxa"/>
        </w:trPr>
        <w:tc>
          <w:tcPr>
            <w:tcW w:w="4984" w:type="pct"/>
            <w:vAlign w:val="center"/>
          </w:tcPr>
          <w:p w:rsidR="009674D5" w:rsidRPr="002519A6" w:rsidRDefault="009674D5" w:rsidP="00F00BD7">
            <w:pPr>
              <w:pStyle w:val="Prrafodelista"/>
              <w:numPr>
                <w:ilvl w:val="0"/>
                <w:numId w:val="11"/>
              </w:numPr>
              <w:jc w:val="both"/>
              <w:rPr>
                <w:rFonts w:ascii="Arial" w:hAnsi="Arial" w:cs="Arial"/>
                <w:color w:val="000000"/>
                <w:sz w:val="18"/>
                <w:szCs w:val="18"/>
                <w:lang w:val="en-US"/>
              </w:rPr>
            </w:pPr>
            <w:proofErr w:type="spellStart"/>
            <w:r w:rsidRPr="009674D5">
              <w:rPr>
                <w:rFonts w:ascii="Arial" w:hAnsi="Arial" w:cs="Arial"/>
                <w:color w:val="000000"/>
                <w:sz w:val="18"/>
                <w:szCs w:val="18"/>
                <w:lang w:val="en-US"/>
              </w:rPr>
              <w:t>Suman</w:t>
            </w:r>
            <w:proofErr w:type="spellEnd"/>
            <w:r w:rsidRPr="009674D5">
              <w:rPr>
                <w:rFonts w:ascii="Arial" w:hAnsi="Arial" w:cs="Arial"/>
                <w:color w:val="000000"/>
                <w:sz w:val="18"/>
                <w:szCs w:val="18"/>
                <w:lang w:val="en-US"/>
              </w:rPr>
              <w:t xml:space="preserve"> A, Owen J. Update on the management of burns in </w:t>
            </w:r>
            <w:proofErr w:type="spellStart"/>
            <w:r w:rsidRPr="009674D5">
              <w:rPr>
                <w:rFonts w:ascii="Arial" w:hAnsi="Arial" w:cs="Arial"/>
                <w:color w:val="000000"/>
                <w:sz w:val="18"/>
                <w:szCs w:val="18"/>
                <w:lang w:val="en-US"/>
              </w:rPr>
              <w:t>paediatrics</w:t>
            </w:r>
            <w:proofErr w:type="spellEnd"/>
            <w:r w:rsidRPr="009674D5">
              <w:rPr>
                <w:rFonts w:ascii="Arial" w:hAnsi="Arial" w:cs="Arial"/>
                <w:color w:val="000000"/>
                <w:sz w:val="18"/>
                <w:szCs w:val="18"/>
                <w:lang w:val="en-US"/>
              </w:rPr>
              <w:t xml:space="preserve">. </w:t>
            </w:r>
            <w:r w:rsidRPr="002519A6">
              <w:rPr>
                <w:rFonts w:ascii="Arial" w:hAnsi="Arial" w:cs="Arial"/>
                <w:color w:val="000000"/>
                <w:sz w:val="18"/>
                <w:szCs w:val="18"/>
                <w:lang w:val="en-US"/>
              </w:rPr>
              <w:t xml:space="preserve">Br. J. </w:t>
            </w:r>
            <w:proofErr w:type="spellStart"/>
            <w:r w:rsidRPr="002519A6">
              <w:rPr>
                <w:rFonts w:ascii="Arial" w:hAnsi="Arial" w:cs="Arial"/>
                <w:color w:val="000000"/>
                <w:sz w:val="18"/>
                <w:szCs w:val="18"/>
                <w:lang w:val="en-US"/>
              </w:rPr>
              <w:t>Anaesth</w:t>
            </w:r>
            <w:proofErr w:type="spellEnd"/>
            <w:r w:rsidRPr="002519A6">
              <w:rPr>
                <w:rFonts w:ascii="Arial" w:hAnsi="Arial" w:cs="Arial"/>
                <w:color w:val="000000"/>
                <w:sz w:val="18"/>
                <w:szCs w:val="18"/>
                <w:lang w:val="en-US"/>
              </w:rPr>
              <w:t>. 2020</w:t>
            </w:r>
            <w:proofErr w:type="gramStart"/>
            <w:r w:rsidRPr="002519A6">
              <w:rPr>
                <w:rFonts w:ascii="Arial" w:hAnsi="Arial" w:cs="Arial"/>
                <w:color w:val="000000"/>
                <w:sz w:val="18"/>
                <w:szCs w:val="18"/>
                <w:lang w:val="en-US"/>
              </w:rPr>
              <w:t>;20</w:t>
            </w:r>
            <w:proofErr w:type="gramEnd"/>
            <w:r w:rsidRPr="002519A6">
              <w:rPr>
                <w:rFonts w:ascii="Arial" w:hAnsi="Arial" w:cs="Arial"/>
                <w:color w:val="000000"/>
                <w:sz w:val="18"/>
                <w:szCs w:val="18"/>
                <w:lang w:val="en-US"/>
              </w:rPr>
              <w:t>(3):103-110.</w:t>
            </w:r>
            <w:hyperlink r:id="rId44" w:tgtFrame="_blank" w:history="1">
              <w:r w:rsidRPr="002519A6">
                <w:rPr>
                  <w:rStyle w:val="Hipervnculo"/>
                  <w:rFonts w:ascii="Arial" w:hAnsi="Arial" w:cs="Arial"/>
                  <w:sz w:val="18"/>
                  <w:szCs w:val="18"/>
                  <w:lang w:val="en-US"/>
                </w:rPr>
                <w:t>https://doi.org/10.1016/j.bjae.2019.12.002</w:t>
              </w:r>
            </w:hyperlink>
          </w:p>
        </w:tc>
      </w:tr>
      <w:tr w:rsidR="009674D5" w:rsidTr="009674D5">
        <w:trPr>
          <w:tblCellSpacing w:w="7" w:type="dxa"/>
        </w:trPr>
        <w:tc>
          <w:tcPr>
            <w:tcW w:w="4984" w:type="pct"/>
            <w:vAlign w:val="center"/>
          </w:tcPr>
          <w:p w:rsidR="009674D5" w:rsidRPr="009674D5" w:rsidRDefault="009674D5" w:rsidP="00F00BD7">
            <w:pPr>
              <w:pStyle w:val="Prrafodelista"/>
              <w:numPr>
                <w:ilvl w:val="0"/>
                <w:numId w:val="11"/>
              </w:numPr>
              <w:jc w:val="both"/>
              <w:rPr>
                <w:rFonts w:ascii="Arial" w:hAnsi="Arial" w:cs="Arial"/>
                <w:color w:val="000000"/>
                <w:sz w:val="18"/>
                <w:szCs w:val="18"/>
              </w:rPr>
            </w:pPr>
            <w:r w:rsidRPr="009674D5">
              <w:rPr>
                <w:rFonts w:ascii="Arial" w:hAnsi="Arial" w:cs="Arial"/>
                <w:color w:val="000000"/>
                <w:sz w:val="18"/>
                <w:szCs w:val="18"/>
                <w:lang w:val="en-US"/>
              </w:rPr>
              <w:t xml:space="preserve">Crawford, M. and McCormack, J. (2017). Trauma and burns in children. </w:t>
            </w:r>
            <w:proofErr w:type="spellStart"/>
            <w:r w:rsidRPr="009674D5">
              <w:rPr>
                <w:rFonts w:ascii="Arial" w:hAnsi="Arial" w:cs="Arial"/>
                <w:color w:val="000000"/>
                <w:sz w:val="18"/>
                <w:szCs w:val="18"/>
              </w:rPr>
              <w:t>Anaesthesia</w:t>
            </w:r>
            <w:proofErr w:type="spellEnd"/>
            <w:r w:rsidRPr="009674D5">
              <w:rPr>
                <w:rFonts w:ascii="Arial" w:hAnsi="Arial" w:cs="Arial"/>
                <w:color w:val="000000"/>
                <w:sz w:val="18"/>
                <w:szCs w:val="18"/>
              </w:rPr>
              <w:t xml:space="preserve"> &amp; </w:t>
            </w:r>
            <w:proofErr w:type="spellStart"/>
            <w:r w:rsidRPr="009674D5">
              <w:rPr>
                <w:rFonts w:ascii="Arial" w:hAnsi="Arial" w:cs="Arial"/>
                <w:color w:val="000000"/>
                <w:sz w:val="18"/>
                <w:szCs w:val="18"/>
              </w:rPr>
              <w:t>Intensive</w:t>
            </w:r>
            <w:proofErr w:type="spellEnd"/>
            <w:r w:rsidRPr="009674D5">
              <w:rPr>
                <w:rFonts w:ascii="Arial" w:hAnsi="Arial" w:cs="Arial"/>
                <w:color w:val="000000"/>
                <w:sz w:val="18"/>
                <w:szCs w:val="18"/>
              </w:rPr>
              <w:t xml:space="preserve"> </w:t>
            </w:r>
            <w:proofErr w:type="spellStart"/>
            <w:r w:rsidRPr="009674D5">
              <w:rPr>
                <w:rFonts w:ascii="Arial" w:hAnsi="Arial" w:cs="Arial"/>
                <w:color w:val="000000"/>
                <w:sz w:val="18"/>
                <w:szCs w:val="18"/>
              </w:rPr>
              <w:t>Care</w:t>
            </w:r>
            <w:proofErr w:type="spellEnd"/>
            <w:r w:rsidRPr="009674D5">
              <w:rPr>
                <w:rFonts w:ascii="Arial" w:hAnsi="Arial" w:cs="Arial"/>
                <w:color w:val="000000"/>
                <w:sz w:val="18"/>
                <w:szCs w:val="18"/>
              </w:rPr>
              <w:t xml:space="preserve"> Medicine, 18(11), pp.555-561.</w:t>
            </w:r>
            <w:hyperlink r:id="rId45" w:tgtFrame="_blank" w:history="1">
              <w:r w:rsidRPr="009674D5">
                <w:rPr>
                  <w:rStyle w:val="Hipervnculo"/>
                  <w:rFonts w:ascii="Arial" w:hAnsi="Arial" w:cs="Arial"/>
                  <w:sz w:val="18"/>
                  <w:szCs w:val="18"/>
                </w:rPr>
                <w:t>https://doi.org/10.1016/j.mpaic.2017.07.006</w:t>
              </w:r>
            </w:hyperlink>
          </w:p>
        </w:tc>
      </w:tr>
      <w:tr w:rsidR="009674D5" w:rsidTr="009674D5">
        <w:trPr>
          <w:tblCellSpacing w:w="7" w:type="dxa"/>
        </w:trPr>
        <w:tc>
          <w:tcPr>
            <w:tcW w:w="4984" w:type="pct"/>
            <w:vAlign w:val="center"/>
          </w:tcPr>
          <w:p w:rsidR="009674D5" w:rsidRPr="009674D5" w:rsidRDefault="009674D5" w:rsidP="00F00BD7">
            <w:pPr>
              <w:pStyle w:val="Prrafodelista"/>
              <w:numPr>
                <w:ilvl w:val="0"/>
                <w:numId w:val="11"/>
              </w:numPr>
              <w:jc w:val="both"/>
              <w:rPr>
                <w:rFonts w:ascii="Arial" w:hAnsi="Arial" w:cs="Arial"/>
                <w:color w:val="000000"/>
                <w:sz w:val="18"/>
                <w:szCs w:val="18"/>
              </w:rPr>
            </w:pPr>
            <w:r w:rsidRPr="009674D5">
              <w:rPr>
                <w:rFonts w:ascii="Arial" w:hAnsi="Arial" w:cs="Arial"/>
                <w:color w:val="000000"/>
                <w:sz w:val="18"/>
                <w:szCs w:val="18"/>
              </w:rPr>
              <w:t xml:space="preserve">Aldana M, Castellanos L, Osorio L, Navarrete N. Las quemaduras en la población pediátrica colombiana: del desconocimiento hacia la prevención. </w:t>
            </w:r>
            <w:proofErr w:type="spellStart"/>
            <w:r w:rsidR="002519A6">
              <w:rPr>
                <w:rFonts w:ascii="Arial" w:hAnsi="Arial" w:cs="Arial"/>
                <w:color w:val="000000"/>
                <w:sz w:val="18"/>
                <w:szCs w:val="18"/>
              </w:rPr>
              <w:t>Pediatr</w:t>
            </w:r>
            <w:proofErr w:type="spellEnd"/>
            <w:r w:rsidR="002519A6">
              <w:rPr>
                <w:rFonts w:ascii="Arial" w:hAnsi="Arial" w:cs="Arial"/>
                <w:color w:val="000000"/>
                <w:sz w:val="18"/>
                <w:szCs w:val="18"/>
              </w:rPr>
              <w:t>. 2016</w:t>
            </w:r>
            <w:proofErr w:type="gramStart"/>
            <w:r w:rsidR="002519A6">
              <w:rPr>
                <w:rFonts w:ascii="Arial" w:hAnsi="Arial" w:cs="Arial"/>
                <w:color w:val="000000"/>
                <w:sz w:val="18"/>
                <w:szCs w:val="18"/>
              </w:rPr>
              <w:t>;49</w:t>
            </w:r>
            <w:proofErr w:type="gramEnd"/>
            <w:r w:rsidR="002519A6">
              <w:rPr>
                <w:rFonts w:ascii="Arial" w:hAnsi="Arial" w:cs="Arial"/>
                <w:color w:val="000000"/>
                <w:sz w:val="18"/>
                <w:szCs w:val="18"/>
              </w:rPr>
              <w:t xml:space="preserve">(4):128-137. </w:t>
            </w:r>
            <w:hyperlink r:id="rId46" w:tgtFrame="_blank" w:history="1">
              <w:r w:rsidR="002519A6" w:rsidRPr="009674D5">
                <w:rPr>
                  <w:rStyle w:val="Hipervnculo"/>
                  <w:rFonts w:ascii="Arial" w:hAnsi="Arial" w:cs="Arial"/>
                  <w:sz w:val="18"/>
                  <w:szCs w:val="18"/>
                </w:rPr>
                <w:t>https://doi.org/10.1016/j.rcpe.2016.09.001</w:t>
              </w:r>
            </w:hyperlink>
          </w:p>
        </w:tc>
      </w:tr>
      <w:tr w:rsidR="009674D5" w:rsidRPr="002519A6" w:rsidTr="009674D5">
        <w:trPr>
          <w:tblCellSpacing w:w="7" w:type="dxa"/>
        </w:trPr>
        <w:tc>
          <w:tcPr>
            <w:tcW w:w="4984" w:type="pct"/>
            <w:vAlign w:val="center"/>
          </w:tcPr>
          <w:p w:rsidR="009674D5" w:rsidRPr="002519A6" w:rsidRDefault="009674D5" w:rsidP="00F00BD7">
            <w:pPr>
              <w:pStyle w:val="Prrafodelista"/>
              <w:numPr>
                <w:ilvl w:val="0"/>
                <w:numId w:val="11"/>
              </w:numPr>
              <w:jc w:val="both"/>
              <w:rPr>
                <w:rFonts w:ascii="Arial" w:hAnsi="Arial" w:cs="Arial"/>
                <w:color w:val="000000"/>
                <w:sz w:val="18"/>
                <w:szCs w:val="18"/>
                <w:lang w:val="en-US"/>
              </w:rPr>
            </w:pPr>
            <w:r w:rsidRPr="009674D5">
              <w:rPr>
                <w:rFonts w:ascii="Arial" w:hAnsi="Arial" w:cs="Arial"/>
                <w:color w:val="000000"/>
                <w:sz w:val="18"/>
                <w:szCs w:val="18"/>
                <w:lang w:val="en-US"/>
              </w:rPr>
              <w:t xml:space="preserve">Cox, S., </w:t>
            </w:r>
            <w:proofErr w:type="spellStart"/>
            <w:r w:rsidRPr="009674D5">
              <w:rPr>
                <w:rFonts w:ascii="Arial" w:hAnsi="Arial" w:cs="Arial"/>
                <w:color w:val="000000"/>
                <w:sz w:val="18"/>
                <w:szCs w:val="18"/>
                <w:lang w:val="en-US"/>
              </w:rPr>
              <w:t>Burahee</w:t>
            </w:r>
            <w:proofErr w:type="spellEnd"/>
            <w:r w:rsidRPr="009674D5">
              <w:rPr>
                <w:rFonts w:ascii="Arial" w:hAnsi="Arial" w:cs="Arial"/>
                <w:color w:val="000000"/>
                <w:sz w:val="18"/>
                <w:szCs w:val="18"/>
                <w:lang w:val="en-US"/>
              </w:rPr>
              <w:t xml:space="preserve">, A., </w:t>
            </w:r>
            <w:proofErr w:type="spellStart"/>
            <w:r w:rsidRPr="009674D5">
              <w:rPr>
                <w:rFonts w:ascii="Arial" w:hAnsi="Arial" w:cs="Arial"/>
                <w:color w:val="000000"/>
                <w:sz w:val="18"/>
                <w:szCs w:val="18"/>
                <w:lang w:val="en-US"/>
              </w:rPr>
              <w:t>Albertyn</w:t>
            </w:r>
            <w:proofErr w:type="spellEnd"/>
            <w:r w:rsidRPr="009674D5">
              <w:rPr>
                <w:rFonts w:ascii="Arial" w:hAnsi="Arial" w:cs="Arial"/>
                <w:color w:val="000000"/>
                <w:sz w:val="18"/>
                <w:szCs w:val="18"/>
                <w:lang w:val="en-US"/>
              </w:rPr>
              <w:t xml:space="preserve">, R., </w:t>
            </w:r>
            <w:proofErr w:type="spellStart"/>
            <w:r w:rsidRPr="009674D5">
              <w:rPr>
                <w:rFonts w:ascii="Arial" w:hAnsi="Arial" w:cs="Arial"/>
                <w:color w:val="000000"/>
                <w:sz w:val="18"/>
                <w:szCs w:val="18"/>
                <w:lang w:val="en-US"/>
              </w:rPr>
              <w:t>Makahabane</w:t>
            </w:r>
            <w:proofErr w:type="spellEnd"/>
            <w:r w:rsidRPr="009674D5">
              <w:rPr>
                <w:rFonts w:ascii="Arial" w:hAnsi="Arial" w:cs="Arial"/>
                <w:color w:val="000000"/>
                <w:sz w:val="18"/>
                <w:szCs w:val="18"/>
                <w:lang w:val="en-US"/>
              </w:rPr>
              <w:t xml:space="preserve">, J. and Rode, H. (2016). Parent knowledge on </w:t>
            </w:r>
            <w:proofErr w:type="spellStart"/>
            <w:r w:rsidRPr="009674D5">
              <w:rPr>
                <w:rFonts w:ascii="Arial" w:hAnsi="Arial" w:cs="Arial"/>
                <w:color w:val="000000"/>
                <w:sz w:val="18"/>
                <w:szCs w:val="18"/>
                <w:lang w:val="en-US"/>
              </w:rPr>
              <w:t>paediatric</w:t>
            </w:r>
            <w:proofErr w:type="spellEnd"/>
            <w:r w:rsidRPr="009674D5">
              <w:rPr>
                <w:rFonts w:ascii="Arial" w:hAnsi="Arial" w:cs="Arial"/>
                <w:color w:val="000000"/>
                <w:sz w:val="18"/>
                <w:szCs w:val="18"/>
                <w:lang w:val="en-US"/>
              </w:rPr>
              <w:t xml:space="preserve"> burn prevention related to the home environment. </w:t>
            </w:r>
            <w:r w:rsidRPr="002519A6">
              <w:rPr>
                <w:rFonts w:ascii="Arial" w:hAnsi="Arial" w:cs="Arial"/>
                <w:color w:val="000000"/>
                <w:sz w:val="18"/>
                <w:szCs w:val="18"/>
                <w:lang w:val="en-US"/>
              </w:rPr>
              <w:t xml:space="preserve">Burns, 42(8), pp.1854-1860 </w:t>
            </w:r>
            <w:hyperlink r:id="rId47" w:tgtFrame="_blank" w:history="1">
              <w:r w:rsidRPr="002519A6">
                <w:rPr>
                  <w:rStyle w:val="Hipervnculo"/>
                  <w:rFonts w:ascii="Arial" w:hAnsi="Arial" w:cs="Arial"/>
                  <w:sz w:val="18"/>
                  <w:szCs w:val="18"/>
                  <w:lang w:val="en-US"/>
                </w:rPr>
                <w:t>https://doi.org/10.1016/j.burns.2016.05.015</w:t>
              </w:r>
            </w:hyperlink>
          </w:p>
        </w:tc>
      </w:tr>
      <w:tr w:rsidR="009674D5" w:rsidTr="009674D5">
        <w:trPr>
          <w:tblCellSpacing w:w="7" w:type="dxa"/>
        </w:trPr>
        <w:tc>
          <w:tcPr>
            <w:tcW w:w="4984" w:type="pct"/>
            <w:vAlign w:val="center"/>
          </w:tcPr>
          <w:p w:rsidR="009674D5" w:rsidRPr="009674D5" w:rsidRDefault="009674D5" w:rsidP="00F00BD7">
            <w:pPr>
              <w:pStyle w:val="Prrafodelista"/>
              <w:numPr>
                <w:ilvl w:val="0"/>
                <w:numId w:val="11"/>
              </w:numPr>
              <w:jc w:val="both"/>
              <w:rPr>
                <w:rFonts w:ascii="Arial" w:hAnsi="Arial" w:cs="Arial"/>
                <w:color w:val="000000"/>
                <w:sz w:val="18"/>
                <w:szCs w:val="18"/>
              </w:rPr>
            </w:pPr>
            <w:r w:rsidRPr="002519A6">
              <w:rPr>
                <w:rFonts w:ascii="Arial" w:hAnsi="Arial" w:cs="Arial"/>
                <w:color w:val="000000"/>
                <w:sz w:val="18"/>
                <w:szCs w:val="18"/>
              </w:rPr>
              <w:t xml:space="preserve">Rojas </w:t>
            </w:r>
            <w:proofErr w:type="spellStart"/>
            <w:r w:rsidRPr="002519A6">
              <w:rPr>
                <w:rFonts w:ascii="Arial" w:hAnsi="Arial" w:cs="Arial"/>
                <w:color w:val="000000"/>
                <w:sz w:val="18"/>
                <w:szCs w:val="18"/>
              </w:rPr>
              <w:t>Goldsack</w:t>
            </w:r>
            <w:proofErr w:type="spellEnd"/>
            <w:r w:rsidRPr="002519A6">
              <w:rPr>
                <w:rFonts w:ascii="Arial" w:hAnsi="Arial" w:cs="Arial"/>
                <w:color w:val="000000"/>
                <w:sz w:val="18"/>
                <w:szCs w:val="18"/>
              </w:rPr>
              <w:t xml:space="preserve"> M, Saa</w:t>
            </w:r>
            <w:r w:rsidRPr="009674D5">
              <w:rPr>
                <w:rFonts w:ascii="Arial" w:hAnsi="Arial" w:cs="Arial"/>
                <w:color w:val="000000"/>
                <w:sz w:val="18"/>
                <w:szCs w:val="18"/>
              </w:rPr>
              <w:t xml:space="preserve">vedra </w:t>
            </w:r>
            <w:proofErr w:type="spellStart"/>
            <w:r w:rsidRPr="009674D5">
              <w:rPr>
                <w:rFonts w:ascii="Arial" w:hAnsi="Arial" w:cs="Arial"/>
                <w:color w:val="000000"/>
                <w:sz w:val="18"/>
                <w:szCs w:val="18"/>
              </w:rPr>
              <w:t>Opazo</w:t>
            </w:r>
            <w:proofErr w:type="spellEnd"/>
            <w:r w:rsidRPr="009674D5">
              <w:rPr>
                <w:rFonts w:ascii="Arial" w:hAnsi="Arial" w:cs="Arial"/>
                <w:color w:val="000000"/>
                <w:sz w:val="18"/>
                <w:szCs w:val="18"/>
              </w:rPr>
              <w:t xml:space="preserve"> R, Vicencio </w:t>
            </w:r>
            <w:proofErr w:type="spellStart"/>
            <w:r w:rsidRPr="009674D5">
              <w:rPr>
                <w:rFonts w:ascii="Arial" w:hAnsi="Arial" w:cs="Arial"/>
                <w:color w:val="000000"/>
                <w:sz w:val="18"/>
                <w:szCs w:val="18"/>
              </w:rPr>
              <w:t>Pezo</w:t>
            </w:r>
            <w:proofErr w:type="spellEnd"/>
            <w:r w:rsidRPr="009674D5">
              <w:rPr>
                <w:rFonts w:ascii="Arial" w:hAnsi="Arial" w:cs="Arial"/>
                <w:color w:val="000000"/>
                <w:sz w:val="18"/>
                <w:szCs w:val="18"/>
              </w:rPr>
              <w:t xml:space="preserve"> P, Solís Flores F. Cambios epidemiológicos en niños quemados, a 10 años de seguimiento. </w:t>
            </w:r>
            <w:proofErr w:type="spellStart"/>
            <w:r w:rsidRPr="009674D5">
              <w:rPr>
                <w:rFonts w:ascii="Arial" w:hAnsi="Arial" w:cs="Arial"/>
                <w:color w:val="000000"/>
                <w:sz w:val="18"/>
                <w:szCs w:val="18"/>
              </w:rPr>
              <w:t>Rev.Chil.Pediatr</w:t>
            </w:r>
            <w:proofErr w:type="spellEnd"/>
            <w:r w:rsidRPr="009674D5">
              <w:rPr>
                <w:rFonts w:ascii="Arial" w:hAnsi="Arial" w:cs="Arial"/>
                <w:color w:val="000000"/>
                <w:sz w:val="18"/>
                <w:szCs w:val="18"/>
              </w:rPr>
              <w:t>. 2016</w:t>
            </w:r>
            <w:proofErr w:type="gramStart"/>
            <w:r w:rsidRPr="009674D5">
              <w:rPr>
                <w:rFonts w:ascii="Arial" w:hAnsi="Arial" w:cs="Arial"/>
                <w:color w:val="000000"/>
                <w:sz w:val="18"/>
                <w:szCs w:val="18"/>
              </w:rPr>
              <w:t>;87</w:t>
            </w:r>
            <w:proofErr w:type="gramEnd"/>
            <w:r w:rsidRPr="009674D5">
              <w:rPr>
                <w:rFonts w:ascii="Arial" w:hAnsi="Arial" w:cs="Arial"/>
                <w:color w:val="000000"/>
                <w:sz w:val="18"/>
                <w:szCs w:val="18"/>
              </w:rPr>
              <w:t xml:space="preserve">(3):186-192. </w:t>
            </w:r>
            <w:hyperlink r:id="rId48" w:tgtFrame="_blank" w:history="1">
              <w:r w:rsidRPr="009674D5">
                <w:rPr>
                  <w:rStyle w:val="Hipervnculo"/>
                  <w:rFonts w:ascii="Arial" w:hAnsi="Arial" w:cs="Arial"/>
                  <w:sz w:val="18"/>
                  <w:szCs w:val="18"/>
                </w:rPr>
                <w:t>https://doi.org/10.1016/j.rchipe.2015.10.014</w:t>
              </w:r>
            </w:hyperlink>
          </w:p>
        </w:tc>
      </w:tr>
      <w:tr w:rsidR="009674D5" w:rsidRPr="002519A6" w:rsidTr="009674D5">
        <w:trPr>
          <w:tblCellSpacing w:w="7" w:type="dxa"/>
        </w:trPr>
        <w:tc>
          <w:tcPr>
            <w:tcW w:w="4984" w:type="pct"/>
            <w:vAlign w:val="center"/>
          </w:tcPr>
          <w:p w:rsidR="009674D5" w:rsidRPr="002519A6" w:rsidRDefault="009674D5" w:rsidP="00F00BD7">
            <w:pPr>
              <w:pStyle w:val="Prrafodelista"/>
              <w:numPr>
                <w:ilvl w:val="0"/>
                <w:numId w:val="11"/>
              </w:numPr>
              <w:jc w:val="both"/>
              <w:rPr>
                <w:rFonts w:ascii="Arial" w:hAnsi="Arial" w:cs="Arial"/>
                <w:color w:val="000000"/>
                <w:sz w:val="18"/>
                <w:szCs w:val="18"/>
                <w:lang w:val="en-US"/>
              </w:rPr>
            </w:pPr>
            <w:proofErr w:type="spellStart"/>
            <w:r w:rsidRPr="009674D5">
              <w:rPr>
                <w:rFonts w:ascii="Arial" w:hAnsi="Arial" w:cs="Arial"/>
                <w:color w:val="000000"/>
                <w:sz w:val="18"/>
                <w:szCs w:val="18"/>
                <w:lang w:val="en-US"/>
              </w:rPr>
              <w:t>Joffe</w:t>
            </w:r>
            <w:proofErr w:type="spellEnd"/>
            <w:r w:rsidRPr="009674D5">
              <w:rPr>
                <w:rFonts w:ascii="Arial" w:hAnsi="Arial" w:cs="Arial"/>
                <w:color w:val="000000"/>
                <w:sz w:val="18"/>
                <w:szCs w:val="18"/>
                <w:lang w:val="en-US"/>
              </w:rPr>
              <w:t xml:space="preserve"> M, </w:t>
            </w:r>
            <w:proofErr w:type="spellStart"/>
            <w:r w:rsidRPr="009674D5">
              <w:rPr>
                <w:rFonts w:ascii="Arial" w:hAnsi="Arial" w:cs="Arial"/>
                <w:color w:val="000000"/>
                <w:sz w:val="18"/>
                <w:szCs w:val="18"/>
                <w:lang w:val="en-US"/>
              </w:rPr>
              <w:t>Bachur</w:t>
            </w:r>
            <w:proofErr w:type="spellEnd"/>
            <w:r w:rsidRPr="009674D5">
              <w:rPr>
                <w:rFonts w:ascii="Arial" w:hAnsi="Arial" w:cs="Arial"/>
                <w:color w:val="000000"/>
                <w:sz w:val="18"/>
                <w:szCs w:val="18"/>
                <w:lang w:val="en-US"/>
              </w:rPr>
              <w:t xml:space="preserve"> R, Wiley J. Moderate and severe thermal burns in children: Emergency management. </w:t>
            </w:r>
            <w:proofErr w:type="spellStart"/>
            <w:r w:rsidRPr="002519A6">
              <w:rPr>
                <w:rFonts w:ascii="Arial" w:hAnsi="Arial" w:cs="Arial"/>
                <w:color w:val="000000"/>
                <w:sz w:val="18"/>
                <w:szCs w:val="18"/>
                <w:lang w:val="en-US"/>
              </w:rPr>
              <w:t>UpToDate</w:t>
            </w:r>
            <w:proofErr w:type="spellEnd"/>
            <w:r w:rsidRPr="002519A6">
              <w:rPr>
                <w:rFonts w:ascii="Arial" w:hAnsi="Arial" w:cs="Arial"/>
                <w:color w:val="000000"/>
                <w:sz w:val="18"/>
                <w:szCs w:val="18"/>
                <w:lang w:val="en-US"/>
              </w:rPr>
              <w:t xml:space="preserve">. </w:t>
            </w:r>
            <w:proofErr w:type="gramStart"/>
            <w:r w:rsidRPr="002519A6">
              <w:rPr>
                <w:rFonts w:ascii="Arial" w:hAnsi="Arial" w:cs="Arial"/>
                <w:color w:val="000000"/>
                <w:sz w:val="18"/>
                <w:szCs w:val="18"/>
                <w:lang w:val="en-US"/>
              </w:rPr>
              <w:t>2020;</w:t>
            </w:r>
            <w:proofErr w:type="gramEnd"/>
            <w:r w:rsidRPr="002519A6">
              <w:rPr>
                <w:rFonts w:ascii="Arial" w:hAnsi="Arial" w:cs="Arial"/>
                <w:color w:val="000000"/>
                <w:sz w:val="18"/>
                <w:szCs w:val="18"/>
                <w:lang w:val="en-US"/>
              </w:rPr>
              <w:t>(22):1-32.</w:t>
            </w:r>
          </w:p>
        </w:tc>
      </w:tr>
      <w:tr w:rsidR="009674D5" w:rsidTr="009674D5">
        <w:trPr>
          <w:tblCellSpacing w:w="7" w:type="dxa"/>
        </w:trPr>
        <w:tc>
          <w:tcPr>
            <w:tcW w:w="4984" w:type="pct"/>
            <w:vAlign w:val="center"/>
          </w:tcPr>
          <w:p w:rsidR="009674D5" w:rsidRPr="009674D5" w:rsidRDefault="009674D5" w:rsidP="00F00BD7">
            <w:pPr>
              <w:pStyle w:val="Prrafodelista"/>
              <w:numPr>
                <w:ilvl w:val="0"/>
                <w:numId w:val="11"/>
              </w:numPr>
              <w:jc w:val="both"/>
              <w:rPr>
                <w:rFonts w:ascii="Arial" w:hAnsi="Arial" w:cs="Arial"/>
                <w:color w:val="000000"/>
                <w:sz w:val="18"/>
                <w:szCs w:val="18"/>
              </w:rPr>
            </w:pPr>
            <w:r w:rsidRPr="009674D5">
              <w:rPr>
                <w:rFonts w:ascii="Arial" w:hAnsi="Arial" w:cs="Arial"/>
                <w:color w:val="000000"/>
                <w:sz w:val="18"/>
                <w:szCs w:val="18"/>
                <w:lang w:val="en-US"/>
              </w:rPr>
              <w:t xml:space="preserve">10. </w:t>
            </w:r>
            <w:proofErr w:type="spellStart"/>
            <w:r w:rsidRPr="009674D5">
              <w:rPr>
                <w:rFonts w:ascii="Arial" w:hAnsi="Arial" w:cs="Arial"/>
                <w:color w:val="000000"/>
                <w:sz w:val="18"/>
                <w:szCs w:val="18"/>
                <w:lang w:val="en-US"/>
              </w:rPr>
              <w:t>Strobel</w:t>
            </w:r>
            <w:proofErr w:type="spellEnd"/>
            <w:r w:rsidRPr="009674D5">
              <w:rPr>
                <w:rFonts w:ascii="Arial" w:hAnsi="Arial" w:cs="Arial"/>
                <w:color w:val="000000"/>
                <w:sz w:val="18"/>
                <w:szCs w:val="18"/>
                <w:lang w:val="en-US"/>
              </w:rPr>
              <w:t xml:space="preserve"> A, Fey R. Emergency Care of Pediatric Burns. </w:t>
            </w:r>
            <w:proofErr w:type="spellStart"/>
            <w:r w:rsidRPr="009674D5">
              <w:rPr>
                <w:rFonts w:ascii="Arial" w:hAnsi="Arial" w:cs="Arial"/>
                <w:color w:val="000000"/>
                <w:sz w:val="18"/>
                <w:szCs w:val="18"/>
                <w:lang w:val="en-US"/>
              </w:rPr>
              <w:t>Emerg.Med.Clin.N.Am</w:t>
            </w:r>
            <w:proofErr w:type="spellEnd"/>
            <w:r w:rsidRPr="009674D5">
              <w:rPr>
                <w:rFonts w:ascii="Arial" w:hAnsi="Arial" w:cs="Arial"/>
                <w:color w:val="000000"/>
                <w:sz w:val="18"/>
                <w:szCs w:val="18"/>
                <w:lang w:val="en-US"/>
              </w:rPr>
              <w:t>. 2018</w:t>
            </w:r>
            <w:proofErr w:type="gramStart"/>
            <w:r w:rsidRPr="009674D5">
              <w:rPr>
                <w:rFonts w:ascii="Arial" w:hAnsi="Arial" w:cs="Arial"/>
                <w:color w:val="000000"/>
                <w:sz w:val="18"/>
                <w:szCs w:val="18"/>
                <w:lang w:val="en-US"/>
              </w:rPr>
              <w:t>;36:441</w:t>
            </w:r>
            <w:proofErr w:type="gramEnd"/>
            <w:r w:rsidRPr="009674D5">
              <w:rPr>
                <w:rFonts w:ascii="Arial" w:hAnsi="Arial" w:cs="Arial"/>
                <w:color w:val="000000"/>
                <w:sz w:val="18"/>
                <w:szCs w:val="18"/>
                <w:lang w:val="en-US"/>
              </w:rPr>
              <w:t>-458.</w:t>
            </w:r>
            <w:r w:rsidRPr="009674D5">
              <w:rPr>
                <w:rFonts w:ascii="Arial" w:hAnsi="Arial" w:cs="Arial"/>
                <w:color w:val="000000"/>
                <w:sz w:val="18"/>
                <w:szCs w:val="18"/>
                <w:lang w:val="en-US"/>
              </w:rPr>
              <w:br/>
            </w:r>
            <w:hyperlink r:id="rId49" w:tgtFrame="_blank" w:history="1">
              <w:r w:rsidRPr="009674D5">
                <w:rPr>
                  <w:rStyle w:val="Hipervnculo"/>
                  <w:rFonts w:ascii="Arial" w:hAnsi="Arial" w:cs="Arial"/>
                  <w:sz w:val="18"/>
                  <w:szCs w:val="18"/>
                </w:rPr>
                <w:t>https://doi.org/10.1016/j.emc.2017.12.011</w:t>
              </w:r>
            </w:hyperlink>
          </w:p>
        </w:tc>
      </w:tr>
      <w:tr w:rsidR="009674D5" w:rsidRPr="002519A6" w:rsidTr="009674D5">
        <w:trPr>
          <w:tblCellSpacing w:w="7" w:type="dxa"/>
        </w:trPr>
        <w:tc>
          <w:tcPr>
            <w:tcW w:w="4984" w:type="pct"/>
            <w:vAlign w:val="center"/>
          </w:tcPr>
          <w:p w:rsidR="009674D5" w:rsidRPr="002519A6" w:rsidRDefault="009674D5" w:rsidP="00F00BD7">
            <w:pPr>
              <w:pStyle w:val="Prrafodelista"/>
              <w:numPr>
                <w:ilvl w:val="0"/>
                <w:numId w:val="11"/>
              </w:numPr>
              <w:jc w:val="both"/>
              <w:rPr>
                <w:rFonts w:ascii="Arial" w:hAnsi="Arial" w:cs="Arial"/>
                <w:color w:val="000000"/>
                <w:sz w:val="18"/>
                <w:szCs w:val="18"/>
                <w:lang w:val="en-US"/>
              </w:rPr>
            </w:pPr>
            <w:r w:rsidRPr="009674D5">
              <w:rPr>
                <w:rFonts w:ascii="Arial" w:hAnsi="Arial" w:cs="Arial"/>
                <w:color w:val="000000"/>
                <w:sz w:val="18"/>
                <w:szCs w:val="18"/>
                <w:lang w:val="en-US"/>
              </w:rPr>
              <w:t xml:space="preserve">Arbuthnot M, Garcia A. Early resuscitation and management of severe pediatric burns. </w:t>
            </w:r>
            <w:proofErr w:type="spellStart"/>
            <w:r w:rsidRPr="002519A6">
              <w:rPr>
                <w:rFonts w:ascii="Arial" w:hAnsi="Arial" w:cs="Arial"/>
                <w:color w:val="000000"/>
                <w:sz w:val="18"/>
                <w:szCs w:val="18"/>
                <w:lang w:val="en-US"/>
              </w:rPr>
              <w:t>Sem.Ped.Surg</w:t>
            </w:r>
            <w:proofErr w:type="spellEnd"/>
            <w:r w:rsidRPr="002519A6">
              <w:rPr>
                <w:rFonts w:ascii="Arial" w:hAnsi="Arial" w:cs="Arial"/>
                <w:color w:val="000000"/>
                <w:sz w:val="18"/>
                <w:szCs w:val="18"/>
                <w:lang w:val="en-US"/>
              </w:rPr>
              <w:t>. 2019</w:t>
            </w:r>
            <w:proofErr w:type="gramStart"/>
            <w:r w:rsidRPr="002519A6">
              <w:rPr>
                <w:rFonts w:ascii="Arial" w:hAnsi="Arial" w:cs="Arial"/>
                <w:color w:val="000000"/>
                <w:sz w:val="18"/>
                <w:szCs w:val="18"/>
                <w:lang w:val="en-US"/>
              </w:rPr>
              <w:t>;28</w:t>
            </w:r>
            <w:proofErr w:type="gramEnd"/>
            <w:r w:rsidRPr="002519A6">
              <w:rPr>
                <w:rFonts w:ascii="Arial" w:hAnsi="Arial" w:cs="Arial"/>
                <w:color w:val="000000"/>
                <w:sz w:val="18"/>
                <w:szCs w:val="18"/>
                <w:lang w:val="en-US"/>
              </w:rPr>
              <w:t>(1):73-78.</w:t>
            </w:r>
            <w:hyperlink r:id="rId50" w:tgtFrame="_blank" w:history="1">
              <w:r w:rsidRPr="002519A6">
                <w:rPr>
                  <w:rStyle w:val="Hipervnculo"/>
                  <w:rFonts w:ascii="Arial" w:hAnsi="Arial" w:cs="Arial"/>
                  <w:sz w:val="18"/>
                  <w:szCs w:val="18"/>
                  <w:lang w:val="en-US"/>
                </w:rPr>
                <w:t>https://doi.org/10.1053/j.sempedsurg.2019.01.013</w:t>
              </w:r>
            </w:hyperlink>
          </w:p>
        </w:tc>
      </w:tr>
      <w:tr w:rsidR="009674D5" w:rsidRPr="002519A6" w:rsidTr="009674D5">
        <w:trPr>
          <w:tblCellSpacing w:w="7" w:type="dxa"/>
        </w:trPr>
        <w:tc>
          <w:tcPr>
            <w:tcW w:w="4984" w:type="pct"/>
            <w:vAlign w:val="center"/>
          </w:tcPr>
          <w:p w:rsidR="009674D5" w:rsidRPr="002519A6" w:rsidRDefault="009674D5" w:rsidP="00F00BD7">
            <w:pPr>
              <w:pStyle w:val="Prrafodelista"/>
              <w:numPr>
                <w:ilvl w:val="0"/>
                <w:numId w:val="11"/>
              </w:numPr>
              <w:jc w:val="both"/>
              <w:rPr>
                <w:rFonts w:ascii="Arial" w:hAnsi="Arial" w:cs="Arial"/>
                <w:color w:val="000000"/>
                <w:sz w:val="18"/>
                <w:szCs w:val="18"/>
                <w:lang w:val="en-US"/>
              </w:rPr>
            </w:pPr>
            <w:r w:rsidRPr="009674D5">
              <w:rPr>
                <w:rFonts w:ascii="Arial" w:hAnsi="Arial" w:cs="Arial"/>
                <w:color w:val="000000"/>
                <w:sz w:val="18"/>
                <w:szCs w:val="18"/>
                <w:lang w:val="en-US"/>
              </w:rPr>
              <w:lastRenderedPageBreak/>
              <w:t xml:space="preserve">Choi Y, Campbell K, </w:t>
            </w:r>
            <w:proofErr w:type="spellStart"/>
            <w:r w:rsidRPr="009674D5">
              <w:rPr>
                <w:rFonts w:ascii="Arial" w:hAnsi="Arial" w:cs="Arial"/>
                <w:color w:val="000000"/>
                <w:sz w:val="18"/>
                <w:szCs w:val="18"/>
                <w:lang w:val="en-US"/>
              </w:rPr>
              <w:t>Levek</w:t>
            </w:r>
            <w:proofErr w:type="spellEnd"/>
            <w:r w:rsidRPr="009674D5">
              <w:rPr>
                <w:rFonts w:ascii="Arial" w:hAnsi="Arial" w:cs="Arial"/>
                <w:color w:val="000000"/>
                <w:sz w:val="18"/>
                <w:szCs w:val="18"/>
                <w:lang w:val="en-US"/>
              </w:rPr>
              <w:t xml:space="preserve"> C, </w:t>
            </w:r>
            <w:proofErr w:type="spellStart"/>
            <w:r w:rsidRPr="009674D5">
              <w:rPr>
                <w:rFonts w:ascii="Arial" w:hAnsi="Arial" w:cs="Arial"/>
                <w:color w:val="000000"/>
                <w:sz w:val="18"/>
                <w:szCs w:val="18"/>
                <w:lang w:val="en-US"/>
              </w:rPr>
              <w:t>Recicar</w:t>
            </w:r>
            <w:proofErr w:type="spellEnd"/>
            <w:r w:rsidRPr="009674D5">
              <w:rPr>
                <w:rFonts w:ascii="Arial" w:hAnsi="Arial" w:cs="Arial"/>
                <w:color w:val="000000"/>
                <w:sz w:val="18"/>
                <w:szCs w:val="18"/>
                <w:lang w:val="en-US"/>
              </w:rPr>
              <w:t xml:space="preserve"> J, Moulton S. Antibiotic ointment versus a silver-based dressing for children with extremity burns: A randomized controlled study. </w:t>
            </w:r>
            <w:proofErr w:type="spellStart"/>
            <w:r w:rsidRPr="002519A6">
              <w:rPr>
                <w:rFonts w:ascii="Arial" w:hAnsi="Arial" w:cs="Arial"/>
                <w:color w:val="000000"/>
                <w:sz w:val="18"/>
                <w:szCs w:val="18"/>
                <w:lang w:val="en-US"/>
              </w:rPr>
              <w:t>J.Pediatr.Surg</w:t>
            </w:r>
            <w:proofErr w:type="spellEnd"/>
            <w:r w:rsidRPr="002519A6">
              <w:rPr>
                <w:rFonts w:ascii="Arial" w:hAnsi="Arial" w:cs="Arial"/>
                <w:color w:val="000000"/>
                <w:sz w:val="18"/>
                <w:szCs w:val="18"/>
                <w:lang w:val="en-US"/>
              </w:rPr>
              <w:t>. 2019</w:t>
            </w:r>
            <w:proofErr w:type="gramStart"/>
            <w:r w:rsidRPr="002519A6">
              <w:rPr>
                <w:rFonts w:ascii="Arial" w:hAnsi="Arial" w:cs="Arial"/>
                <w:color w:val="000000"/>
                <w:sz w:val="18"/>
                <w:szCs w:val="18"/>
                <w:lang w:val="en-US"/>
              </w:rPr>
              <w:t>;54</w:t>
            </w:r>
            <w:proofErr w:type="gramEnd"/>
            <w:r w:rsidRPr="002519A6">
              <w:rPr>
                <w:rFonts w:ascii="Arial" w:hAnsi="Arial" w:cs="Arial"/>
                <w:color w:val="000000"/>
                <w:sz w:val="18"/>
                <w:szCs w:val="18"/>
                <w:lang w:val="en-US"/>
              </w:rPr>
              <w:t>(7):1391-1396.</w:t>
            </w:r>
            <w:hyperlink r:id="rId51" w:tgtFrame="_blank" w:history="1">
              <w:r w:rsidRPr="002519A6">
                <w:rPr>
                  <w:rStyle w:val="Hipervnculo"/>
                  <w:rFonts w:ascii="Arial" w:hAnsi="Arial" w:cs="Arial"/>
                  <w:sz w:val="18"/>
                  <w:szCs w:val="18"/>
                  <w:lang w:val="en-US"/>
                </w:rPr>
                <w:t>https://doi.org/10.1016/j.jpedsurg.2018.06.011</w:t>
              </w:r>
            </w:hyperlink>
          </w:p>
        </w:tc>
      </w:tr>
      <w:tr w:rsidR="009674D5" w:rsidRPr="002519A6" w:rsidTr="009674D5">
        <w:trPr>
          <w:tblCellSpacing w:w="7" w:type="dxa"/>
        </w:trPr>
        <w:tc>
          <w:tcPr>
            <w:tcW w:w="4984" w:type="pct"/>
            <w:vAlign w:val="center"/>
          </w:tcPr>
          <w:p w:rsidR="009674D5" w:rsidRPr="002519A6" w:rsidRDefault="009674D5" w:rsidP="00F00BD7">
            <w:pPr>
              <w:pStyle w:val="Prrafodelista"/>
              <w:numPr>
                <w:ilvl w:val="0"/>
                <w:numId w:val="11"/>
              </w:numPr>
              <w:jc w:val="both"/>
              <w:rPr>
                <w:rFonts w:ascii="Arial" w:hAnsi="Arial" w:cs="Arial"/>
                <w:color w:val="000000"/>
                <w:sz w:val="18"/>
                <w:szCs w:val="18"/>
                <w:lang w:val="en-US"/>
              </w:rPr>
            </w:pPr>
            <w:r w:rsidRPr="009674D5">
              <w:rPr>
                <w:rFonts w:ascii="Arial" w:hAnsi="Arial" w:cs="Arial"/>
                <w:color w:val="000000"/>
                <w:sz w:val="18"/>
                <w:szCs w:val="18"/>
                <w:lang w:val="en-US"/>
              </w:rPr>
              <w:t xml:space="preserve">Collier Z, </w:t>
            </w:r>
            <w:proofErr w:type="spellStart"/>
            <w:r w:rsidRPr="009674D5">
              <w:rPr>
                <w:rFonts w:ascii="Arial" w:hAnsi="Arial" w:cs="Arial"/>
                <w:color w:val="000000"/>
                <w:sz w:val="18"/>
                <w:szCs w:val="18"/>
                <w:lang w:val="en-US"/>
              </w:rPr>
              <w:t>Roughton</w:t>
            </w:r>
            <w:proofErr w:type="spellEnd"/>
            <w:r w:rsidRPr="009674D5">
              <w:rPr>
                <w:rFonts w:ascii="Arial" w:hAnsi="Arial" w:cs="Arial"/>
                <w:color w:val="000000"/>
                <w:sz w:val="18"/>
                <w:szCs w:val="18"/>
                <w:lang w:val="en-US"/>
              </w:rPr>
              <w:t xml:space="preserve"> M, Gottlieb L. Negligent and Inflicted Burns in Children. </w:t>
            </w:r>
            <w:proofErr w:type="spellStart"/>
            <w:r w:rsidRPr="002519A6">
              <w:rPr>
                <w:rFonts w:ascii="Arial" w:hAnsi="Arial" w:cs="Arial"/>
                <w:color w:val="000000"/>
                <w:sz w:val="18"/>
                <w:szCs w:val="18"/>
                <w:lang w:val="en-US"/>
              </w:rPr>
              <w:t>Clin</w:t>
            </w:r>
            <w:proofErr w:type="spellEnd"/>
            <w:r w:rsidRPr="002519A6">
              <w:rPr>
                <w:rFonts w:ascii="Arial" w:hAnsi="Arial" w:cs="Arial"/>
                <w:color w:val="000000"/>
                <w:sz w:val="18"/>
                <w:szCs w:val="18"/>
                <w:lang w:val="en-US"/>
              </w:rPr>
              <w:t>. Plastic. Surg. 2017</w:t>
            </w:r>
            <w:proofErr w:type="gramStart"/>
            <w:r w:rsidRPr="002519A6">
              <w:rPr>
                <w:rFonts w:ascii="Arial" w:hAnsi="Arial" w:cs="Arial"/>
                <w:color w:val="000000"/>
                <w:sz w:val="18"/>
                <w:szCs w:val="18"/>
                <w:lang w:val="en-US"/>
              </w:rPr>
              <w:t>;44</w:t>
            </w:r>
            <w:proofErr w:type="gramEnd"/>
            <w:r w:rsidRPr="002519A6">
              <w:rPr>
                <w:rFonts w:ascii="Arial" w:hAnsi="Arial" w:cs="Arial"/>
                <w:color w:val="000000"/>
                <w:sz w:val="18"/>
                <w:szCs w:val="18"/>
                <w:lang w:val="en-US"/>
              </w:rPr>
              <w:t>(3):467-477.</w:t>
            </w:r>
            <w:hyperlink r:id="rId52" w:tgtFrame="_blank" w:history="1">
              <w:r w:rsidRPr="002519A6">
                <w:rPr>
                  <w:rStyle w:val="Hipervnculo"/>
                  <w:rFonts w:ascii="Arial" w:hAnsi="Arial" w:cs="Arial"/>
                  <w:sz w:val="18"/>
                  <w:szCs w:val="18"/>
                  <w:lang w:val="en-US"/>
                </w:rPr>
                <w:t>https://doi.org/10.1016/j.cps.2017.02.022</w:t>
              </w:r>
            </w:hyperlink>
          </w:p>
        </w:tc>
      </w:tr>
      <w:tr w:rsidR="009674D5" w:rsidTr="009674D5">
        <w:trPr>
          <w:tblCellSpacing w:w="7" w:type="dxa"/>
        </w:trPr>
        <w:tc>
          <w:tcPr>
            <w:tcW w:w="4984" w:type="pct"/>
            <w:vAlign w:val="center"/>
          </w:tcPr>
          <w:p w:rsidR="009674D5" w:rsidRPr="009674D5" w:rsidRDefault="009674D5" w:rsidP="00F00BD7">
            <w:pPr>
              <w:pStyle w:val="Prrafodelista"/>
              <w:numPr>
                <w:ilvl w:val="0"/>
                <w:numId w:val="11"/>
              </w:numPr>
              <w:jc w:val="both"/>
              <w:rPr>
                <w:rFonts w:ascii="Arial" w:hAnsi="Arial" w:cs="Arial"/>
                <w:color w:val="000000"/>
                <w:sz w:val="18"/>
                <w:szCs w:val="18"/>
              </w:rPr>
            </w:pPr>
            <w:proofErr w:type="spellStart"/>
            <w:r w:rsidRPr="009674D5">
              <w:rPr>
                <w:rFonts w:ascii="Arial" w:hAnsi="Arial" w:cs="Arial"/>
                <w:color w:val="000000"/>
                <w:sz w:val="18"/>
                <w:szCs w:val="18"/>
                <w:lang w:val="en-US"/>
              </w:rPr>
              <w:t>Csenkey</w:t>
            </w:r>
            <w:proofErr w:type="spellEnd"/>
            <w:r w:rsidRPr="009674D5">
              <w:rPr>
                <w:rFonts w:ascii="Arial" w:hAnsi="Arial" w:cs="Arial"/>
                <w:color w:val="000000"/>
                <w:sz w:val="18"/>
                <w:szCs w:val="18"/>
                <w:lang w:val="en-US"/>
              </w:rPr>
              <w:t xml:space="preserve"> A, </w:t>
            </w:r>
            <w:proofErr w:type="spellStart"/>
            <w:r w:rsidRPr="009674D5">
              <w:rPr>
                <w:rFonts w:ascii="Arial" w:hAnsi="Arial" w:cs="Arial"/>
                <w:color w:val="000000"/>
                <w:sz w:val="18"/>
                <w:szCs w:val="18"/>
                <w:lang w:val="en-US"/>
              </w:rPr>
              <w:t>Jozsa</w:t>
            </w:r>
            <w:proofErr w:type="spellEnd"/>
            <w:r w:rsidRPr="009674D5">
              <w:rPr>
                <w:rFonts w:ascii="Arial" w:hAnsi="Arial" w:cs="Arial"/>
                <w:color w:val="000000"/>
                <w:sz w:val="18"/>
                <w:szCs w:val="18"/>
                <w:lang w:val="en-US"/>
              </w:rPr>
              <w:t xml:space="preserve"> G, </w:t>
            </w:r>
            <w:proofErr w:type="spellStart"/>
            <w:r w:rsidRPr="009674D5">
              <w:rPr>
                <w:rFonts w:ascii="Arial" w:hAnsi="Arial" w:cs="Arial"/>
                <w:color w:val="000000"/>
                <w:sz w:val="18"/>
                <w:szCs w:val="18"/>
                <w:lang w:val="en-US"/>
              </w:rPr>
              <w:t>Gede</w:t>
            </w:r>
            <w:proofErr w:type="spellEnd"/>
            <w:r w:rsidRPr="009674D5">
              <w:rPr>
                <w:rFonts w:ascii="Arial" w:hAnsi="Arial" w:cs="Arial"/>
                <w:color w:val="000000"/>
                <w:sz w:val="18"/>
                <w:szCs w:val="18"/>
                <w:lang w:val="en-US"/>
              </w:rPr>
              <w:t xml:space="preserve"> N, </w:t>
            </w:r>
            <w:proofErr w:type="spellStart"/>
            <w:r w:rsidRPr="009674D5">
              <w:rPr>
                <w:rFonts w:ascii="Arial" w:hAnsi="Arial" w:cs="Arial"/>
                <w:color w:val="000000"/>
                <w:sz w:val="18"/>
                <w:szCs w:val="18"/>
                <w:lang w:val="en-US"/>
              </w:rPr>
              <w:t>Pakai</w:t>
            </w:r>
            <w:proofErr w:type="spellEnd"/>
            <w:r w:rsidRPr="009674D5">
              <w:rPr>
                <w:rFonts w:ascii="Arial" w:hAnsi="Arial" w:cs="Arial"/>
                <w:color w:val="000000"/>
                <w:sz w:val="18"/>
                <w:szCs w:val="18"/>
                <w:lang w:val="en-US"/>
              </w:rPr>
              <w:t xml:space="preserve"> E, </w:t>
            </w:r>
            <w:proofErr w:type="spellStart"/>
            <w:r w:rsidRPr="009674D5">
              <w:rPr>
                <w:rFonts w:ascii="Arial" w:hAnsi="Arial" w:cs="Arial"/>
                <w:color w:val="000000"/>
                <w:sz w:val="18"/>
                <w:szCs w:val="18"/>
                <w:lang w:val="en-US"/>
              </w:rPr>
              <w:t>Tinusz</w:t>
            </w:r>
            <w:proofErr w:type="spellEnd"/>
            <w:r w:rsidRPr="009674D5">
              <w:rPr>
                <w:rFonts w:ascii="Arial" w:hAnsi="Arial" w:cs="Arial"/>
                <w:color w:val="000000"/>
                <w:sz w:val="18"/>
                <w:szCs w:val="18"/>
                <w:lang w:val="en-US"/>
              </w:rPr>
              <w:t xml:space="preserve"> B, </w:t>
            </w:r>
            <w:proofErr w:type="spellStart"/>
            <w:r w:rsidRPr="009674D5">
              <w:rPr>
                <w:rFonts w:ascii="Arial" w:hAnsi="Arial" w:cs="Arial"/>
                <w:color w:val="000000"/>
                <w:sz w:val="18"/>
                <w:szCs w:val="18"/>
                <w:lang w:val="en-US"/>
              </w:rPr>
              <w:t>Rumbus</w:t>
            </w:r>
            <w:proofErr w:type="spellEnd"/>
            <w:r w:rsidRPr="009674D5">
              <w:rPr>
                <w:rFonts w:ascii="Arial" w:hAnsi="Arial" w:cs="Arial"/>
                <w:color w:val="000000"/>
                <w:sz w:val="18"/>
                <w:szCs w:val="18"/>
                <w:lang w:val="en-US"/>
              </w:rPr>
              <w:t xml:space="preserve"> Z et al. Systemic antibiotic prophylaxis does not affect infectious complications in pediatric burn injury: A meta-analysis. </w:t>
            </w:r>
            <w:proofErr w:type="spellStart"/>
            <w:r w:rsidRPr="009674D5">
              <w:rPr>
                <w:rFonts w:ascii="Arial" w:hAnsi="Arial" w:cs="Arial"/>
                <w:color w:val="000000"/>
                <w:sz w:val="18"/>
                <w:szCs w:val="18"/>
              </w:rPr>
              <w:t>PLoS</w:t>
            </w:r>
            <w:proofErr w:type="spellEnd"/>
            <w:r w:rsidRPr="009674D5">
              <w:rPr>
                <w:rFonts w:ascii="Arial" w:hAnsi="Arial" w:cs="Arial"/>
                <w:color w:val="000000"/>
                <w:sz w:val="18"/>
                <w:szCs w:val="18"/>
              </w:rPr>
              <w:t xml:space="preserve"> </w:t>
            </w:r>
            <w:proofErr w:type="spellStart"/>
            <w:r w:rsidRPr="009674D5">
              <w:rPr>
                <w:rFonts w:ascii="Arial" w:hAnsi="Arial" w:cs="Arial"/>
                <w:color w:val="000000"/>
                <w:sz w:val="18"/>
                <w:szCs w:val="18"/>
              </w:rPr>
              <w:t>One</w:t>
            </w:r>
            <w:proofErr w:type="spellEnd"/>
            <w:r w:rsidRPr="009674D5">
              <w:rPr>
                <w:rFonts w:ascii="Arial" w:hAnsi="Arial" w:cs="Arial"/>
                <w:color w:val="000000"/>
                <w:sz w:val="18"/>
                <w:szCs w:val="18"/>
              </w:rPr>
              <w:t>. 2019</w:t>
            </w:r>
            <w:proofErr w:type="gramStart"/>
            <w:r w:rsidRPr="009674D5">
              <w:rPr>
                <w:rFonts w:ascii="Arial" w:hAnsi="Arial" w:cs="Arial"/>
                <w:color w:val="000000"/>
                <w:sz w:val="18"/>
                <w:szCs w:val="18"/>
              </w:rPr>
              <w:t>;14</w:t>
            </w:r>
            <w:proofErr w:type="gramEnd"/>
            <w:r w:rsidRPr="009674D5">
              <w:rPr>
                <w:rFonts w:ascii="Arial" w:hAnsi="Arial" w:cs="Arial"/>
                <w:color w:val="000000"/>
                <w:sz w:val="18"/>
                <w:szCs w:val="18"/>
              </w:rPr>
              <w:t>(9):1-13.</w:t>
            </w:r>
            <w:hyperlink r:id="rId53" w:tgtFrame="_blank" w:history="1">
              <w:r w:rsidRPr="009674D5">
                <w:rPr>
                  <w:rStyle w:val="Hipervnculo"/>
                  <w:rFonts w:ascii="Arial" w:hAnsi="Arial" w:cs="Arial"/>
                  <w:sz w:val="18"/>
                  <w:szCs w:val="18"/>
                </w:rPr>
                <w:t>https://doi.org/10.1371/journal.pone.0223063</w:t>
              </w:r>
            </w:hyperlink>
          </w:p>
        </w:tc>
      </w:tr>
      <w:tr w:rsidR="009674D5" w:rsidTr="009674D5">
        <w:trPr>
          <w:tblCellSpacing w:w="7" w:type="dxa"/>
        </w:trPr>
        <w:tc>
          <w:tcPr>
            <w:tcW w:w="4984" w:type="pct"/>
            <w:vAlign w:val="center"/>
          </w:tcPr>
          <w:p w:rsidR="009674D5" w:rsidRPr="009674D5" w:rsidRDefault="009674D5" w:rsidP="00F00BD7">
            <w:pPr>
              <w:pStyle w:val="Prrafodelista"/>
              <w:numPr>
                <w:ilvl w:val="0"/>
                <w:numId w:val="11"/>
              </w:numPr>
              <w:jc w:val="both"/>
              <w:rPr>
                <w:rFonts w:ascii="Arial" w:hAnsi="Arial" w:cs="Arial"/>
                <w:color w:val="000000"/>
                <w:sz w:val="18"/>
                <w:szCs w:val="18"/>
              </w:rPr>
            </w:pPr>
            <w:proofErr w:type="spellStart"/>
            <w:r w:rsidRPr="009674D5">
              <w:rPr>
                <w:rFonts w:ascii="Arial" w:hAnsi="Arial" w:cs="Arial"/>
                <w:color w:val="000000"/>
                <w:sz w:val="18"/>
                <w:szCs w:val="18"/>
                <w:lang w:val="en-US"/>
              </w:rPr>
              <w:t>Finnerty</w:t>
            </w:r>
            <w:proofErr w:type="spellEnd"/>
            <w:r w:rsidRPr="009674D5">
              <w:rPr>
                <w:rFonts w:ascii="Arial" w:hAnsi="Arial" w:cs="Arial"/>
                <w:color w:val="000000"/>
                <w:sz w:val="18"/>
                <w:szCs w:val="18"/>
                <w:lang w:val="en-US"/>
              </w:rPr>
              <w:t xml:space="preserve"> C, Herndon D, Lee J, Rodriguez N, Al-Haj I, </w:t>
            </w:r>
            <w:proofErr w:type="spellStart"/>
            <w:r w:rsidRPr="009674D5">
              <w:rPr>
                <w:rFonts w:ascii="Arial" w:hAnsi="Arial" w:cs="Arial"/>
                <w:color w:val="000000"/>
                <w:sz w:val="18"/>
                <w:szCs w:val="18"/>
                <w:lang w:val="en-US"/>
              </w:rPr>
              <w:t>Wurzer</w:t>
            </w:r>
            <w:proofErr w:type="spellEnd"/>
            <w:r w:rsidRPr="009674D5">
              <w:rPr>
                <w:rFonts w:ascii="Arial" w:hAnsi="Arial" w:cs="Arial"/>
                <w:color w:val="000000"/>
                <w:sz w:val="18"/>
                <w:szCs w:val="18"/>
                <w:lang w:val="en-US"/>
              </w:rPr>
              <w:t xml:space="preserve"> P et al. Morbidity and mortality in severely burned children with Clostridium </w:t>
            </w:r>
            <w:proofErr w:type="spellStart"/>
            <w:r w:rsidRPr="009674D5">
              <w:rPr>
                <w:rFonts w:ascii="Arial" w:hAnsi="Arial" w:cs="Arial"/>
                <w:color w:val="000000"/>
                <w:sz w:val="18"/>
                <w:szCs w:val="18"/>
                <w:lang w:val="en-US"/>
              </w:rPr>
              <w:t>difficile</w:t>
            </w:r>
            <w:proofErr w:type="spellEnd"/>
            <w:r w:rsidRPr="009674D5">
              <w:rPr>
                <w:rFonts w:ascii="Arial" w:hAnsi="Arial" w:cs="Arial"/>
                <w:color w:val="000000"/>
                <w:sz w:val="18"/>
                <w:szCs w:val="18"/>
                <w:lang w:val="en-US"/>
              </w:rPr>
              <w:t xml:space="preserve"> -associated diarrhea. </w:t>
            </w:r>
            <w:proofErr w:type="spellStart"/>
            <w:r w:rsidRPr="009674D5">
              <w:rPr>
                <w:rFonts w:ascii="Arial" w:hAnsi="Arial" w:cs="Arial"/>
                <w:color w:val="000000"/>
                <w:sz w:val="18"/>
                <w:szCs w:val="18"/>
              </w:rPr>
              <w:t>Surgery</w:t>
            </w:r>
            <w:proofErr w:type="spellEnd"/>
            <w:r w:rsidRPr="009674D5">
              <w:rPr>
                <w:rFonts w:ascii="Arial" w:hAnsi="Arial" w:cs="Arial"/>
                <w:color w:val="000000"/>
                <w:sz w:val="18"/>
                <w:szCs w:val="18"/>
              </w:rPr>
              <w:t>. 2016</w:t>
            </w:r>
            <w:proofErr w:type="gramStart"/>
            <w:r w:rsidRPr="009674D5">
              <w:rPr>
                <w:rFonts w:ascii="Arial" w:hAnsi="Arial" w:cs="Arial"/>
                <w:color w:val="000000"/>
                <w:sz w:val="18"/>
                <w:szCs w:val="18"/>
              </w:rPr>
              <w:t>;159</w:t>
            </w:r>
            <w:proofErr w:type="gramEnd"/>
            <w:r w:rsidRPr="009674D5">
              <w:rPr>
                <w:rFonts w:ascii="Arial" w:hAnsi="Arial" w:cs="Arial"/>
                <w:color w:val="000000"/>
                <w:sz w:val="18"/>
                <w:szCs w:val="18"/>
              </w:rPr>
              <w:t>(6):1631-1637.</w:t>
            </w:r>
            <w:hyperlink r:id="rId54" w:tgtFrame="_blank" w:history="1">
              <w:r w:rsidRPr="009674D5">
                <w:rPr>
                  <w:rStyle w:val="Hipervnculo"/>
                  <w:rFonts w:ascii="Arial" w:hAnsi="Arial" w:cs="Arial"/>
                  <w:sz w:val="18"/>
                  <w:szCs w:val="18"/>
                </w:rPr>
                <w:t>https://doi.org/10.1016/j.surg.2016.01.004</w:t>
              </w:r>
            </w:hyperlink>
          </w:p>
        </w:tc>
      </w:tr>
      <w:tr w:rsidR="009674D5" w:rsidRPr="002519A6" w:rsidTr="009674D5">
        <w:trPr>
          <w:tblCellSpacing w:w="7" w:type="dxa"/>
        </w:trPr>
        <w:tc>
          <w:tcPr>
            <w:tcW w:w="4984" w:type="pct"/>
            <w:vAlign w:val="center"/>
          </w:tcPr>
          <w:p w:rsidR="009674D5" w:rsidRPr="002519A6" w:rsidRDefault="009674D5" w:rsidP="00F00BD7">
            <w:pPr>
              <w:pStyle w:val="Prrafodelista"/>
              <w:numPr>
                <w:ilvl w:val="0"/>
                <w:numId w:val="11"/>
              </w:numPr>
              <w:jc w:val="both"/>
              <w:rPr>
                <w:rFonts w:ascii="Arial" w:hAnsi="Arial" w:cs="Arial"/>
                <w:color w:val="000000"/>
                <w:sz w:val="18"/>
                <w:szCs w:val="18"/>
                <w:lang w:val="en-US"/>
              </w:rPr>
            </w:pPr>
            <w:proofErr w:type="spellStart"/>
            <w:r w:rsidRPr="009674D5">
              <w:rPr>
                <w:rFonts w:ascii="Arial" w:hAnsi="Arial" w:cs="Arial"/>
                <w:color w:val="000000"/>
                <w:sz w:val="18"/>
                <w:szCs w:val="18"/>
                <w:lang w:val="en-US"/>
              </w:rPr>
              <w:t>Norbury</w:t>
            </w:r>
            <w:proofErr w:type="spellEnd"/>
            <w:r w:rsidRPr="009674D5">
              <w:rPr>
                <w:rFonts w:ascii="Arial" w:hAnsi="Arial" w:cs="Arial"/>
                <w:color w:val="000000"/>
                <w:sz w:val="18"/>
                <w:szCs w:val="18"/>
                <w:lang w:val="en-US"/>
              </w:rPr>
              <w:t xml:space="preserve"> W, Herndon D. Management of Acute Pediatric Hand Burns. </w:t>
            </w:r>
            <w:r w:rsidRPr="002519A6">
              <w:rPr>
                <w:rFonts w:ascii="Arial" w:hAnsi="Arial" w:cs="Arial"/>
                <w:color w:val="000000"/>
                <w:sz w:val="18"/>
                <w:szCs w:val="18"/>
                <w:lang w:val="en-US"/>
              </w:rPr>
              <w:t xml:space="preserve">Hand </w:t>
            </w:r>
            <w:proofErr w:type="spellStart"/>
            <w:r w:rsidRPr="002519A6">
              <w:rPr>
                <w:rFonts w:ascii="Arial" w:hAnsi="Arial" w:cs="Arial"/>
                <w:color w:val="000000"/>
                <w:sz w:val="18"/>
                <w:szCs w:val="18"/>
                <w:lang w:val="en-US"/>
              </w:rPr>
              <w:t>Clin</w:t>
            </w:r>
            <w:proofErr w:type="spellEnd"/>
            <w:r w:rsidRPr="002519A6">
              <w:rPr>
                <w:rFonts w:ascii="Arial" w:hAnsi="Arial" w:cs="Arial"/>
                <w:color w:val="000000"/>
                <w:sz w:val="18"/>
                <w:szCs w:val="18"/>
                <w:lang w:val="en-US"/>
              </w:rPr>
              <w:t>. 2017</w:t>
            </w:r>
            <w:proofErr w:type="gramStart"/>
            <w:r w:rsidRPr="002519A6">
              <w:rPr>
                <w:rFonts w:ascii="Arial" w:hAnsi="Arial" w:cs="Arial"/>
                <w:color w:val="000000"/>
                <w:sz w:val="18"/>
                <w:szCs w:val="18"/>
                <w:lang w:val="en-US"/>
              </w:rPr>
              <w:t>;33</w:t>
            </w:r>
            <w:proofErr w:type="gramEnd"/>
            <w:r w:rsidRPr="002519A6">
              <w:rPr>
                <w:rFonts w:ascii="Arial" w:hAnsi="Arial" w:cs="Arial"/>
                <w:color w:val="000000"/>
                <w:sz w:val="18"/>
                <w:szCs w:val="18"/>
                <w:lang w:val="en-US"/>
              </w:rPr>
              <w:t>(2):237-242.</w:t>
            </w:r>
            <w:hyperlink r:id="rId55" w:tgtFrame="_blank" w:history="1">
              <w:r w:rsidRPr="002519A6">
                <w:rPr>
                  <w:rStyle w:val="Hipervnculo"/>
                  <w:rFonts w:ascii="Arial" w:hAnsi="Arial" w:cs="Arial"/>
                  <w:sz w:val="18"/>
                  <w:szCs w:val="18"/>
                  <w:lang w:val="en-US"/>
                </w:rPr>
                <w:t>https://doi.org/10.1016/j.hcl.2016.12.002</w:t>
              </w:r>
            </w:hyperlink>
          </w:p>
        </w:tc>
      </w:tr>
    </w:tbl>
    <w:p w:rsidR="00D441E1" w:rsidRPr="00CE465B" w:rsidRDefault="00D441E1" w:rsidP="00987087">
      <w:pPr>
        <w:spacing w:after="0" w:line="240" w:lineRule="auto"/>
        <w:jc w:val="both"/>
        <w:rPr>
          <w:rStyle w:val="selectable"/>
          <w:rFonts w:ascii="Arial" w:hAnsi="Arial" w:cs="Arial"/>
          <w:color w:val="000000"/>
          <w:sz w:val="18"/>
          <w:szCs w:val="18"/>
          <w:lang w:val="en-US"/>
        </w:rPr>
      </w:pPr>
    </w:p>
    <w:sectPr w:rsidR="00D441E1" w:rsidRPr="00CE465B" w:rsidSect="00274687">
      <w:headerReference w:type="even" r:id="rId56"/>
      <w:headerReference w:type="default" r:id="rId57"/>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BD7" w:rsidRDefault="00F00BD7" w:rsidP="00041F69">
      <w:pPr>
        <w:spacing w:after="0" w:line="240" w:lineRule="auto"/>
      </w:pPr>
      <w:r>
        <w:separator/>
      </w:r>
    </w:p>
  </w:endnote>
  <w:endnote w:type="continuationSeparator" w:id="0">
    <w:p w:rsidR="00F00BD7" w:rsidRDefault="00F00BD7"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9E1BD9" w:rsidRPr="00183C5C" w:rsidTr="00772C50">
      <w:tc>
        <w:tcPr>
          <w:tcW w:w="500" w:type="pct"/>
          <w:shd w:val="clear" w:color="auto" w:fill="FFFFFF" w:themeFill="background1"/>
        </w:tcPr>
        <w:p w:rsidR="009E1BD9" w:rsidRPr="00E87F46" w:rsidRDefault="009E1BD9"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9E1BD9" w:rsidRPr="007D49F2" w:rsidRDefault="009E1BD9"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9E1BD9" w:rsidRPr="00E540AB" w:rsidRDefault="009E1BD9"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3294" w:rsidRDefault="009E1BD9">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9E1BD9" w:rsidRPr="00183C5C" w:rsidTr="0059025C">
      <w:tc>
        <w:tcPr>
          <w:tcW w:w="611" w:type="pct"/>
          <w:shd w:val="clear" w:color="auto" w:fill="FFFFFF" w:themeFill="background1"/>
        </w:tcPr>
        <w:p w:rsidR="009E1BD9" w:rsidRPr="00E87F46" w:rsidRDefault="009E1BD9"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9E1BD9" w:rsidRPr="007D49F2" w:rsidRDefault="009E1BD9"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9E1BD9" w:rsidRPr="00E540AB" w:rsidRDefault="009E1BD9"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78A8" w:rsidRDefault="009E1BD9">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9E1BD9" w:rsidRPr="009C2ECE" w:rsidTr="00D64B5F">
      <w:tc>
        <w:tcPr>
          <w:tcW w:w="500" w:type="pct"/>
          <w:shd w:val="clear" w:color="auto" w:fill="FFFFFF" w:themeFill="background1"/>
        </w:tcPr>
        <w:p w:rsidR="009E1BD9" w:rsidRPr="00E87F46" w:rsidRDefault="00183C5C" w:rsidP="009148F0">
          <w:pPr>
            <w:pStyle w:val="Piedepgina"/>
            <w:rPr>
              <w:rFonts w:ascii="Arial Black" w:hAnsi="Arial Black"/>
              <w:b/>
              <w:bCs/>
              <w:color w:val="002060"/>
              <w:sz w:val="26"/>
              <w:szCs w:val="26"/>
            </w:rPr>
          </w:pPr>
          <w:r>
            <w:rPr>
              <w:rFonts w:ascii="Arial Black" w:hAnsi="Arial Black"/>
              <w:color w:val="002060"/>
              <w:szCs w:val="26"/>
            </w:rPr>
            <w:t>e602</w:t>
          </w:r>
        </w:p>
      </w:tc>
      <w:tc>
        <w:tcPr>
          <w:tcW w:w="4500" w:type="pct"/>
          <w:vAlign w:val="center"/>
        </w:tcPr>
        <w:p w:rsidR="009E1BD9" w:rsidRPr="009C2ECE" w:rsidRDefault="009E1BD9"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7DD06A9E" wp14:editId="3F972FFA">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(11), Noviembre 2020 - </w:t>
          </w:r>
          <w:r w:rsidRPr="009C2ECE">
            <w:rPr>
              <w:rFonts w:ascii="Arial" w:hAnsi="Arial" w:cs="Arial"/>
              <w:color w:val="002060"/>
              <w:sz w:val="16"/>
              <w:szCs w:val="16"/>
            </w:rPr>
            <w:t>ISSN:2215-4523 / e-ISSN:2215-5279</w:t>
          </w:r>
        </w:p>
        <w:p w:rsidR="009E1BD9" w:rsidRPr="003323CE" w:rsidRDefault="009E1BD9"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9E1BD9" w:rsidRPr="003323CE" w:rsidRDefault="009E1BD9"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9E1BD9" w:rsidRPr="009C2ECE" w:rsidTr="007E17CC">
      <w:tc>
        <w:tcPr>
          <w:tcW w:w="611" w:type="pct"/>
          <w:shd w:val="clear" w:color="auto" w:fill="FFFFFF" w:themeFill="background1"/>
        </w:tcPr>
        <w:p w:rsidR="009E1BD9" w:rsidRPr="00E87F46" w:rsidRDefault="00183C5C" w:rsidP="00772C50">
          <w:pPr>
            <w:pStyle w:val="Piedepgina"/>
            <w:jc w:val="right"/>
            <w:rPr>
              <w:rFonts w:ascii="Arial Black" w:hAnsi="Arial Black"/>
              <w:b/>
              <w:bCs/>
              <w:color w:val="002060"/>
              <w:sz w:val="26"/>
              <w:szCs w:val="26"/>
            </w:rPr>
          </w:pPr>
          <w:r>
            <w:rPr>
              <w:rFonts w:ascii="Arial Black" w:hAnsi="Arial Black"/>
              <w:color w:val="002060"/>
              <w:szCs w:val="26"/>
            </w:rPr>
            <w:t>e602</w:t>
          </w:r>
        </w:p>
      </w:tc>
      <w:tc>
        <w:tcPr>
          <w:tcW w:w="4389" w:type="pct"/>
          <w:vAlign w:val="center"/>
        </w:tcPr>
        <w:p w:rsidR="009E1BD9" w:rsidRPr="007A5690" w:rsidRDefault="009E1BD9"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2755FBA8" wp14:editId="28A42144">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Octubre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78A8" w:rsidRDefault="009E1BD9">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9E1BD9" w:rsidRDefault="009E1BD9"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E1BD9" w:rsidRDefault="009E1BD9"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Default="00183C5C" w:rsidP="00765997">
    <w:pPr>
      <w:pStyle w:val="Piedepgina"/>
      <w:framePr w:wrap="none" w:vAnchor="text" w:hAnchor="page" w:x="1978" w:y="9"/>
      <w:rPr>
        <w:rStyle w:val="Nmerodepgina"/>
      </w:rPr>
    </w:pPr>
    <w:r>
      <w:rPr>
        <w:rFonts w:ascii="Arial Black" w:hAnsi="Arial Black"/>
        <w:color w:val="002060"/>
        <w:szCs w:val="26"/>
      </w:rPr>
      <w:t>e602</w:t>
    </w:r>
  </w:p>
  <w:p w:rsidR="009E1BD9" w:rsidRPr="009C2ECE" w:rsidRDefault="00F00BD7"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9E1BD9" w:rsidRPr="00B109C9">
          <w:rPr>
            <w:rFonts w:ascii="Arial" w:hAnsi="Arial" w:cs="Arial"/>
            <w:color w:val="002060"/>
            <w:sz w:val="16"/>
            <w:szCs w:val="16"/>
          </w:rPr>
          <w:t>Revista Médica Sinergia</w:t>
        </w:r>
      </w:sdtContent>
    </w:sdt>
    <w:r w:rsidR="009E1BD9" w:rsidRPr="00B109C9">
      <w:rPr>
        <w:rFonts w:ascii="Arial" w:hAnsi="Arial" w:cs="Arial"/>
        <w:noProof/>
        <w:color w:val="002060"/>
        <w:sz w:val="16"/>
        <w:szCs w:val="16"/>
        <w:lang w:eastAsia="es-PE"/>
      </w:rPr>
      <w:t xml:space="preserve"> </w:t>
    </w:r>
    <w:r w:rsidR="009E1BD9">
      <w:rPr>
        <w:rFonts w:ascii="Arial" w:hAnsi="Arial" w:cs="Arial"/>
        <w:color w:val="002060"/>
        <w:sz w:val="16"/>
        <w:szCs w:val="16"/>
        <w:lang w:val="es-ES"/>
      </w:rPr>
      <w:t xml:space="preserve"> Vol.5 (11), Noviembre 2020 - </w:t>
    </w:r>
    <w:r w:rsidR="009E1BD9" w:rsidRPr="009C2ECE">
      <w:rPr>
        <w:rFonts w:ascii="Arial" w:hAnsi="Arial" w:cs="Arial"/>
        <w:color w:val="002060"/>
        <w:sz w:val="16"/>
        <w:szCs w:val="16"/>
      </w:rPr>
      <w:t>ISSN</w:t>
    </w:r>
    <w:proofErr w:type="gramStart"/>
    <w:r w:rsidR="009E1BD9" w:rsidRPr="009C2ECE">
      <w:rPr>
        <w:rFonts w:ascii="Arial" w:hAnsi="Arial" w:cs="Arial"/>
        <w:color w:val="002060"/>
        <w:sz w:val="16"/>
        <w:szCs w:val="16"/>
      </w:rPr>
      <w:t>:2215</w:t>
    </w:r>
    <w:proofErr w:type="gramEnd"/>
    <w:r w:rsidR="009E1BD9" w:rsidRPr="009C2ECE">
      <w:rPr>
        <w:rFonts w:ascii="Arial" w:hAnsi="Arial" w:cs="Arial"/>
        <w:color w:val="002060"/>
        <w:sz w:val="16"/>
        <w:szCs w:val="16"/>
      </w:rPr>
      <w:t>-4523 / e-ISSN:2215-5279</w:t>
    </w:r>
  </w:p>
  <w:p w:rsidR="009E1BD9" w:rsidRDefault="009E1BD9"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BD7" w:rsidRDefault="00F00BD7" w:rsidP="00041F69">
      <w:pPr>
        <w:spacing w:after="0" w:line="240" w:lineRule="auto"/>
      </w:pPr>
      <w:r>
        <w:separator/>
      </w:r>
    </w:p>
  </w:footnote>
  <w:footnote w:type="continuationSeparator" w:id="0">
    <w:p w:rsidR="00F00BD7" w:rsidRDefault="00F00BD7"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16" w:rsidRPr="00065F16" w:rsidRDefault="00065F16" w:rsidP="00065F16">
    <w:pPr>
      <w:shd w:val="clear" w:color="auto" w:fill="FFFFFF"/>
      <w:spacing w:after="0" w:line="300" w:lineRule="atLeast"/>
      <w:jc w:val="right"/>
      <w:rPr>
        <w:rFonts w:ascii="Arial" w:hAnsi="Arial" w:cs="Arial"/>
        <w:bCs/>
        <w:color w:val="002060"/>
        <w:sz w:val="14"/>
        <w:szCs w:val="14"/>
      </w:rPr>
    </w:pPr>
    <w:r w:rsidRPr="00065F16">
      <w:rPr>
        <w:rFonts w:ascii="Arial" w:hAnsi="Arial" w:cs="Arial"/>
        <w:bCs/>
        <w:color w:val="002060"/>
        <w:sz w:val="14"/>
        <w:szCs w:val="14"/>
      </w:rPr>
      <w:fldChar w:fldCharType="begin"/>
    </w:r>
    <w:r w:rsidRPr="00065F16">
      <w:rPr>
        <w:rFonts w:ascii="Arial" w:hAnsi="Arial" w:cs="Arial"/>
        <w:bCs/>
        <w:color w:val="002060"/>
        <w:sz w:val="14"/>
        <w:szCs w:val="14"/>
      </w:rPr>
      <w:instrText xml:space="preserve"> HYPERLINK "https://revistamedicasinergia.com/index.php/rms/article/view/602" </w:instrText>
    </w:r>
    <w:r w:rsidRPr="00065F16">
      <w:rPr>
        <w:rFonts w:ascii="Arial" w:hAnsi="Arial" w:cs="Arial"/>
        <w:bCs/>
        <w:color w:val="002060"/>
        <w:sz w:val="14"/>
        <w:szCs w:val="14"/>
      </w:rPr>
      <w:fldChar w:fldCharType="separate"/>
    </w:r>
    <w:r w:rsidRPr="00065F16">
      <w:rPr>
        <w:rStyle w:val="Hipervnculo"/>
        <w:rFonts w:ascii="Arial" w:hAnsi="Arial" w:cs="Arial"/>
        <w:bCs/>
        <w:color w:val="002060"/>
        <w:sz w:val="14"/>
        <w:szCs w:val="14"/>
        <w:u w:val="none"/>
      </w:rPr>
      <w:t>Manejo de quemaduras en población pediátrica</w:t>
    </w:r>
    <w:r w:rsidRPr="00065F16">
      <w:rPr>
        <w:rFonts w:ascii="Arial" w:hAnsi="Arial" w:cs="Arial"/>
        <w:bCs/>
        <w:color w:val="002060"/>
        <w:sz w:val="14"/>
        <w:szCs w:val="14"/>
      </w:rPr>
      <w:fldChar w:fldCharType="end"/>
    </w:r>
    <w:r>
      <w:rPr>
        <w:rFonts w:ascii="Arial" w:hAnsi="Arial" w:cs="Arial"/>
        <w:bCs/>
        <w:color w:val="002060"/>
        <w:sz w:val="14"/>
        <w:szCs w:val="14"/>
      </w:rPr>
      <w:t xml:space="preserve"> - </w:t>
    </w:r>
    <w:r w:rsidRPr="00065F16">
      <w:rPr>
        <w:rFonts w:ascii="Arial" w:hAnsi="Arial" w:cs="Arial"/>
        <w:color w:val="002060"/>
        <w:sz w:val="14"/>
        <w:szCs w:val="14"/>
      </w:rPr>
      <w:t>Dr</w:t>
    </w:r>
    <w:r>
      <w:rPr>
        <w:rFonts w:ascii="Arial" w:hAnsi="Arial" w:cs="Arial"/>
        <w:color w:val="002060"/>
        <w:sz w:val="14"/>
        <w:szCs w:val="14"/>
      </w:rPr>
      <w:t xml:space="preserve">a. </w:t>
    </w:r>
    <w:proofErr w:type="spellStart"/>
    <w:r>
      <w:rPr>
        <w:rFonts w:ascii="Arial" w:hAnsi="Arial" w:cs="Arial"/>
        <w:color w:val="002060"/>
        <w:sz w:val="14"/>
        <w:szCs w:val="14"/>
      </w:rPr>
      <w:t>Marisabel</w:t>
    </w:r>
    <w:proofErr w:type="spellEnd"/>
    <w:r>
      <w:rPr>
        <w:rFonts w:ascii="Arial" w:hAnsi="Arial" w:cs="Arial"/>
        <w:color w:val="002060"/>
        <w:sz w:val="14"/>
        <w:szCs w:val="14"/>
      </w:rPr>
      <w:t xml:space="preserve"> Echeverría Miranda;</w:t>
    </w:r>
    <w:r w:rsidRPr="00065F16">
      <w:rPr>
        <w:rFonts w:ascii="Arial" w:hAnsi="Arial" w:cs="Arial"/>
        <w:color w:val="002060"/>
        <w:sz w:val="14"/>
        <w:szCs w:val="14"/>
      </w:rPr>
      <w:t xml:space="preserve"> Dr. Esteban Salas </w:t>
    </w:r>
    <w:proofErr w:type="spellStart"/>
    <w:r w:rsidRPr="00065F16">
      <w:rPr>
        <w:rFonts w:ascii="Arial" w:hAnsi="Arial" w:cs="Arial"/>
        <w:color w:val="002060"/>
        <w:sz w:val="14"/>
        <w:szCs w:val="14"/>
      </w:rPr>
      <w:t>Salas</w:t>
    </w:r>
    <w:proofErr w:type="spellEnd"/>
  </w:p>
  <w:p w:rsidR="009E1BD9" w:rsidRPr="00690D05" w:rsidRDefault="009E1BD9" w:rsidP="00690D05">
    <w:pPr>
      <w:spacing w:after="0"/>
      <w:jc w:val="right"/>
      <w:rPr>
        <w:rFonts w:ascii="Arial" w:hAnsi="Arial" w:cs="Arial"/>
        <w:color w:val="00206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Pr="00BB450B" w:rsidRDefault="009E1BD9"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Pr="00065F16" w:rsidRDefault="00065F16" w:rsidP="00065F16">
    <w:pPr>
      <w:shd w:val="clear" w:color="auto" w:fill="FFFFFF"/>
      <w:spacing w:after="0" w:line="300" w:lineRule="atLeast"/>
      <w:jc w:val="right"/>
      <w:rPr>
        <w:rFonts w:ascii="Arial" w:hAnsi="Arial" w:cs="Arial"/>
        <w:bCs/>
        <w:color w:val="002060"/>
        <w:sz w:val="14"/>
        <w:szCs w:val="14"/>
      </w:rPr>
    </w:pPr>
    <w:hyperlink r:id="rId1" w:history="1">
      <w:r w:rsidRPr="00065F16">
        <w:rPr>
          <w:rStyle w:val="Hipervnculo"/>
          <w:rFonts w:ascii="Arial" w:hAnsi="Arial" w:cs="Arial"/>
          <w:bCs/>
          <w:color w:val="002060"/>
          <w:sz w:val="14"/>
          <w:szCs w:val="14"/>
          <w:u w:val="none"/>
        </w:rPr>
        <w:t>Manejo de quemaduras en población pediátrica</w:t>
      </w:r>
    </w:hyperlink>
    <w:r>
      <w:rPr>
        <w:rFonts w:ascii="Arial" w:hAnsi="Arial" w:cs="Arial"/>
        <w:bCs/>
        <w:color w:val="002060"/>
        <w:sz w:val="14"/>
        <w:szCs w:val="14"/>
      </w:rPr>
      <w:t xml:space="preserve"> - </w:t>
    </w:r>
    <w:r w:rsidRPr="00065F16">
      <w:rPr>
        <w:rFonts w:ascii="Arial" w:hAnsi="Arial" w:cs="Arial"/>
        <w:color w:val="002060"/>
        <w:sz w:val="14"/>
        <w:szCs w:val="14"/>
      </w:rPr>
      <w:t>Dr</w:t>
    </w:r>
    <w:r>
      <w:rPr>
        <w:rFonts w:ascii="Arial" w:hAnsi="Arial" w:cs="Arial"/>
        <w:color w:val="002060"/>
        <w:sz w:val="14"/>
        <w:szCs w:val="14"/>
      </w:rPr>
      <w:t xml:space="preserve">a. </w:t>
    </w:r>
    <w:proofErr w:type="spellStart"/>
    <w:r>
      <w:rPr>
        <w:rFonts w:ascii="Arial" w:hAnsi="Arial" w:cs="Arial"/>
        <w:color w:val="002060"/>
        <w:sz w:val="14"/>
        <w:szCs w:val="14"/>
      </w:rPr>
      <w:t>Marisabel</w:t>
    </w:r>
    <w:proofErr w:type="spellEnd"/>
    <w:r>
      <w:rPr>
        <w:rFonts w:ascii="Arial" w:hAnsi="Arial" w:cs="Arial"/>
        <w:color w:val="002060"/>
        <w:sz w:val="14"/>
        <w:szCs w:val="14"/>
      </w:rPr>
      <w:t xml:space="preserve"> Echeverría Miranda;</w:t>
    </w:r>
    <w:r w:rsidRPr="00065F16">
      <w:rPr>
        <w:rFonts w:ascii="Arial" w:hAnsi="Arial" w:cs="Arial"/>
        <w:color w:val="002060"/>
        <w:sz w:val="14"/>
        <w:szCs w:val="14"/>
      </w:rPr>
      <w:t xml:space="preserve"> Dr. Esteban Salas </w:t>
    </w:r>
    <w:proofErr w:type="spellStart"/>
    <w:r w:rsidRPr="00065F16">
      <w:rPr>
        <w:rFonts w:ascii="Arial" w:hAnsi="Arial" w:cs="Arial"/>
        <w:color w:val="002060"/>
        <w:sz w:val="14"/>
        <w:szCs w:val="14"/>
      </w:rPr>
      <w:t>Salas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42364997"/>
    <w:multiLevelType w:val="hybridMultilevel"/>
    <w:tmpl w:val="46F22D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E03D04"/>
    <w:multiLevelType w:val="hybridMultilevel"/>
    <w:tmpl w:val="41E0A31C"/>
    <w:lvl w:ilvl="0" w:tplc="2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714F2773"/>
    <w:multiLevelType w:val="hybridMultilevel"/>
    <w:tmpl w:val="541ACDC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4"/>
  </w:num>
  <w:num w:numId="3">
    <w:abstractNumId w:val="0"/>
  </w:num>
  <w:num w:numId="4">
    <w:abstractNumId w:val="3"/>
  </w:num>
  <w:num w:numId="5">
    <w:abstractNumId w:val="7"/>
  </w:num>
  <w:num w:numId="6">
    <w:abstractNumId w:val="10"/>
  </w:num>
  <w:num w:numId="7">
    <w:abstractNumId w:val="1"/>
  </w:num>
  <w:num w:numId="8">
    <w:abstractNumId w:val="2"/>
  </w:num>
  <w:num w:numId="9">
    <w:abstractNumId w:val="6"/>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41D6"/>
    <w:rsid w:val="00065E04"/>
    <w:rsid w:val="00065F16"/>
    <w:rsid w:val="00066681"/>
    <w:rsid w:val="00071E80"/>
    <w:rsid w:val="00073908"/>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4A4B"/>
    <w:rsid w:val="000A7A3A"/>
    <w:rsid w:val="000B19AB"/>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67B"/>
    <w:rsid w:val="00173F4C"/>
    <w:rsid w:val="00174B8D"/>
    <w:rsid w:val="00174CA8"/>
    <w:rsid w:val="001751BE"/>
    <w:rsid w:val="001753C0"/>
    <w:rsid w:val="00177667"/>
    <w:rsid w:val="00180AA0"/>
    <w:rsid w:val="0018200E"/>
    <w:rsid w:val="00182676"/>
    <w:rsid w:val="00183BBD"/>
    <w:rsid w:val="00183C5C"/>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2EFF"/>
    <w:rsid w:val="00243366"/>
    <w:rsid w:val="00244053"/>
    <w:rsid w:val="00244D24"/>
    <w:rsid w:val="0024775D"/>
    <w:rsid w:val="00247AE5"/>
    <w:rsid w:val="0025006F"/>
    <w:rsid w:val="002519A6"/>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735"/>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469D"/>
    <w:rsid w:val="0032672E"/>
    <w:rsid w:val="0032745A"/>
    <w:rsid w:val="00327812"/>
    <w:rsid w:val="003315F2"/>
    <w:rsid w:val="00331EFE"/>
    <w:rsid w:val="003323CE"/>
    <w:rsid w:val="00333067"/>
    <w:rsid w:val="003347DB"/>
    <w:rsid w:val="00334D0C"/>
    <w:rsid w:val="00340B8E"/>
    <w:rsid w:val="00342438"/>
    <w:rsid w:val="003450DC"/>
    <w:rsid w:val="00345A70"/>
    <w:rsid w:val="0034606B"/>
    <w:rsid w:val="00346258"/>
    <w:rsid w:val="00346264"/>
    <w:rsid w:val="0034762F"/>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5B8"/>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6CD9"/>
    <w:rsid w:val="00397BDB"/>
    <w:rsid w:val="003A0B68"/>
    <w:rsid w:val="003A45AF"/>
    <w:rsid w:val="003A6668"/>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02B1"/>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15"/>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0D05"/>
    <w:rsid w:val="00691F34"/>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7261D"/>
    <w:rsid w:val="00772C50"/>
    <w:rsid w:val="0077340D"/>
    <w:rsid w:val="007734CD"/>
    <w:rsid w:val="00774B21"/>
    <w:rsid w:val="007765C2"/>
    <w:rsid w:val="007832A0"/>
    <w:rsid w:val="00783384"/>
    <w:rsid w:val="00783E71"/>
    <w:rsid w:val="0078482D"/>
    <w:rsid w:val="00786448"/>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11A3"/>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48F0"/>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EEC"/>
    <w:rsid w:val="009527DB"/>
    <w:rsid w:val="00954E6A"/>
    <w:rsid w:val="00960956"/>
    <w:rsid w:val="00960B94"/>
    <w:rsid w:val="00962696"/>
    <w:rsid w:val="009633A4"/>
    <w:rsid w:val="009647C4"/>
    <w:rsid w:val="00964FF6"/>
    <w:rsid w:val="00966237"/>
    <w:rsid w:val="0096635D"/>
    <w:rsid w:val="00966D0A"/>
    <w:rsid w:val="009674D5"/>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93F"/>
    <w:rsid w:val="00991A1B"/>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206"/>
    <w:rsid w:val="00AA5CAD"/>
    <w:rsid w:val="00AA6F5C"/>
    <w:rsid w:val="00AA7304"/>
    <w:rsid w:val="00AA79F7"/>
    <w:rsid w:val="00AB0CCD"/>
    <w:rsid w:val="00AB0EC3"/>
    <w:rsid w:val="00AB1E3D"/>
    <w:rsid w:val="00AB200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27C"/>
    <w:rsid w:val="00CD0BBB"/>
    <w:rsid w:val="00CD0E27"/>
    <w:rsid w:val="00CD1BB7"/>
    <w:rsid w:val="00CD256E"/>
    <w:rsid w:val="00CD3562"/>
    <w:rsid w:val="00CD371C"/>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374C"/>
    <w:rsid w:val="00CF4342"/>
    <w:rsid w:val="00CF6570"/>
    <w:rsid w:val="00CF78BC"/>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0BD7"/>
    <w:rsid w:val="00F0214D"/>
    <w:rsid w:val="00F033F9"/>
    <w:rsid w:val="00F038E2"/>
    <w:rsid w:val="00F05919"/>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47C6"/>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8404">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41160680">
      <w:bodyDiv w:val="1"/>
      <w:marLeft w:val="0"/>
      <w:marRight w:val="0"/>
      <w:marTop w:val="0"/>
      <w:marBottom w:val="0"/>
      <w:divBdr>
        <w:top w:val="none" w:sz="0" w:space="0" w:color="auto"/>
        <w:left w:val="none" w:sz="0" w:space="0" w:color="auto"/>
        <w:bottom w:val="none" w:sz="0" w:space="0" w:color="auto"/>
        <w:right w:val="none" w:sz="0" w:space="0" w:color="auto"/>
      </w:divBdr>
      <w:divsChild>
        <w:div w:id="333918609">
          <w:marLeft w:val="0"/>
          <w:marRight w:val="0"/>
          <w:marTop w:val="0"/>
          <w:marBottom w:val="0"/>
          <w:divBdr>
            <w:top w:val="none" w:sz="0" w:space="0" w:color="auto"/>
            <w:left w:val="none" w:sz="0" w:space="0" w:color="auto"/>
            <w:bottom w:val="none" w:sz="0" w:space="0" w:color="auto"/>
            <w:right w:val="none" w:sz="0" w:space="0" w:color="auto"/>
          </w:divBdr>
        </w:div>
      </w:divsChild>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49923479">
      <w:bodyDiv w:val="1"/>
      <w:marLeft w:val="0"/>
      <w:marRight w:val="0"/>
      <w:marTop w:val="0"/>
      <w:marBottom w:val="0"/>
      <w:divBdr>
        <w:top w:val="none" w:sz="0" w:space="0" w:color="auto"/>
        <w:left w:val="none" w:sz="0" w:space="0" w:color="auto"/>
        <w:bottom w:val="none" w:sz="0" w:space="0" w:color="auto"/>
        <w:right w:val="none" w:sz="0" w:space="0" w:color="auto"/>
      </w:divBdr>
      <w:divsChild>
        <w:div w:id="46803806">
          <w:marLeft w:val="0"/>
          <w:marRight w:val="0"/>
          <w:marTop w:val="0"/>
          <w:marBottom w:val="300"/>
          <w:divBdr>
            <w:top w:val="none" w:sz="0" w:space="0" w:color="auto"/>
            <w:left w:val="none" w:sz="0" w:space="0" w:color="auto"/>
            <w:bottom w:val="none" w:sz="0" w:space="0" w:color="auto"/>
            <w:right w:val="none" w:sz="0" w:space="0" w:color="auto"/>
          </w:divBdr>
          <w:divsChild>
            <w:div w:id="2100519773">
              <w:marLeft w:val="0"/>
              <w:marRight w:val="0"/>
              <w:marTop w:val="0"/>
              <w:marBottom w:val="0"/>
              <w:divBdr>
                <w:top w:val="none" w:sz="0" w:space="0" w:color="auto"/>
                <w:left w:val="none" w:sz="0" w:space="0" w:color="auto"/>
                <w:bottom w:val="none" w:sz="0" w:space="0" w:color="auto"/>
                <w:right w:val="none" w:sz="0" w:space="0" w:color="auto"/>
              </w:divBdr>
            </w:div>
          </w:divsChild>
        </w:div>
        <w:div w:id="78793216">
          <w:marLeft w:val="0"/>
          <w:marRight w:val="0"/>
          <w:marTop w:val="0"/>
          <w:marBottom w:val="300"/>
          <w:divBdr>
            <w:top w:val="none" w:sz="0" w:space="0" w:color="auto"/>
            <w:left w:val="none" w:sz="0" w:space="0" w:color="auto"/>
            <w:bottom w:val="none" w:sz="0" w:space="0" w:color="auto"/>
            <w:right w:val="none" w:sz="0" w:space="0" w:color="auto"/>
          </w:divBdr>
          <w:divsChild>
            <w:div w:id="1479419232">
              <w:marLeft w:val="0"/>
              <w:marRight w:val="0"/>
              <w:marTop w:val="0"/>
              <w:marBottom w:val="0"/>
              <w:divBdr>
                <w:top w:val="none" w:sz="0" w:space="0" w:color="auto"/>
                <w:left w:val="none" w:sz="0" w:space="0" w:color="auto"/>
                <w:bottom w:val="none" w:sz="0" w:space="0" w:color="auto"/>
                <w:right w:val="none" w:sz="0" w:space="0" w:color="auto"/>
              </w:divBdr>
            </w:div>
            <w:div w:id="1662851200">
              <w:marLeft w:val="0"/>
              <w:marRight w:val="0"/>
              <w:marTop w:val="0"/>
              <w:marBottom w:val="0"/>
              <w:divBdr>
                <w:top w:val="none" w:sz="0" w:space="0" w:color="auto"/>
                <w:left w:val="none" w:sz="0" w:space="0" w:color="auto"/>
                <w:bottom w:val="none" w:sz="0" w:space="0" w:color="auto"/>
                <w:right w:val="none" w:sz="0" w:space="0" w:color="auto"/>
              </w:divBdr>
            </w:div>
          </w:divsChild>
        </w:div>
        <w:div w:id="1476530052">
          <w:marLeft w:val="0"/>
          <w:marRight w:val="0"/>
          <w:marTop w:val="0"/>
          <w:marBottom w:val="0"/>
          <w:divBdr>
            <w:top w:val="none" w:sz="0" w:space="0" w:color="auto"/>
            <w:left w:val="none" w:sz="0" w:space="0" w:color="auto"/>
            <w:bottom w:val="none" w:sz="0" w:space="0" w:color="auto"/>
            <w:right w:val="none" w:sz="0" w:space="0" w:color="auto"/>
          </w:divBdr>
          <w:divsChild>
            <w:div w:id="220100207">
              <w:marLeft w:val="0"/>
              <w:marRight w:val="0"/>
              <w:marTop w:val="0"/>
              <w:marBottom w:val="0"/>
              <w:divBdr>
                <w:top w:val="none" w:sz="0" w:space="0" w:color="auto"/>
                <w:left w:val="none" w:sz="0" w:space="0" w:color="auto"/>
                <w:bottom w:val="none" w:sz="0" w:space="0" w:color="auto"/>
                <w:right w:val="none" w:sz="0" w:space="0" w:color="auto"/>
              </w:divBdr>
            </w:div>
            <w:div w:id="8599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630776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378924">
      <w:bodyDiv w:val="1"/>
      <w:marLeft w:val="0"/>
      <w:marRight w:val="0"/>
      <w:marTop w:val="0"/>
      <w:marBottom w:val="0"/>
      <w:divBdr>
        <w:top w:val="none" w:sz="0" w:space="0" w:color="auto"/>
        <w:left w:val="none" w:sz="0" w:space="0" w:color="auto"/>
        <w:bottom w:val="none" w:sz="0" w:space="0" w:color="auto"/>
        <w:right w:val="none" w:sz="0" w:space="0" w:color="auto"/>
      </w:divBdr>
      <w:divsChild>
        <w:div w:id="257714676">
          <w:marLeft w:val="0"/>
          <w:marRight w:val="0"/>
          <w:marTop w:val="0"/>
          <w:marBottom w:val="0"/>
          <w:divBdr>
            <w:top w:val="none" w:sz="0" w:space="0" w:color="auto"/>
            <w:left w:val="none" w:sz="0" w:space="0" w:color="auto"/>
            <w:bottom w:val="none" w:sz="0" w:space="0" w:color="auto"/>
            <w:right w:val="none" w:sz="0" w:space="0" w:color="auto"/>
          </w:divBdr>
        </w:div>
      </w:divsChild>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1469264">
      <w:bodyDiv w:val="1"/>
      <w:marLeft w:val="0"/>
      <w:marRight w:val="0"/>
      <w:marTop w:val="0"/>
      <w:marBottom w:val="0"/>
      <w:divBdr>
        <w:top w:val="none" w:sz="0" w:space="0" w:color="auto"/>
        <w:left w:val="none" w:sz="0" w:space="0" w:color="auto"/>
        <w:bottom w:val="none" w:sz="0" w:space="0" w:color="auto"/>
        <w:right w:val="none" w:sz="0" w:space="0" w:color="auto"/>
      </w:divBdr>
      <w:divsChild>
        <w:div w:id="1675763393">
          <w:marLeft w:val="0"/>
          <w:marRight w:val="0"/>
          <w:marTop w:val="0"/>
          <w:marBottom w:val="300"/>
          <w:divBdr>
            <w:top w:val="none" w:sz="0" w:space="0" w:color="auto"/>
            <w:left w:val="none" w:sz="0" w:space="0" w:color="auto"/>
            <w:bottom w:val="none" w:sz="0" w:space="0" w:color="auto"/>
            <w:right w:val="none" w:sz="0" w:space="0" w:color="auto"/>
          </w:divBdr>
          <w:divsChild>
            <w:div w:id="1045563482">
              <w:marLeft w:val="0"/>
              <w:marRight w:val="0"/>
              <w:marTop w:val="0"/>
              <w:marBottom w:val="0"/>
              <w:divBdr>
                <w:top w:val="none" w:sz="0" w:space="0" w:color="auto"/>
                <w:left w:val="none" w:sz="0" w:space="0" w:color="auto"/>
                <w:bottom w:val="none" w:sz="0" w:space="0" w:color="auto"/>
                <w:right w:val="none" w:sz="0" w:space="0" w:color="auto"/>
              </w:divBdr>
            </w:div>
            <w:div w:id="2120560642">
              <w:marLeft w:val="0"/>
              <w:marRight w:val="0"/>
              <w:marTop w:val="0"/>
              <w:marBottom w:val="0"/>
              <w:divBdr>
                <w:top w:val="none" w:sz="0" w:space="0" w:color="auto"/>
                <w:left w:val="none" w:sz="0" w:space="0" w:color="auto"/>
                <w:bottom w:val="none" w:sz="0" w:space="0" w:color="auto"/>
                <w:right w:val="none" w:sz="0" w:space="0" w:color="auto"/>
              </w:divBdr>
            </w:div>
          </w:divsChild>
        </w:div>
        <w:div w:id="87628641">
          <w:marLeft w:val="0"/>
          <w:marRight w:val="0"/>
          <w:marTop w:val="0"/>
          <w:marBottom w:val="0"/>
          <w:divBdr>
            <w:top w:val="none" w:sz="0" w:space="0" w:color="auto"/>
            <w:left w:val="none" w:sz="0" w:space="0" w:color="auto"/>
            <w:bottom w:val="none" w:sz="0" w:space="0" w:color="auto"/>
            <w:right w:val="none" w:sz="0" w:space="0" w:color="auto"/>
          </w:divBdr>
          <w:divsChild>
            <w:div w:id="1610510278">
              <w:marLeft w:val="0"/>
              <w:marRight w:val="0"/>
              <w:marTop w:val="0"/>
              <w:marBottom w:val="0"/>
              <w:divBdr>
                <w:top w:val="none" w:sz="0" w:space="0" w:color="auto"/>
                <w:left w:val="none" w:sz="0" w:space="0" w:color="auto"/>
                <w:bottom w:val="none" w:sz="0" w:space="0" w:color="auto"/>
                <w:right w:val="none" w:sz="0" w:space="0" w:color="auto"/>
              </w:divBdr>
            </w:div>
            <w:div w:id="7411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1.png"/><Relationship Id="rId26" Type="http://schemas.openxmlformats.org/officeDocument/2006/relationships/image" Target="media/image4.png"/><Relationship Id="rId39" Type="http://schemas.openxmlformats.org/officeDocument/2006/relationships/footer" Target="footer5.xml"/><Relationship Id="rId21" Type="http://schemas.openxmlformats.org/officeDocument/2006/relationships/footer" Target="footer1.xml"/><Relationship Id="rId34" Type="http://schemas.openxmlformats.org/officeDocument/2006/relationships/hyperlink" Target="mailto:Salasesteban@gmail.com" TargetMode="External"/><Relationship Id="rId42" Type="http://schemas.openxmlformats.org/officeDocument/2006/relationships/hyperlink" Target="https://doi.org/10.1016/j.burns.2019.05.018" TargetMode="External"/><Relationship Id="rId47" Type="http://schemas.openxmlformats.org/officeDocument/2006/relationships/hyperlink" Target="https://doi.org/10.1016/j.burns.2016.05.015" TargetMode="External"/><Relationship Id="rId50" Type="http://schemas.openxmlformats.org/officeDocument/2006/relationships/hyperlink" Target="https://doi.org/10.1053/j.sempedsurg.2019.01.013" TargetMode="External"/><Relationship Id="rId55" Type="http://schemas.openxmlformats.org/officeDocument/2006/relationships/hyperlink" Target="https://doi.org/10.1016/j.hcl.2016.12.002" TargetMode="External"/><Relationship Id="rId7" Type="http://schemas.openxmlformats.org/officeDocument/2006/relationships/footnotes" Target="footnot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602" TargetMode="External"/><Relationship Id="rId33" Type="http://schemas.openxmlformats.org/officeDocument/2006/relationships/hyperlink" Target="https://medicoscr.hulilabs.com/es/search/doctor/esteban-salas-salas-125328?ref=sb" TargetMode="External"/><Relationship Id="rId38" Type="http://schemas.openxmlformats.org/officeDocument/2006/relationships/footer" Target="footer4.xml"/><Relationship Id="rId46" Type="http://schemas.openxmlformats.org/officeDocument/2006/relationships/hyperlink" Target="https://doi.org/10.1016/j.rcpe.2016.09.001" TargetMode="External"/><Relationship Id="rId59"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0" Type="http://schemas.openxmlformats.org/officeDocument/2006/relationships/header" Target="header1.xml"/><Relationship Id="rId29" Type="http://schemas.openxmlformats.org/officeDocument/2006/relationships/hyperlink" Target="file:///F:\RMS\MAYO%7d\revistamedicasinergia@gmail.com" TargetMode="External"/><Relationship Id="rId41" Type="http://schemas.openxmlformats.org/officeDocument/2006/relationships/hyperlink" Target="https://doi.org/10.1016/j.paed.2017.03.011" TargetMode="External"/><Relationship Id="rId54" Type="http://schemas.openxmlformats.org/officeDocument/2006/relationships/hyperlink" Target="https://doi.org/10.1016/j.surg.2016.01.0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3.png"/><Relationship Id="rId32" Type="http://schemas.openxmlformats.org/officeDocument/2006/relationships/hyperlink" Target="mailto:marisabelecheverriam@gmail.com" TargetMode="External"/><Relationship Id="rId37" Type="http://schemas.openxmlformats.org/officeDocument/2006/relationships/hyperlink" Target="https://orcid.org/0000-0001-8330-9107" TargetMode="External"/><Relationship Id="rId40" Type="http://schemas.openxmlformats.org/officeDocument/2006/relationships/footer" Target="footer6.xml"/><Relationship Id="rId45" Type="http://schemas.openxmlformats.org/officeDocument/2006/relationships/hyperlink" Target="https://doi.org/10.1016/j.mpaic.2017.07.006" TargetMode="External"/><Relationship Id="rId53" Type="http://schemas.openxmlformats.org/officeDocument/2006/relationships/hyperlink" Target="https://doi.org/10.1371/journal.pone.0223063"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5.jpeg"/><Relationship Id="rId36" Type="http://schemas.openxmlformats.org/officeDocument/2006/relationships/hyperlink" Target="https://orcid.org/0000-0003-1276-9936" TargetMode="External"/><Relationship Id="rId49" Type="http://schemas.openxmlformats.org/officeDocument/2006/relationships/hyperlink" Target="https://doi.org/10.1016/j.emc.2017.12.011" TargetMode="External"/><Relationship Id="rId57" Type="http://schemas.openxmlformats.org/officeDocument/2006/relationships/header" Target="header3.xm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marisabel-echeverria-miranda?ref=sb" TargetMode="External"/><Relationship Id="rId44" Type="http://schemas.openxmlformats.org/officeDocument/2006/relationships/hyperlink" Target="https://doi.org/10.1016/j.bjae.2019.12.002" TargetMode="External"/><Relationship Id="rId52" Type="http://schemas.openxmlformats.org/officeDocument/2006/relationships/hyperlink" Target="https://doi.org/10.1016/j.cps.2017.02.022"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602" TargetMode="External"/><Relationship Id="rId30" Type="http://schemas.openxmlformats.org/officeDocument/2006/relationships/image" Target="media/image6.png"/><Relationship Id="rId35" Type="http://schemas.openxmlformats.org/officeDocument/2006/relationships/image" Target="media/image7.png"/><Relationship Id="rId43" Type="http://schemas.openxmlformats.org/officeDocument/2006/relationships/hyperlink" Target="https://doi.org/10.1016/j.cps.2017.02.017" TargetMode="External"/><Relationship Id="rId48" Type="http://schemas.openxmlformats.org/officeDocument/2006/relationships/hyperlink" Target="https://doi.org/10.1016/j.rchipe.2015.10.014"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doi.org/10.1016/j.jpedsurg.2018.06.011"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02"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67BDC"/>
    <w:rsid w:val="00596C98"/>
    <w:rsid w:val="005B4399"/>
    <w:rsid w:val="005D4F6E"/>
    <w:rsid w:val="005F74EB"/>
    <w:rsid w:val="00610A2D"/>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734F5"/>
    <w:rsid w:val="00F836A7"/>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376C-314F-4182-AA91-7A59E7D1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4784</Words>
  <Characters>26314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31036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8</cp:revision>
  <cp:lastPrinted>2020-10-21T07:14:00Z</cp:lastPrinted>
  <dcterms:created xsi:type="dcterms:W3CDTF">2020-10-22T04:42:00Z</dcterms:created>
  <dcterms:modified xsi:type="dcterms:W3CDTF">2020-10-22T05:18:00Z</dcterms:modified>
</cp:coreProperties>
</file>