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4E1" w:rsidRPr="00721D9A" w:rsidRDefault="00721D9A">
      <w:pPr>
        <w:spacing w:before="78"/>
        <w:ind w:left="924"/>
        <w:rPr>
          <w:sz w:val="16"/>
          <w:lang w:val="es-ES"/>
        </w:rPr>
      </w:pPr>
      <w:r>
        <w:pict>
          <v:group id="_x0000_s1026" style="position:absolute;left:0;text-align:left;margin-left:72.2pt;margin-top:4.2pt;width:472.3pt;height:579.4pt;z-index:-251658240;mso-position-horizontal-relative:page" coordorigin="1444,84" coordsize="9446,115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375;top:1759;width:7515;height:9810">
              <v:imagedata r:id="rId8" o:title=""/>
            </v:shape>
            <v:shape id="_x0000_s1027" type="#_x0000_t75" style="position:absolute;left:1444;top:83;width:1928;height:11588">
              <v:imagedata r:id="rId9" o:title=""/>
            </v:shape>
            <w10:wrap anchorx="page"/>
          </v:group>
        </w:pict>
      </w:r>
      <w:r w:rsidRPr="00721D9A">
        <w:rPr>
          <w:sz w:val="16"/>
          <w:lang w:val="es-ES"/>
        </w:rPr>
        <w:t>Revista Médica Sinergia</w:t>
      </w:r>
    </w:p>
    <w:p w:rsidR="009724E1" w:rsidRPr="00721D9A" w:rsidRDefault="009724E1">
      <w:pPr>
        <w:pStyle w:val="Textoindependiente"/>
        <w:spacing w:before="8"/>
        <w:rPr>
          <w:sz w:val="18"/>
          <w:lang w:val="es-ES"/>
        </w:rPr>
      </w:pPr>
    </w:p>
    <w:p w:rsidR="009724E1" w:rsidRPr="00721D9A" w:rsidRDefault="00721D9A">
      <w:pPr>
        <w:ind w:left="1192"/>
        <w:rPr>
          <w:sz w:val="16"/>
          <w:lang w:val="es-ES"/>
        </w:rPr>
      </w:pPr>
      <w:r w:rsidRPr="00721D9A">
        <w:rPr>
          <w:sz w:val="16"/>
          <w:lang w:val="es-ES"/>
        </w:rPr>
        <w:t>ISSN 2215-4523</w:t>
      </w:r>
    </w:p>
    <w:p w:rsidR="009724E1" w:rsidRPr="00721D9A" w:rsidRDefault="00721D9A">
      <w:pPr>
        <w:spacing w:before="11" w:line="261" w:lineRule="auto"/>
        <w:ind w:left="840" w:firstLine="504"/>
        <w:rPr>
          <w:sz w:val="16"/>
          <w:lang w:val="es-ES"/>
        </w:rPr>
      </w:pPr>
      <w:r w:rsidRPr="00721D9A">
        <w:rPr>
          <w:sz w:val="16"/>
          <w:lang w:val="es-ES"/>
        </w:rPr>
        <w:t>Vol.1 Num</w:t>
      </w:r>
      <w:proofErr w:type="gramStart"/>
      <w:r w:rsidRPr="00721D9A">
        <w:rPr>
          <w:sz w:val="16"/>
          <w:lang w:val="es-ES"/>
        </w:rPr>
        <w:t>:9</w:t>
      </w:r>
      <w:proofErr w:type="gramEnd"/>
      <w:r w:rsidRPr="00721D9A">
        <w:rPr>
          <w:sz w:val="16"/>
          <w:lang w:val="es-ES"/>
        </w:rPr>
        <w:t xml:space="preserve"> Setiembre 2016 pp:18 -22</w:t>
      </w:r>
    </w:p>
    <w:p w:rsidR="009724E1" w:rsidRPr="00721D9A" w:rsidRDefault="00721D9A">
      <w:pPr>
        <w:spacing w:before="74" w:line="276" w:lineRule="auto"/>
        <w:ind w:left="438" w:right="1087"/>
        <w:jc w:val="center"/>
        <w:rPr>
          <w:b/>
          <w:sz w:val="28"/>
          <w:lang w:val="es-ES"/>
        </w:rPr>
      </w:pPr>
      <w:r w:rsidRPr="00721D9A">
        <w:rPr>
          <w:lang w:val="es-ES"/>
        </w:rPr>
        <w:br w:type="column"/>
      </w:r>
      <w:r w:rsidRPr="00721D9A">
        <w:rPr>
          <w:b/>
          <w:sz w:val="28"/>
          <w:lang w:val="es-ES"/>
        </w:rPr>
        <w:lastRenderedPageBreak/>
        <w:t>USO DE LA ASPIRINA PARA LA PREVENCIÓN DE PRECLAMPSIA</w:t>
      </w:r>
    </w:p>
    <w:p w:rsidR="009724E1" w:rsidRDefault="00721D9A">
      <w:pPr>
        <w:spacing w:before="2"/>
        <w:ind w:left="438" w:right="1077"/>
        <w:jc w:val="center"/>
        <w:rPr>
          <w:sz w:val="20"/>
        </w:rPr>
      </w:pPr>
      <w:r>
        <w:rPr>
          <w:sz w:val="20"/>
        </w:rPr>
        <w:t>(</w:t>
      </w:r>
      <w:hyperlink r:id="rId10">
        <w:r>
          <w:rPr>
            <w:sz w:val="20"/>
          </w:rPr>
          <w:t>ASPIRIN IN THE PREVENTION OF PRE-ECLAMPSIA</w:t>
        </w:r>
      </w:hyperlink>
      <w:r>
        <w:rPr>
          <w:sz w:val="20"/>
        </w:rPr>
        <w:t>)</w:t>
      </w:r>
    </w:p>
    <w:p w:rsidR="009724E1" w:rsidRDefault="009724E1">
      <w:pPr>
        <w:pStyle w:val="Textoindependiente"/>
        <w:spacing w:before="10"/>
        <w:rPr>
          <w:sz w:val="23"/>
        </w:rPr>
      </w:pPr>
    </w:p>
    <w:p w:rsidR="009724E1" w:rsidRPr="00721D9A" w:rsidRDefault="00721D9A">
      <w:pPr>
        <w:pStyle w:val="Textoindependiente"/>
        <w:ind w:left="4777"/>
        <w:rPr>
          <w:lang w:val="es-ES"/>
        </w:rPr>
      </w:pPr>
      <w:r w:rsidRPr="00721D9A">
        <w:rPr>
          <w:lang w:val="es-ES"/>
        </w:rPr>
        <w:t>* Kenneth Bermúdez Salas</w:t>
      </w:r>
    </w:p>
    <w:p w:rsidR="009724E1" w:rsidRPr="00721D9A" w:rsidRDefault="009724E1">
      <w:pPr>
        <w:rPr>
          <w:lang w:val="es-ES"/>
        </w:rPr>
        <w:sectPr w:rsidR="009724E1" w:rsidRPr="00721D9A">
          <w:footerReference w:type="even" r:id="rId11"/>
          <w:footerReference w:type="default" r:id="rId12"/>
          <w:type w:val="continuous"/>
          <w:pgSz w:w="12240" w:h="15840"/>
          <w:pgMar w:top="1360" w:right="620" w:bottom="1060" w:left="620" w:header="720" w:footer="882" w:gutter="0"/>
          <w:pgNumType w:start="18"/>
          <w:cols w:num="2" w:space="720" w:equalWidth="0">
            <w:col w:w="2738" w:space="40"/>
            <w:col w:w="8222"/>
          </w:cols>
        </w:sectPr>
      </w:pPr>
    </w:p>
    <w:p w:rsidR="009724E1" w:rsidRPr="00721D9A" w:rsidRDefault="009724E1">
      <w:pPr>
        <w:pStyle w:val="Textoindependiente"/>
        <w:spacing w:before="9"/>
        <w:rPr>
          <w:sz w:val="14"/>
          <w:lang w:val="es-ES"/>
        </w:rPr>
      </w:pPr>
    </w:p>
    <w:p w:rsidR="009724E1" w:rsidRPr="00721D9A" w:rsidRDefault="00721D9A">
      <w:pPr>
        <w:pStyle w:val="Textoindependiente"/>
        <w:spacing w:before="93"/>
        <w:ind w:left="2909"/>
        <w:rPr>
          <w:lang w:val="es-ES"/>
        </w:rPr>
      </w:pPr>
      <w:r w:rsidRPr="00721D9A">
        <w:rPr>
          <w:lang w:val="es-ES"/>
        </w:rPr>
        <w:t>RESUMEN</w:t>
      </w:r>
    </w:p>
    <w:p w:rsidR="009724E1" w:rsidRPr="00721D9A" w:rsidRDefault="00721D9A">
      <w:pPr>
        <w:pStyle w:val="Textoindependiente"/>
        <w:spacing w:before="35" w:line="276" w:lineRule="auto"/>
        <w:ind w:left="2909" w:right="868"/>
        <w:jc w:val="both"/>
        <w:rPr>
          <w:lang w:val="es-ES"/>
        </w:rPr>
      </w:pPr>
      <w:r w:rsidRPr="00721D9A">
        <w:rPr>
          <w:lang w:val="es-ES"/>
        </w:rPr>
        <w:t xml:space="preserve">Hoy en día, el beneficio del uso de aspirina en dosis bajas para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prevención de </w:t>
      </w:r>
      <w:r w:rsidRPr="00721D9A">
        <w:rPr>
          <w:spacing w:val="-3"/>
          <w:lang w:val="es-ES"/>
        </w:rPr>
        <w:t xml:space="preserve">la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 xml:space="preserve"> está bien establecido en mujeres de alto riesgo, mientras que el uso en mujeres de bajo riesgo aún se cuestiona por </w:t>
      </w:r>
      <w:r w:rsidRPr="00721D9A">
        <w:rPr>
          <w:spacing w:val="-3"/>
          <w:lang w:val="es-ES"/>
        </w:rPr>
        <w:t xml:space="preserve">lo </w:t>
      </w:r>
      <w:r w:rsidRPr="00721D9A">
        <w:rPr>
          <w:lang w:val="es-ES"/>
        </w:rPr>
        <w:t xml:space="preserve">que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mayoría de los expertos </w:t>
      </w:r>
      <w:r w:rsidRPr="00721D9A">
        <w:rPr>
          <w:lang w:val="es-ES"/>
        </w:rPr>
        <w:t xml:space="preserve">no recomiendan. Todavía hay preguntas por responder sobre los aspectos específicos de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terapia, sin embargo,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aspirina en dosis bajas es un medicamento seguro durante  el embarazo y también está ampliamente disponible en nuestro país, se recomienda su </w:t>
      </w:r>
      <w:r w:rsidRPr="00721D9A">
        <w:rPr>
          <w:lang w:val="es-ES"/>
        </w:rPr>
        <w:t xml:space="preserve">uso en una profilaxis en mujeres identificadas como de alto riesgo de acuerdo con los criterios de USPSTF, para obtener una reducción modesta (mayor a 10%) en el riesgo de desarrollar </w:t>
      </w:r>
      <w:proofErr w:type="spellStart"/>
      <w:proofErr w:type="gramStart"/>
      <w:r w:rsidRPr="00721D9A">
        <w:rPr>
          <w:lang w:val="es-ES"/>
        </w:rPr>
        <w:t>preeclampsia</w:t>
      </w:r>
      <w:proofErr w:type="spellEnd"/>
      <w:proofErr w:type="gramEnd"/>
      <w:r w:rsidRPr="00721D9A">
        <w:rPr>
          <w:lang w:val="es-ES"/>
        </w:rPr>
        <w:t xml:space="preserve"> (Grado 2B). La prevención de las secuelas asociadas, como e</w:t>
      </w:r>
      <w:r w:rsidRPr="00721D9A">
        <w:rPr>
          <w:lang w:val="es-ES"/>
        </w:rPr>
        <w:t>l parto prematuro y el RCIU también es posible, aunque se necesitan estudios adicionales para corroborar estos</w:t>
      </w:r>
      <w:r w:rsidRPr="00721D9A">
        <w:rPr>
          <w:spacing w:val="-7"/>
          <w:lang w:val="es-ES"/>
        </w:rPr>
        <w:t xml:space="preserve"> </w:t>
      </w:r>
      <w:r w:rsidRPr="00721D9A">
        <w:rPr>
          <w:lang w:val="es-ES"/>
        </w:rPr>
        <w:t>resultados.</w:t>
      </w:r>
    </w:p>
    <w:p w:rsidR="009724E1" w:rsidRPr="00721D9A" w:rsidRDefault="009724E1">
      <w:pPr>
        <w:pStyle w:val="Textoindependiente"/>
        <w:spacing w:before="6"/>
        <w:rPr>
          <w:sz w:val="25"/>
          <w:lang w:val="es-ES"/>
        </w:rPr>
      </w:pPr>
    </w:p>
    <w:p w:rsidR="009724E1" w:rsidRPr="00721D9A" w:rsidRDefault="00721D9A">
      <w:pPr>
        <w:pStyle w:val="Textoindependiente"/>
        <w:ind w:left="2909"/>
        <w:jc w:val="both"/>
        <w:rPr>
          <w:lang w:val="es-ES"/>
        </w:rPr>
      </w:pPr>
      <w:r w:rsidRPr="00721D9A">
        <w:rPr>
          <w:lang w:val="es-ES"/>
        </w:rPr>
        <w:t>DESCRIPTORES</w:t>
      </w:r>
    </w:p>
    <w:p w:rsidR="009724E1" w:rsidRPr="00721D9A" w:rsidRDefault="00721D9A">
      <w:pPr>
        <w:pStyle w:val="Textoindependiente"/>
        <w:spacing w:before="34"/>
        <w:ind w:left="2909"/>
        <w:jc w:val="both"/>
        <w:rPr>
          <w:lang w:val="es-ES"/>
        </w:rPr>
      </w:pPr>
      <w:proofErr w:type="spellStart"/>
      <w:r w:rsidRPr="00721D9A">
        <w:rPr>
          <w:lang w:val="es-ES"/>
        </w:rPr>
        <w:t>Preecla</w:t>
      </w:r>
      <w:r>
        <w:rPr>
          <w:lang w:val="es-ES"/>
        </w:rPr>
        <w:t>msia</w:t>
      </w:r>
      <w:proofErr w:type="spellEnd"/>
      <w:r>
        <w:rPr>
          <w:lang w:val="es-ES"/>
        </w:rPr>
        <w:t>, aspirina, embarazo, RCIU.</w:t>
      </w:r>
      <w:bookmarkStart w:id="0" w:name="_GoBack"/>
      <w:bookmarkEnd w:id="0"/>
    </w:p>
    <w:p w:rsidR="009724E1" w:rsidRPr="00721D9A" w:rsidRDefault="009724E1">
      <w:pPr>
        <w:pStyle w:val="Textoindependiente"/>
        <w:spacing w:before="7"/>
        <w:rPr>
          <w:sz w:val="20"/>
          <w:lang w:val="es-ES"/>
        </w:rPr>
      </w:pPr>
    </w:p>
    <w:p w:rsidR="009724E1" w:rsidRPr="00721D9A" w:rsidRDefault="009724E1">
      <w:pPr>
        <w:rPr>
          <w:sz w:val="20"/>
          <w:lang w:val="es-ES"/>
        </w:rPr>
        <w:sectPr w:rsidR="009724E1" w:rsidRPr="00721D9A">
          <w:type w:val="continuous"/>
          <w:pgSz w:w="12240" w:h="15840"/>
          <w:pgMar w:top="1360" w:right="620" w:bottom="1060" w:left="620" w:header="720" w:footer="720" w:gutter="0"/>
          <w:cols w:space="720"/>
        </w:sect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spacing w:before="7"/>
        <w:rPr>
          <w:sz w:val="23"/>
          <w:lang w:val="es-ES"/>
        </w:rPr>
      </w:pPr>
    </w:p>
    <w:p w:rsidR="009724E1" w:rsidRPr="00721D9A" w:rsidRDefault="00721D9A">
      <w:pPr>
        <w:spacing w:before="1" w:line="256" w:lineRule="auto"/>
        <w:ind w:left="824" w:right="267"/>
        <w:rPr>
          <w:sz w:val="16"/>
          <w:lang w:val="es-ES"/>
        </w:rPr>
      </w:pPr>
      <w:r w:rsidRPr="00721D9A">
        <w:rPr>
          <w:sz w:val="16"/>
          <w:lang w:val="es-ES"/>
        </w:rPr>
        <w:t>*Médico General. Universidad de Iberoamérica (UNIBE) San José -Costa Rica</w:t>
      </w:r>
    </w:p>
    <w:p w:rsidR="009724E1" w:rsidRPr="00721D9A" w:rsidRDefault="009724E1">
      <w:pPr>
        <w:pStyle w:val="Textoindependiente"/>
        <w:rPr>
          <w:sz w:val="18"/>
          <w:lang w:val="es-ES"/>
        </w:rPr>
      </w:pPr>
    </w:p>
    <w:p w:rsidR="009724E1" w:rsidRPr="00721D9A" w:rsidRDefault="009724E1">
      <w:pPr>
        <w:pStyle w:val="Textoindependiente"/>
        <w:spacing w:before="6"/>
        <w:rPr>
          <w:sz w:val="16"/>
          <w:lang w:val="es-ES"/>
        </w:rPr>
      </w:pPr>
    </w:p>
    <w:p w:rsidR="009724E1" w:rsidRDefault="00721D9A">
      <w:pPr>
        <w:pStyle w:val="Ttulo1"/>
      </w:pPr>
      <w:r>
        <w:rPr>
          <w:spacing w:val="-1"/>
        </w:rPr>
        <w:t>INTRODUCCION</w:t>
      </w:r>
    </w:p>
    <w:p w:rsidR="009724E1" w:rsidRDefault="00721D9A">
      <w:pPr>
        <w:pStyle w:val="Textoindependiente"/>
        <w:spacing w:before="93"/>
        <w:ind w:left="184"/>
      </w:pPr>
      <w:r>
        <w:br w:type="column"/>
      </w:r>
      <w:r>
        <w:lastRenderedPageBreak/>
        <w:t>SUMMARY</w:t>
      </w:r>
    </w:p>
    <w:p w:rsidR="009724E1" w:rsidRDefault="00721D9A">
      <w:pPr>
        <w:pStyle w:val="Textoindependiente"/>
        <w:spacing w:before="39" w:line="276" w:lineRule="auto"/>
        <w:ind w:left="184" w:right="874"/>
        <w:jc w:val="both"/>
      </w:pPr>
      <w:r>
        <w:t xml:space="preserve">Nowadays, the benefit of use aspirin </w:t>
      </w:r>
      <w:r>
        <w:rPr>
          <w:spacing w:val="-3"/>
        </w:rPr>
        <w:t xml:space="preserve">in </w:t>
      </w:r>
      <w:r>
        <w:t xml:space="preserve">low doses for the prevention of preeclampsia </w:t>
      </w:r>
      <w:r>
        <w:rPr>
          <w:spacing w:val="-3"/>
        </w:rPr>
        <w:t xml:space="preserve">is </w:t>
      </w:r>
      <w:r>
        <w:t xml:space="preserve">well established </w:t>
      </w:r>
      <w:r>
        <w:rPr>
          <w:spacing w:val="-3"/>
        </w:rPr>
        <w:t xml:space="preserve">in </w:t>
      </w:r>
      <w:r>
        <w:t xml:space="preserve">high-risk women, while use </w:t>
      </w:r>
      <w:r>
        <w:rPr>
          <w:spacing w:val="-3"/>
        </w:rPr>
        <w:t xml:space="preserve">in </w:t>
      </w:r>
      <w:r>
        <w:t xml:space="preserve">low risk women </w:t>
      </w:r>
      <w:r>
        <w:rPr>
          <w:spacing w:val="-3"/>
        </w:rPr>
        <w:t xml:space="preserve">is </w:t>
      </w:r>
      <w:r>
        <w:t xml:space="preserve">still questioned by what most experts do not recommend. There are still questions to be answered regarding the specific aspects of the therapy, however, aspirin </w:t>
      </w:r>
      <w:r>
        <w:rPr>
          <w:spacing w:val="-3"/>
        </w:rPr>
        <w:t xml:space="preserve">in </w:t>
      </w:r>
      <w:r>
        <w:t xml:space="preserve">low doses </w:t>
      </w:r>
      <w:r>
        <w:rPr>
          <w:spacing w:val="-3"/>
        </w:rPr>
        <w:t xml:space="preserve">is </w:t>
      </w:r>
      <w:r>
        <w:t xml:space="preserve">a safe medication during pregnancy and </w:t>
      </w:r>
      <w:r>
        <w:rPr>
          <w:spacing w:val="-3"/>
        </w:rPr>
        <w:t xml:space="preserve">is </w:t>
      </w:r>
      <w:r>
        <w:t xml:space="preserve">also widely available </w:t>
      </w:r>
      <w:r>
        <w:rPr>
          <w:spacing w:val="-3"/>
        </w:rPr>
        <w:t xml:space="preserve">in </w:t>
      </w:r>
      <w:r>
        <w:t>our country,</w:t>
      </w:r>
      <w:r>
        <w:t xml:space="preserve"> </w:t>
      </w:r>
      <w:r>
        <w:rPr>
          <w:spacing w:val="-3"/>
        </w:rPr>
        <w:t xml:space="preserve">it is </w:t>
      </w:r>
      <w:r>
        <w:t xml:space="preserve">recommended to use </w:t>
      </w:r>
      <w:r>
        <w:rPr>
          <w:spacing w:val="-3"/>
        </w:rPr>
        <w:t xml:space="preserve">in </w:t>
      </w:r>
      <w:r>
        <w:t xml:space="preserve">a prophylaxis </w:t>
      </w:r>
      <w:r>
        <w:rPr>
          <w:spacing w:val="-3"/>
        </w:rPr>
        <w:t xml:space="preserve">in </w:t>
      </w:r>
      <w:r>
        <w:t xml:space="preserve">women identified as high risk according to the USPSTF criteria, </w:t>
      </w:r>
      <w:r>
        <w:rPr>
          <w:spacing w:val="-3"/>
        </w:rPr>
        <w:t xml:space="preserve">in </w:t>
      </w:r>
      <w:r>
        <w:t xml:space="preserve">order to obtain a modest reduction (greater than 10%) </w:t>
      </w:r>
      <w:r>
        <w:rPr>
          <w:spacing w:val="-3"/>
        </w:rPr>
        <w:t xml:space="preserve">in </w:t>
      </w:r>
      <w:r>
        <w:t xml:space="preserve">the risk of developing preeclampsia (Grade 2B). The prevention of associated </w:t>
      </w:r>
      <w:proofErr w:type="spellStart"/>
      <w:r>
        <w:t>sequelae</w:t>
      </w:r>
      <w:proofErr w:type="spellEnd"/>
      <w:r>
        <w:t xml:space="preserve"> </w:t>
      </w:r>
      <w:r>
        <w:t xml:space="preserve">such as preterm delivery and IUGR </w:t>
      </w:r>
      <w:r>
        <w:rPr>
          <w:spacing w:val="-3"/>
        </w:rPr>
        <w:t xml:space="preserve">is </w:t>
      </w:r>
      <w:r>
        <w:t>also possible, although additional studies are needed to corroborate these</w:t>
      </w:r>
      <w:r>
        <w:rPr>
          <w:spacing w:val="-23"/>
        </w:rPr>
        <w:t xml:space="preserve"> </w:t>
      </w:r>
      <w:r>
        <w:t>results.</w:t>
      </w:r>
    </w:p>
    <w:p w:rsidR="009724E1" w:rsidRDefault="009724E1">
      <w:pPr>
        <w:pStyle w:val="Textoindependiente"/>
        <w:spacing w:before="2"/>
        <w:rPr>
          <w:sz w:val="25"/>
        </w:rPr>
      </w:pPr>
    </w:p>
    <w:p w:rsidR="009724E1" w:rsidRPr="00721D9A" w:rsidRDefault="00721D9A">
      <w:pPr>
        <w:pStyle w:val="Textoindependiente"/>
        <w:ind w:left="184"/>
        <w:rPr>
          <w:lang w:val="es-ES"/>
        </w:rPr>
      </w:pPr>
      <w:r w:rsidRPr="00721D9A">
        <w:rPr>
          <w:lang w:val="es-ES"/>
        </w:rPr>
        <w:t>KEYWORDS</w:t>
      </w:r>
    </w:p>
    <w:p w:rsidR="009724E1" w:rsidRPr="00721D9A" w:rsidRDefault="00721D9A">
      <w:pPr>
        <w:pStyle w:val="Textoindependiente"/>
        <w:spacing w:before="38"/>
        <w:ind w:left="184"/>
        <w:rPr>
          <w:lang w:val="es-ES"/>
        </w:rPr>
      </w:pP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 xml:space="preserve">, </w:t>
      </w:r>
      <w:proofErr w:type="spellStart"/>
      <w:r w:rsidRPr="00721D9A">
        <w:rPr>
          <w:lang w:val="es-ES"/>
        </w:rPr>
        <w:t>aspirin</w:t>
      </w:r>
      <w:proofErr w:type="spellEnd"/>
      <w:r w:rsidRPr="00721D9A">
        <w:rPr>
          <w:lang w:val="es-ES"/>
        </w:rPr>
        <w:t xml:space="preserve">, </w:t>
      </w:r>
      <w:proofErr w:type="spellStart"/>
      <w:r w:rsidRPr="00721D9A">
        <w:rPr>
          <w:lang w:val="es-ES"/>
        </w:rPr>
        <w:t>pregnancy</w:t>
      </w:r>
      <w:proofErr w:type="spellEnd"/>
      <w:r w:rsidRPr="00721D9A">
        <w:rPr>
          <w:lang w:val="es-ES"/>
        </w:rPr>
        <w:t>, IUGR</w:t>
      </w:r>
    </w:p>
    <w:p w:rsidR="009724E1" w:rsidRPr="00721D9A" w:rsidRDefault="009724E1">
      <w:pPr>
        <w:pStyle w:val="Textoindependiente"/>
        <w:spacing w:before="1"/>
        <w:rPr>
          <w:sz w:val="21"/>
          <w:lang w:val="es-ES"/>
        </w:rPr>
      </w:pPr>
    </w:p>
    <w:p w:rsidR="009724E1" w:rsidRPr="00721D9A" w:rsidRDefault="00721D9A">
      <w:pPr>
        <w:pStyle w:val="Textoindependiente"/>
        <w:spacing w:before="1" w:line="276" w:lineRule="auto"/>
        <w:ind w:left="3137" w:right="813"/>
        <w:jc w:val="both"/>
        <w:rPr>
          <w:lang w:val="es-ES"/>
        </w:rPr>
      </w:pPr>
      <w:proofErr w:type="gramStart"/>
      <w:r w:rsidRPr="00721D9A">
        <w:rPr>
          <w:lang w:val="es-ES"/>
        </w:rPr>
        <w:t>responsable</w:t>
      </w:r>
      <w:proofErr w:type="gramEnd"/>
      <w:r w:rsidRPr="00721D9A">
        <w:rPr>
          <w:lang w:val="es-ES"/>
        </w:rPr>
        <w:t xml:space="preserve"> de una alta </w:t>
      </w:r>
      <w:proofErr w:type="spellStart"/>
      <w:r w:rsidRPr="00721D9A">
        <w:rPr>
          <w:lang w:val="es-ES"/>
        </w:rPr>
        <w:t>morbi</w:t>
      </w:r>
      <w:proofErr w:type="spellEnd"/>
      <w:r w:rsidRPr="00721D9A">
        <w:rPr>
          <w:lang w:val="es-ES"/>
        </w:rPr>
        <w:t>-mortalidad tanto materna, como perinatal a nivel mundia</w:t>
      </w:r>
      <w:r w:rsidRPr="00721D9A">
        <w:rPr>
          <w:lang w:val="es-ES"/>
        </w:rPr>
        <w:t>l. Nuestro limitado conocimiento</w:t>
      </w:r>
    </w:p>
    <w:p w:rsidR="009724E1" w:rsidRPr="00721D9A" w:rsidRDefault="009724E1">
      <w:pPr>
        <w:spacing w:line="276" w:lineRule="auto"/>
        <w:jc w:val="both"/>
        <w:rPr>
          <w:lang w:val="es-ES"/>
        </w:rPr>
        <w:sectPr w:rsidR="009724E1" w:rsidRPr="00721D9A">
          <w:type w:val="continuous"/>
          <w:pgSz w:w="12240" w:h="15840"/>
          <w:pgMar w:top="1360" w:right="620" w:bottom="1060" w:left="620" w:header="720" w:footer="720" w:gutter="0"/>
          <w:cols w:num="2" w:space="720" w:equalWidth="0">
            <w:col w:w="2685" w:space="40"/>
            <w:col w:w="8275"/>
          </w:cols>
        </w:sectPr>
      </w:pPr>
    </w:p>
    <w:p w:rsidR="009724E1" w:rsidRPr="00721D9A" w:rsidRDefault="00721D9A">
      <w:pPr>
        <w:pStyle w:val="Textoindependiente"/>
        <w:tabs>
          <w:tab w:val="left" w:pos="1315"/>
          <w:tab w:val="left" w:pos="2872"/>
          <w:tab w:val="left" w:pos="3352"/>
          <w:tab w:val="left" w:pos="3967"/>
        </w:tabs>
        <w:spacing w:line="215" w:lineRule="exact"/>
        <w:ind w:left="820"/>
        <w:rPr>
          <w:lang w:val="es-ES"/>
        </w:rPr>
      </w:pPr>
      <w:r w:rsidRPr="00721D9A">
        <w:rPr>
          <w:lang w:val="es-ES"/>
        </w:rPr>
        <w:lastRenderedPageBreak/>
        <w:t>La</w:t>
      </w:r>
      <w:r w:rsidRPr="00721D9A">
        <w:rPr>
          <w:lang w:val="es-ES"/>
        </w:rPr>
        <w:tab/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ab/>
        <w:t>es</w:t>
      </w:r>
      <w:r w:rsidRPr="00721D9A">
        <w:rPr>
          <w:lang w:val="es-ES"/>
        </w:rPr>
        <w:tab/>
        <w:t>una</w:t>
      </w:r>
      <w:r w:rsidRPr="00721D9A">
        <w:rPr>
          <w:lang w:val="es-ES"/>
        </w:rPr>
        <w:tab/>
      </w:r>
      <w:r w:rsidRPr="00721D9A">
        <w:rPr>
          <w:spacing w:val="-1"/>
          <w:lang w:val="es-ES"/>
        </w:rPr>
        <w:t>enfermedad</w:t>
      </w:r>
    </w:p>
    <w:p w:rsidR="009724E1" w:rsidRPr="00721D9A" w:rsidRDefault="00721D9A">
      <w:pPr>
        <w:pStyle w:val="Textoindependiente"/>
        <w:spacing w:before="39"/>
        <w:ind w:left="820"/>
        <w:rPr>
          <w:lang w:val="es-ES"/>
        </w:rPr>
      </w:pPr>
      <w:proofErr w:type="gramStart"/>
      <w:r w:rsidRPr="00721D9A">
        <w:rPr>
          <w:lang w:val="es-ES"/>
        </w:rPr>
        <w:t>inflamatoria</w:t>
      </w:r>
      <w:proofErr w:type="gramEnd"/>
      <w:r w:rsidRPr="00721D9A">
        <w:rPr>
          <w:lang w:val="es-ES"/>
        </w:rPr>
        <w:t xml:space="preserve">  sistémica  de</w:t>
      </w:r>
      <w:r w:rsidRPr="00721D9A">
        <w:rPr>
          <w:spacing w:val="-32"/>
          <w:lang w:val="es-ES"/>
        </w:rPr>
        <w:t xml:space="preserve"> </w:t>
      </w:r>
      <w:r w:rsidRPr="00721D9A">
        <w:rPr>
          <w:lang w:val="es-ES"/>
        </w:rPr>
        <w:t>etiología  incierta,</w:t>
      </w:r>
    </w:p>
    <w:p w:rsidR="009724E1" w:rsidRPr="00721D9A" w:rsidRDefault="00721D9A">
      <w:pPr>
        <w:pStyle w:val="Textoindependiente"/>
        <w:spacing w:before="2"/>
        <w:ind w:left="681"/>
        <w:rPr>
          <w:lang w:val="es-ES"/>
        </w:rPr>
      </w:pPr>
      <w:r w:rsidRPr="00721D9A">
        <w:rPr>
          <w:lang w:val="es-ES"/>
        </w:rPr>
        <w:br w:type="column"/>
      </w:r>
      <w:proofErr w:type="gramStart"/>
      <w:r w:rsidRPr="00721D9A">
        <w:rPr>
          <w:lang w:val="es-ES"/>
        </w:rPr>
        <w:lastRenderedPageBreak/>
        <w:t>acerca</w:t>
      </w:r>
      <w:proofErr w:type="gramEnd"/>
      <w:r w:rsidRPr="00721D9A">
        <w:rPr>
          <w:lang w:val="es-ES"/>
        </w:rPr>
        <w:t xml:space="preserve"> de la historia natural de esta</w:t>
      </w:r>
    </w:p>
    <w:p w:rsidR="009724E1" w:rsidRPr="00721D9A" w:rsidRDefault="009724E1">
      <w:pPr>
        <w:rPr>
          <w:lang w:val="es-ES"/>
        </w:rPr>
        <w:sectPr w:rsidR="009724E1" w:rsidRPr="00721D9A">
          <w:type w:val="continuous"/>
          <w:pgSz w:w="12240" w:h="15840"/>
          <w:pgMar w:top="1360" w:right="620" w:bottom="1060" w:left="620" w:header="720" w:footer="720" w:gutter="0"/>
          <w:cols w:num="2" w:space="720" w:equalWidth="0">
            <w:col w:w="5141" w:space="40"/>
            <w:col w:w="5819"/>
          </w:cols>
        </w:sectPr>
      </w:pPr>
    </w:p>
    <w:p w:rsidR="009724E1" w:rsidRPr="00721D9A" w:rsidRDefault="009724E1">
      <w:pPr>
        <w:pStyle w:val="Textoindependiente"/>
        <w:rPr>
          <w:sz w:val="20"/>
          <w:lang w:val="es-ES"/>
        </w:rPr>
      </w:pPr>
    </w:p>
    <w:p w:rsidR="009724E1" w:rsidRPr="00721D9A" w:rsidRDefault="009724E1">
      <w:pPr>
        <w:rPr>
          <w:sz w:val="20"/>
          <w:lang w:val="es-ES"/>
        </w:rPr>
        <w:sectPr w:rsidR="009724E1" w:rsidRPr="00721D9A">
          <w:headerReference w:type="even" r:id="rId13"/>
          <w:headerReference w:type="default" r:id="rId14"/>
          <w:pgSz w:w="12240" w:h="15840"/>
          <w:pgMar w:top="940" w:right="620" w:bottom="1080" w:left="620" w:header="723" w:footer="872" w:gutter="0"/>
          <w:cols w:space="720"/>
        </w:sectPr>
      </w:pPr>
    </w:p>
    <w:p w:rsidR="009724E1" w:rsidRPr="00721D9A" w:rsidRDefault="009724E1">
      <w:pPr>
        <w:pStyle w:val="Textoindependiente"/>
        <w:spacing w:before="8"/>
        <w:rPr>
          <w:lang w:val="es-ES"/>
        </w:rPr>
      </w:pPr>
    </w:p>
    <w:p w:rsidR="009724E1" w:rsidRPr="00721D9A" w:rsidRDefault="00721D9A">
      <w:pPr>
        <w:pStyle w:val="Textoindependiente"/>
        <w:spacing w:line="259" w:lineRule="auto"/>
        <w:ind w:left="820"/>
        <w:jc w:val="both"/>
        <w:rPr>
          <w:lang w:val="es-ES"/>
        </w:rPr>
      </w:pPr>
      <w:proofErr w:type="gramStart"/>
      <w:r w:rsidRPr="00721D9A">
        <w:rPr>
          <w:lang w:val="es-ES"/>
        </w:rPr>
        <w:t>enfermedad</w:t>
      </w:r>
      <w:proofErr w:type="gramEnd"/>
      <w:r w:rsidRPr="00721D9A">
        <w:rPr>
          <w:lang w:val="es-ES"/>
        </w:rPr>
        <w:t xml:space="preserve"> y de sus determinantes de riesgo, ha limitado en gran parte 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habilidad de desarrollar terapias de prevención que tengan un impacto reproducible sobre las poblaciones vulnerables. Sin embargo, a pesar de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gran variabilidad de opiniones en el pasado, el uso de aspirina para la prevención de </w:t>
      </w:r>
      <w:r w:rsidRPr="00721D9A">
        <w:rPr>
          <w:spacing w:val="-3"/>
          <w:lang w:val="es-ES"/>
        </w:rPr>
        <w:t xml:space="preserve">la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 xml:space="preserve"> destaca n</w:t>
      </w:r>
      <w:r w:rsidRPr="00721D9A">
        <w:rPr>
          <w:lang w:val="es-ES"/>
        </w:rPr>
        <w:t xml:space="preserve">uevamente hoy en día como método de prevención recomendado por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>mayoría de expertos y organizaciones.</w:t>
      </w:r>
    </w:p>
    <w:p w:rsidR="009724E1" w:rsidRPr="00721D9A" w:rsidRDefault="00721D9A">
      <w:pPr>
        <w:pStyle w:val="Ttulo1"/>
        <w:spacing w:before="156"/>
        <w:rPr>
          <w:lang w:val="es-ES"/>
        </w:rPr>
      </w:pPr>
      <w:r w:rsidRPr="00721D9A">
        <w:rPr>
          <w:lang w:val="es-ES"/>
        </w:rPr>
        <w:t>DISCUSIÓN</w:t>
      </w:r>
    </w:p>
    <w:p w:rsidR="009724E1" w:rsidRPr="00721D9A" w:rsidRDefault="009724E1">
      <w:pPr>
        <w:pStyle w:val="Textoindependiente"/>
        <w:spacing w:before="1"/>
        <w:rPr>
          <w:b/>
          <w:sz w:val="21"/>
          <w:lang w:val="es-ES"/>
        </w:rPr>
      </w:pPr>
    </w:p>
    <w:p w:rsidR="009724E1" w:rsidRPr="00721D9A" w:rsidRDefault="00721D9A">
      <w:pPr>
        <w:pStyle w:val="Textoindependiente"/>
        <w:spacing w:line="276" w:lineRule="auto"/>
        <w:ind w:left="820"/>
        <w:jc w:val="both"/>
        <w:rPr>
          <w:lang w:val="es-ES"/>
        </w:rPr>
      </w:pPr>
      <w:r w:rsidRPr="00721D9A">
        <w:rPr>
          <w:lang w:val="es-ES"/>
        </w:rPr>
        <w:t xml:space="preserve">El uso de aspirina en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prevención de </w:t>
      </w:r>
      <w:r w:rsidRPr="00721D9A">
        <w:rPr>
          <w:spacing w:val="-3"/>
          <w:lang w:val="es-ES"/>
        </w:rPr>
        <w:t xml:space="preserve">la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 xml:space="preserve"> se ha discutido durante más de 10 años con una gran variabilidad de opiniones entre lo</w:t>
      </w:r>
      <w:r w:rsidRPr="00721D9A">
        <w:rPr>
          <w:lang w:val="es-ES"/>
        </w:rPr>
        <w:t xml:space="preserve">s expertos. En el pasado,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disparidad de resultados entre grandes y pequeños estudios era evidente, ya que los pequeños estudios poblacionales reportaban una reducción en el riesgo de desarrollar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 xml:space="preserve"> de hasta un 82%, siendo estas cifras discorda</w:t>
      </w:r>
      <w:r w:rsidRPr="00721D9A">
        <w:rPr>
          <w:lang w:val="es-ES"/>
        </w:rPr>
        <w:t>ntes con los resultados de estudios de mayor tamaño que reportaban reducciones de tan solo un 9%. Muchos expertos atribuían estas diferencias a un sesgo en publicación, ya que estudios de menor tamaño con resultados positivos son más susceptibles a ser pub</w:t>
      </w:r>
      <w:r w:rsidRPr="00721D9A">
        <w:rPr>
          <w:lang w:val="es-ES"/>
        </w:rPr>
        <w:t>licados, en comparación con los estudios de menor tamaño con resultados negativos o</w:t>
      </w:r>
      <w:r w:rsidRPr="00721D9A">
        <w:rPr>
          <w:spacing w:val="-1"/>
          <w:lang w:val="es-ES"/>
        </w:rPr>
        <w:t xml:space="preserve"> </w:t>
      </w:r>
      <w:r w:rsidRPr="00721D9A">
        <w:rPr>
          <w:lang w:val="es-ES"/>
        </w:rPr>
        <w:t>ambiguos.</w:t>
      </w:r>
    </w:p>
    <w:p w:rsidR="009724E1" w:rsidRPr="00721D9A" w:rsidRDefault="00721D9A">
      <w:pPr>
        <w:pStyle w:val="Textoindependiente"/>
        <w:spacing w:before="198" w:line="276" w:lineRule="auto"/>
        <w:ind w:left="820"/>
        <w:jc w:val="both"/>
        <w:rPr>
          <w:lang w:val="es-ES"/>
        </w:rPr>
      </w:pPr>
      <w:r w:rsidRPr="00721D9A">
        <w:rPr>
          <w:lang w:val="es-ES"/>
        </w:rPr>
        <w:t xml:space="preserve">Cuando se combinaban los resultados de estos grandes y pequeños estudios, quedaba en evidencia que el uso de aspirina se asociaba con una reducción del riesgo de </w:t>
      </w:r>
      <w:r w:rsidRPr="00721D9A">
        <w:rPr>
          <w:lang w:val="es-ES"/>
        </w:rPr>
        <w:t xml:space="preserve">presentar </w:t>
      </w:r>
      <w:proofErr w:type="spellStart"/>
      <w:r w:rsidRPr="00721D9A">
        <w:rPr>
          <w:lang w:val="es-ES"/>
        </w:rPr>
        <w:t>preeclamsia</w:t>
      </w:r>
      <w:proofErr w:type="spellEnd"/>
      <w:r w:rsidRPr="00721D9A">
        <w:rPr>
          <w:lang w:val="es-ES"/>
        </w:rPr>
        <w:t xml:space="preserve"> en aproximadamente un 13% de las mujeres consideradas de riesgo según diferentes criterios, </w:t>
      </w:r>
      <w:r w:rsidRPr="00721D9A">
        <w:rPr>
          <w:spacing w:val="-3"/>
          <w:lang w:val="es-ES"/>
        </w:rPr>
        <w:t xml:space="preserve">lo </w:t>
      </w:r>
      <w:r w:rsidRPr="00721D9A">
        <w:rPr>
          <w:lang w:val="es-ES"/>
        </w:rPr>
        <w:t xml:space="preserve">cual a pesar de ser estadísticamente significativo, </w:t>
      </w:r>
      <w:r w:rsidRPr="00721D9A">
        <w:rPr>
          <w:spacing w:val="-3"/>
          <w:lang w:val="es-ES"/>
        </w:rPr>
        <w:t xml:space="preserve">lo </w:t>
      </w:r>
      <w:r w:rsidRPr="00721D9A">
        <w:rPr>
          <w:lang w:val="es-ES"/>
        </w:rPr>
        <w:t>consideraban en su mayoría clínicamente impráctico,</w:t>
      </w:r>
      <w:r w:rsidRPr="00721D9A">
        <w:rPr>
          <w:spacing w:val="15"/>
          <w:lang w:val="es-ES"/>
        </w:rPr>
        <w:t xml:space="preserve"> </w:t>
      </w:r>
      <w:r w:rsidRPr="00721D9A">
        <w:rPr>
          <w:lang w:val="es-ES"/>
        </w:rPr>
        <w:t>ya</w:t>
      </w:r>
      <w:r w:rsidRPr="00721D9A">
        <w:rPr>
          <w:spacing w:val="16"/>
          <w:lang w:val="es-ES"/>
        </w:rPr>
        <w:t xml:space="preserve"> </w:t>
      </w:r>
      <w:r w:rsidRPr="00721D9A">
        <w:rPr>
          <w:lang w:val="es-ES"/>
        </w:rPr>
        <w:t>que</w:t>
      </w:r>
      <w:r w:rsidRPr="00721D9A">
        <w:rPr>
          <w:spacing w:val="13"/>
          <w:lang w:val="es-ES"/>
        </w:rPr>
        <w:t xml:space="preserve"> </w:t>
      </w:r>
      <w:r w:rsidRPr="00721D9A">
        <w:rPr>
          <w:lang w:val="es-ES"/>
        </w:rPr>
        <w:t>más</w:t>
      </w:r>
      <w:r w:rsidRPr="00721D9A">
        <w:rPr>
          <w:spacing w:val="13"/>
          <w:lang w:val="es-ES"/>
        </w:rPr>
        <w:t xml:space="preserve"> </w:t>
      </w:r>
      <w:r w:rsidRPr="00721D9A">
        <w:rPr>
          <w:lang w:val="es-ES"/>
        </w:rPr>
        <w:t>de</w:t>
      </w:r>
      <w:r w:rsidRPr="00721D9A">
        <w:rPr>
          <w:spacing w:val="16"/>
          <w:lang w:val="es-ES"/>
        </w:rPr>
        <w:t xml:space="preserve"> </w:t>
      </w:r>
      <w:r w:rsidRPr="00721D9A">
        <w:rPr>
          <w:lang w:val="es-ES"/>
        </w:rPr>
        <w:t>100</w:t>
      </w:r>
      <w:r w:rsidRPr="00721D9A">
        <w:rPr>
          <w:spacing w:val="13"/>
          <w:lang w:val="es-ES"/>
        </w:rPr>
        <w:t xml:space="preserve"> </w:t>
      </w:r>
      <w:r w:rsidRPr="00721D9A">
        <w:rPr>
          <w:lang w:val="es-ES"/>
        </w:rPr>
        <w:t>mujeres</w:t>
      </w:r>
    </w:p>
    <w:p w:rsidR="009724E1" w:rsidRPr="00721D9A" w:rsidRDefault="00721D9A">
      <w:pPr>
        <w:pStyle w:val="Textoindependiente"/>
        <w:spacing w:before="8"/>
        <w:rPr>
          <w:lang w:val="es-ES"/>
        </w:rPr>
      </w:pPr>
      <w:r w:rsidRPr="00721D9A">
        <w:rPr>
          <w:lang w:val="es-ES"/>
        </w:rPr>
        <w:br w:type="column"/>
      </w:r>
    </w:p>
    <w:p w:rsidR="009724E1" w:rsidRPr="00721D9A" w:rsidRDefault="00721D9A">
      <w:pPr>
        <w:pStyle w:val="Textoindependiente"/>
        <w:spacing w:line="276" w:lineRule="auto"/>
        <w:ind w:left="677" w:right="815"/>
        <w:jc w:val="both"/>
        <w:rPr>
          <w:lang w:val="es-ES"/>
        </w:rPr>
      </w:pPr>
      <w:proofErr w:type="gramStart"/>
      <w:r w:rsidRPr="00721D9A">
        <w:rPr>
          <w:lang w:val="es-ES"/>
        </w:rPr>
        <w:t>debí</w:t>
      </w:r>
      <w:r w:rsidRPr="00721D9A">
        <w:rPr>
          <w:lang w:val="es-ES"/>
        </w:rPr>
        <w:t>an</w:t>
      </w:r>
      <w:proofErr w:type="gramEnd"/>
      <w:r w:rsidRPr="00721D9A">
        <w:rPr>
          <w:lang w:val="es-ES"/>
        </w:rPr>
        <w:t xml:space="preserve"> de ser tratadas para prevenir un solo caso de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 xml:space="preserve">. Esto llevó a múltiples organizaciones y expertos de renombre a rechazar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recomendación del uso de aspirina como método de prevención para el desarrollo de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>.</w:t>
      </w:r>
    </w:p>
    <w:p w:rsidR="009724E1" w:rsidRPr="00721D9A" w:rsidRDefault="00721D9A">
      <w:pPr>
        <w:pStyle w:val="Textoindependiente"/>
        <w:spacing w:before="201" w:line="276" w:lineRule="auto"/>
        <w:ind w:left="677" w:right="815"/>
        <w:jc w:val="both"/>
        <w:rPr>
          <w:lang w:val="es-ES"/>
        </w:rPr>
      </w:pPr>
      <w:r w:rsidRPr="00721D9A">
        <w:rPr>
          <w:lang w:val="es-ES"/>
        </w:rPr>
        <w:t>Los resultados de nuev</w:t>
      </w:r>
      <w:r w:rsidRPr="00721D9A">
        <w:rPr>
          <w:lang w:val="es-ES"/>
        </w:rPr>
        <w:t xml:space="preserve">os y más grandes estudios en los últimos años ha cambiado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opinión general de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mayor parte de estas entidades, las cuales ahora reconocen el beneficio del uso de aspirina en mujeres con alto riesgo de desarrollar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>. Sin embargo, es necesario</w:t>
      </w:r>
      <w:r w:rsidRPr="00721D9A">
        <w:rPr>
          <w:lang w:val="es-ES"/>
        </w:rPr>
        <w:t xml:space="preserve"> establecer que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>magnitud del beneficio varía y depende de un número de factores que se discuten a continuación.</w:t>
      </w:r>
    </w:p>
    <w:p w:rsidR="009724E1" w:rsidRPr="00721D9A" w:rsidRDefault="00721D9A">
      <w:pPr>
        <w:pStyle w:val="Textoindependiente"/>
        <w:spacing w:before="198" w:line="276" w:lineRule="auto"/>
        <w:ind w:left="677" w:right="815"/>
        <w:jc w:val="both"/>
        <w:rPr>
          <w:lang w:val="es-ES"/>
        </w:rPr>
      </w:pPr>
      <w:r w:rsidRPr="00721D9A">
        <w:rPr>
          <w:lang w:val="es-ES"/>
        </w:rPr>
        <w:t>Asimismo, existen características demográficas entre estas pacientes que aún no han sido propiamente evaluadas y que podrían significar un ma</w:t>
      </w:r>
      <w:r w:rsidRPr="00721D9A">
        <w:rPr>
          <w:lang w:val="es-ES"/>
        </w:rPr>
        <w:t xml:space="preserve">yor o menor impacto sobre los resultados observados hasta </w:t>
      </w:r>
      <w:r w:rsidRPr="00721D9A">
        <w:rPr>
          <w:spacing w:val="-3"/>
          <w:lang w:val="es-ES"/>
        </w:rPr>
        <w:t>la</w:t>
      </w:r>
      <w:r w:rsidRPr="00721D9A">
        <w:rPr>
          <w:spacing w:val="-1"/>
          <w:lang w:val="es-ES"/>
        </w:rPr>
        <w:t xml:space="preserve"> </w:t>
      </w:r>
      <w:r w:rsidRPr="00721D9A">
        <w:rPr>
          <w:lang w:val="es-ES"/>
        </w:rPr>
        <w:t>fecha.</w:t>
      </w:r>
    </w:p>
    <w:p w:rsidR="009724E1" w:rsidRPr="00721D9A" w:rsidRDefault="00721D9A">
      <w:pPr>
        <w:pStyle w:val="Ttulo1"/>
        <w:spacing w:before="199" w:line="276" w:lineRule="auto"/>
        <w:ind w:left="677" w:right="819"/>
        <w:jc w:val="both"/>
        <w:rPr>
          <w:lang w:val="es-ES"/>
        </w:rPr>
      </w:pPr>
      <w:r w:rsidRPr="00721D9A">
        <w:rPr>
          <w:lang w:val="es-ES"/>
        </w:rPr>
        <w:t>ASPIRINA COMO MÉTODO DE PREVENCIÓN</w:t>
      </w:r>
    </w:p>
    <w:p w:rsidR="009724E1" w:rsidRPr="00721D9A" w:rsidRDefault="00721D9A">
      <w:pPr>
        <w:pStyle w:val="Textoindependiente"/>
        <w:spacing w:before="206" w:line="276" w:lineRule="auto"/>
        <w:ind w:left="677" w:right="813"/>
        <w:jc w:val="both"/>
        <w:rPr>
          <w:lang w:val="es-ES"/>
        </w:rPr>
      </w:pPr>
      <w:r w:rsidRPr="00721D9A">
        <w:rPr>
          <w:lang w:val="es-ES"/>
        </w:rPr>
        <w:t xml:space="preserve">Observaciones iniciales de un mayor recambio plaquetario y aumento en los niveles de </w:t>
      </w:r>
      <w:proofErr w:type="spellStart"/>
      <w:r w:rsidRPr="00721D9A">
        <w:rPr>
          <w:lang w:val="es-ES"/>
        </w:rPr>
        <w:t>tromboxano</w:t>
      </w:r>
      <w:proofErr w:type="spellEnd"/>
      <w:r w:rsidRPr="00721D9A">
        <w:rPr>
          <w:lang w:val="es-ES"/>
        </w:rPr>
        <w:t xml:space="preserve"> plaquetario en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fisiopatología de </w:t>
      </w:r>
      <w:r w:rsidRPr="00721D9A">
        <w:rPr>
          <w:spacing w:val="-3"/>
          <w:lang w:val="es-ES"/>
        </w:rPr>
        <w:t xml:space="preserve">la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 xml:space="preserve">, incentivó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creación de múltiples estudios aleatorios para poder evaluar el efecto de las bajas dosis de aspirina en mujeres consideradas con alto riesgo de desarrollar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>enfermedad. Logrando evidenciarse que dosis bajas de aspirina (60 a 1</w:t>
      </w:r>
      <w:r w:rsidRPr="00721D9A">
        <w:rPr>
          <w:lang w:val="es-ES"/>
        </w:rPr>
        <w:t xml:space="preserve">50 mg por día) disminuyen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síntesis de </w:t>
      </w:r>
      <w:proofErr w:type="spellStart"/>
      <w:r w:rsidRPr="00721D9A">
        <w:rPr>
          <w:lang w:val="es-ES"/>
        </w:rPr>
        <w:t>tromboxano</w:t>
      </w:r>
      <w:proofErr w:type="spellEnd"/>
      <w:r w:rsidRPr="00721D9A">
        <w:rPr>
          <w:lang w:val="es-ES"/>
        </w:rPr>
        <w:t xml:space="preserve"> plaquetario sin inhibir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formación de </w:t>
      </w:r>
      <w:proofErr w:type="spellStart"/>
      <w:r w:rsidRPr="00721D9A">
        <w:rPr>
          <w:lang w:val="es-ES"/>
        </w:rPr>
        <w:t>prostaciclinas</w:t>
      </w:r>
      <w:proofErr w:type="spellEnd"/>
      <w:r w:rsidRPr="00721D9A">
        <w:rPr>
          <w:lang w:val="es-ES"/>
        </w:rPr>
        <w:t>. Un efecto modulador de inflamación también se ha mencionado en múltiples estudios como un</w:t>
      </w:r>
      <w:r w:rsidRPr="00721D9A">
        <w:rPr>
          <w:spacing w:val="35"/>
          <w:lang w:val="es-ES"/>
        </w:rPr>
        <w:t xml:space="preserve"> </w:t>
      </w:r>
      <w:r w:rsidRPr="00721D9A">
        <w:rPr>
          <w:lang w:val="es-ES"/>
        </w:rPr>
        <w:t>mecanismo</w:t>
      </w:r>
    </w:p>
    <w:p w:rsidR="009724E1" w:rsidRPr="00721D9A" w:rsidRDefault="009724E1">
      <w:pPr>
        <w:spacing w:line="276" w:lineRule="auto"/>
        <w:jc w:val="both"/>
        <w:rPr>
          <w:lang w:val="es-ES"/>
        </w:rPr>
        <w:sectPr w:rsidR="009724E1" w:rsidRPr="00721D9A">
          <w:type w:val="continuous"/>
          <w:pgSz w:w="12240" w:h="15840"/>
          <w:pgMar w:top="1360" w:right="620" w:bottom="1060" w:left="620" w:header="720" w:footer="720" w:gutter="0"/>
          <w:cols w:num="2" w:space="720" w:equalWidth="0">
            <w:col w:w="5145" w:space="40"/>
            <w:col w:w="5815"/>
          </w:cols>
        </w:sectPr>
      </w:pPr>
    </w:p>
    <w:p w:rsidR="009724E1" w:rsidRPr="00721D9A" w:rsidRDefault="009724E1">
      <w:pPr>
        <w:pStyle w:val="Textoindependiente"/>
        <w:rPr>
          <w:sz w:val="20"/>
          <w:lang w:val="es-ES"/>
        </w:rPr>
      </w:pPr>
    </w:p>
    <w:p w:rsidR="009724E1" w:rsidRPr="00721D9A" w:rsidRDefault="009724E1">
      <w:pPr>
        <w:rPr>
          <w:sz w:val="20"/>
          <w:lang w:val="es-ES"/>
        </w:rPr>
        <w:sectPr w:rsidR="009724E1" w:rsidRPr="00721D9A">
          <w:footerReference w:type="even" r:id="rId15"/>
          <w:footerReference w:type="default" r:id="rId16"/>
          <w:pgSz w:w="12240" w:h="15840"/>
          <w:pgMar w:top="940" w:right="620" w:bottom="1060" w:left="620" w:header="723" w:footer="872" w:gutter="0"/>
          <w:pgNumType w:start="20"/>
          <w:cols w:space="720"/>
        </w:sectPr>
      </w:pPr>
    </w:p>
    <w:p w:rsidR="009724E1" w:rsidRPr="00721D9A" w:rsidRDefault="009724E1">
      <w:pPr>
        <w:pStyle w:val="Textoindependiente"/>
        <w:spacing w:before="8"/>
        <w:rPr>
          <w:lang w:val="es-ES"/>
        </w:rPr>
      </w:pPr>
    </w:p>
    <w:p w:rsidR="009724E1" w:rsidRPr="00721D9A" w:rsidRDefault="00721D9A">
      <w:pPr>
        <w:pStyle w:val="Textoindependiente"/>
        <w:spacing w:line="278" w:lineRule="auto"/>
        <w:ind w:left="820" w:right="9"/>
        <w:jc w:val="both"/>
        <w:rPr>
          <w:lang w:val="es-ES"/>
        </w:rPr>
      </w:pPr>
      <w:proofErr w:type="gramStart"/>
      <w:r w:rsidRPr="00721D9A">
        <w:rPr>
          <w:lang w:val="es-ES"/>
        </w:rPr>
        <w:t>adicional</w:t>
      </w:r>
      <w:proofErr w:type="gramEnd"/>
      <w:r w:rsidRPr="00721D9A">
        <w:rPr>
          <w:lang w:val="es-ES"/>
        </w:rPr>
        <w:t xml:space="preserve"> en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prevención de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>enfermedad.</w:t>
      </w:r>
    </w:p>
    <w:p w:rsidR="009724E1" w:rsidRPr="00721D9A" w:rsidRDefault="00721D9A">
      <w:pPr>
        <w:pStyle w:val="Textoindependiente"/>
        <w:spacing w:before="194"/>
        <w:ind w:left="820"/>
        <w:jc w:val="both"/>
        <w:rPr>
          <w:lang w:val="es-ES"/>
        </w:rPr>
      </w:pPr>
      <w:r w:rsidRPr="00721D9A">
        <w:rPr>
          <w:lang w:val="es-ES"/>
        </w:rPr>
        <w:t>Un reciente estudio poblacional en más de</w:t>
      </w:r>
    </w:p>
    <w:p w:rsidR="009724E1" w:rsidRPr="00721D9A" w:rsidRDefault="00721D9A">
      <w:pPr>
        <w:pStyle w:val="Prrafodelista"/>
        <w:numPr>
          <w:ilvl w:val="1"/>
          <w:numId w:val="2"/>
        </w:numPr>
        <w:tabs>
          <w:tab w:val="left" w:pos="1668"/>
        </w:tabs>
        <w:spacing w:before="38" w:line="276" w:lineRule="auto"/>
        <w:ind w:firstLine="0"/>
        <w:jc w:val="both"/>
        <w:rPr>
          <w:lang w:val="es-ES"/>
        </w:rPr>
      </w:pPr>
      <w:r w:rsidRPr="00721D9A">
        <w:rPr>
          <w:lang w:val="es-ES"/>
        </w:rPr>
        <w:t xml:space="preserve">mujeres, demostró no solo una reducción en el riesgo de desarrollar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>enfermedad, sino también de otros efectos adversos asociados como el parto prematuro y el retraso en el crecimiento intrauterino (RCIU) en un 10 a 20%. Es importante mencionar que efect</w:t>
      </w:r>
      <w:r w:rsidRPr="00721D9A">
        <w:rPr>
          <w:lang w:val="es-ES"/>
        </w:rPr>
        <w:t xml:space="preserve">os adversos fetales y neonatales secundarios no siempre han sido reproducibles en los diferentes estudios, sin embargo, a pesar de ser reportados muchos reconocen que los estudios no fueron diseñados con el fin de detectar tales resultados, por </w:t>
      </w:r>
      <w:r w:rsidRPr="00721D9A">
        <w:rPr>
          <w:spacing w:val="-3"/>
          <w:lang w:val="es-ES"/>
        </w:rPr>
        <w:t xml:space="preserve">lo </w:t>
      </w:r>
      <w:r w:rsidRPr="00721D9A">
        <w:rPr>
          <w:lang w:val="es-ES"/>
        </w:rPr>
        <w:t>que no d</w:t>
      </w:r>
      <w:r w:rsidRPr="00721D9A">
        <w:rPr>
          <w:lang w:val="es-ES"/>
        </w:rPr>
        <w:t xml:space="preserve">escartan el beneficio adicional más </w:t>
      </w:r>
      <w:r w:rsidRPr="00721D9A">
        <w:rPr>
          <w:spacing w:val="-3"/>
          <w:lang w:val="es-ES"/>
        </w:rPr>
        <w:t xml:space="preserve">allá </w:t>
      </w:r>
      <w:r w:rsidRPr="00721D9A">
        <w:rPr>
          <w:lang w:val="es-ES"/>
        </w:rPr>
        <w:t xml:space="preserve">del desarrollo de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>enfermedad como objetivo primario.</w:t>
      </w:r>
    </w:p>
    <w:p w:rsidR="009724E1" w:rsidRPr="00721D9A" w:rsidRDefault="00721D9A">
      <w:pPr>
        <w:pStyle w:val="Textoindependiente"/>
        <w:spacing w:before="201" w:line="276" w:lineRule="auto"/>
        <w:ind w:left="820" w:right="1"/>
        <w:jc w:val="both"/>
        <w:rPr>
          <w:lang w:val="es-ES"/>
        </w:rPr>
      </w:pPr>
      <w:r w:rsidRPr="00721D9A">
        <w:rPr>
          <w:lang w:val="es-ES"/>
        </w:rPr>
        <w:t xml:space="preserve">Considerando que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aspirina en dosis  bajas es un medicamento seguro durante el embarazo,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>mayoría de expertos hoy en día concuerdan en que el riesgo que pu</w:t>
      </w:r>
      <w:r w:rsidRPr="00721D9A">
        <w:rPr>
          <w:lang w:val="es-ES"/>
        </w:rPr>
        <w:t xml:space="preserve">eda derivar de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>terapia, está justificado cuando se administra a mujeres con alto riesgo de presentar</w:t>
      </w:r>
      <w:r w:rsidRPr="00721D9A">
        <w:rPr>
          <w:spacing w:val="-4"/>
          <w:lang w:val="es-ES"/>
        </w:rPr>
        <w:t xml:space="preserve">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>.</w:t>
      </w:r>
    </w:p>
    <w:p w:rsidR="009724E1" w:rsidRPr="00721D9A" w:rsidRDefault="00721D9A">
      <w:pPr>
        <w:pStyle w:val="Ttulo1"/>
        <w:spacing w:before="199" w:line="276" w:lineRule="auto"/>
        <w:ind w:right="2"/>
        <w:jc w:val="both"/>
        <w:rPr>
          <w:lang w:val="es-ES"/>
        </w:rPr>
      </w:pPr>
      <w:r w:rsidRPr="00721D9A">
        <w:rPr>
          <w:lang w:val="es-ES"/>
        </w:rPr>
        <w:t>CRITERIOS PARA IDENTIFICAR MUJERES CON ALTO RIESGO DE DESARROLLAR PREECLAMPSIA</w:t>
      </w:r>
    </w:p>
    <w:p w:rsidR="009724E1" w:rsidRPr="00721D9A" w:rsidRDefault="00721D9A">
      <w:pPr>
        <w:pStyle w:val="Textoindependiente"/>
        <w:spacing w:before="202" w:line="276" w:lineRule="auto"/>
        <w:ind w:left="820"/>
        <w:jc w:val="both"/>
        <w:rPr>
          <w:lang w:val="es-ES"/>
        </w:rPr>
      </w:pPr>
      <w:r w:rsidRPr="00721D9A">
        <w:rPr>
          <w:lang w:val="es-ES"/>
        </w:rPr>
        <w:t>Hasta la fecha no existe un consenso en cuanto a qué criter</w:t>
      </w:r>
      <w:r w:rsidRPr="00721D9A">
        <w:rPr>
          <w:lang w:val="es-ES"/>
        </w:rPr>
        <w:t xml:space="preserve">ios confieren un alto riesgo de desarrollar la enfermedad, sin embargo, el American </w:t>
      </w:r>
      <w:proofErr w:type="spellStart"/>
      <w:r w:rsidRPr="00721D9A">
        <w:rPr>
          <w:lang w:val="es-ES"/>
        </w:rPr>
        <w:t>College</w:t>
      </w:r>
      <w:proofErr w:type="spellEnd"/>
      <w:r w:rsidRPr="00721D9A">
        <w:rPr>
          <w:lang w:val="es-ES"/>
        </w:rPr>
        <w:t xml:space="preserve"> of </w:t>
      </w:r>
      <w:proofErr w:type="spellStart"/>
      <w:r w:rsidRPr="00721D9A">
        <w:rPr>
          <w:lang w:val="es-ES"/>
        </w:rPr>
        <w:t>Obstetricians</w:t>
      </w:r>
      <w:proofErr w:type="spellEnd"/>
      <w:r w:rsidRPr="00721D9A">
        <w:rPr>
          <w:lang w:val="es-ES"/>
        </w:rPr>
        <w:t xml:space="preserve"> and </w:t>
      </w:r>
      <w:proofErr w:type="spellStart"/>
      <w:r w:rsidRPr="00721D9A">
        <w:rPr>
          <w:lang w:val="es-ES"/>
        </w:rPr>
        <w:t>Gynecologists</w:t>
      </w:r>
      <w:proofErr w:type="spellEnd"/>
      <w:r w:rsidRPr="00721D9A">
        <w:rPr>
          <w:lang w:val="es-ES"/>
        </w:rPr>
        <w:t xml:space="preserve"> (ACOG) en una publicación reciente de Julio 2016, acepta la utilización de los factores de alto riesgo establecidos por el </w:t>
      </w:r>
      <w:proofErr w:type="spellStart"/>
      <w:r w:rsidRPr="00721D9A">
        <w:rPr>
          <w:lang w:val="es-ES"/>
        </w:rPr>
        <w:t>United</w:t>
      </w:r>
      <w:proofErr w:type="spellEnd"/>
      <w:r w:rsidRPr="00721D9A">
        <w:rPr>
          <w:lang w:val="es-ES"/>
        </w:rPr>
        <w:t xml:space="preserve"> </w:t>
      </w:r>
      <w:proofErr w:type="spellStart"/>
      <w:r w:rsidRPr="00721D9A">
        <w:rPr>
          <w:lang w:val="es-ES"/>
        </w:rPr>
        <w:t>States</w:t>
      </w:r>
      <w:proofErr w:type="spellEnd"/>
      <w:r w:rsidRPr="00721D9A">
        <w:rPr>
          <w:lang w:val="es-ES"/>
        </w:rPr>
        <w:t xml:space="preserve"> </w:t>
      </w:r>
      <w:proofErr w:type="spellStart"/>
      <w:r w:rsidRPr="00721D9A">
        <w:rPr>
          <w:lang w:val="es-ES"/>
        </w:rPr>
        <w:t>Preventive</w:t>
      </w:r>
      <w:proofErr w:type="spellEnd"/>
      <w:r w:rsidRPr="00721D9A">
        <w:rPr>
          <w:lang w:val="es-ES"/>
        </w:rPr>
        <w:t xml:space="preserve"> </w:t>
      </w:r>
      <w:proofErr w:type="spellStart"/>
      <w:r w:rsidRPr="00721D9A">
        <w:rPr>
          <w:lang w:val="es-ES"/>
        </w:rPr>
        <w:t>Services</w:t>
      </w:r>
      <w:proofErr w:type="spellEnd"/>
      <w:r w:rsidRPr="00721D9A">
        <w:rPr>
          <w:lang w:val="es-ES"/>
        </w:rPr>
        <w:t xml:space="preserve"> </w:t>
      </w:r>
      <w:proofErr w:type="spellStart"/>
      <w:r w:rsidRPr="00721D9A">
        <w:rPr>
          <w:lang w:val="es-ES"/>
        </w:rPr>
        <w:t>Task</w:t>
      </w:r>
      <w:proofErr w:type="spellEnd"/>
      <w:r w:rsidRPr="00721D9A">
        <w:rPr>
          <w:lang w:val="es-ES"/>
        </w:rPr>
        <w:t xml:space="preserve"> </w:t>
      </w:r>
      <w:proofErr w:type="spellStart"/>
      <w:r w:rsidRPr="00721D9A">
        <w:rPr>
          <w:lang w:val="es-ES"/>
        </w:rPr>
        <w:t>Force</w:t>
      </w:r>
      <w:proofErr w:type="spellEnd"/>
      <w:r w:rsidRPr="00721D9A">
        <w:rPr>
          <w:lang w:val="es-ES"/>
        </w:rPr>
        <w:t xml:space="preserve"> (USPSTF), los cuales establecen un alto riesgo en aquellas mujeres que cumplan con uno o más de los siguientes criterios:</w:t>
      </w:r>
    </w:p>
    <w:p w:rsidR="009724E1" w:rsidRPr="00721D9A" w:rsidRDefault="00721D9A">
      <w:pPr>
        <w:pStyle w:val="Textoindependiente"/>
        <w:spacing w:before="8"/>
        <w:rPr>
          <w:lang w:val="es-ES"/>
        </w:rPr>
      </w:pPr>
      <w:r w:rsidRPr="00721D9A">
        <w:rPr>
          <w:lang w:val="es-ES"/>
        </w:rPr>
        <w:br w:type="column"/>
      </w:r>
    </w:p>
    <w:p w:rsidR="009724E1" w:rsidRPr="00721D9A" w:rsidRDefault="00721D9A">
      <w:pPr>
        <w:pStyle w:val="Prrafodelista"/>
        <w:numPr>
          <w:ilvl w:val="2"/>
          <w:numId w:val="2"/>
        </w:numPr>
        <w:tabs>
          <w:tab w:val="left" w:pos="1401"/>
        </w:tabs>
        <w:spacing w:line="276" w:lineRule="auto"/>
        <w:ind w:right="815"/>
        <w:jc w:val="both"/>
        <w:rPr>
          <w:lang w:val="es-ES"/>
        </w:rPr>
      </w:pPr>
      <w:r w:rsidRPr="00721D9A">
        <w:rPr>
          <w:lang w:val="es-ES"/>
        </w:rPr>
        <w:t xml:space="preserve">Embarazo previo con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>, especialmente aquella de inicio temprano y con desenlace de</w:t>
      </w:r>
      <w:r w:rsidRPr="00721D9A">
        <w:rPr>
          <w:lang w:val="es-ES"/>
        </w:rPr>
        <w:t>sfavorable.</w:t>
      </w:r>
    </w:p>
    <w:p w:rsidR="009724E1" w:rsidRDefault="00721D9A">
      <w:pPr>
        <w:pStyle w:val="Prrafodelista"/>
        <w:numPr>
          <w:ilvl w:val="2"/>
          <w:numId w:val="2"/>
        </w:numPr>
        <w:tabs>
          <w:tab w:val="left" w:pos="1401"/>
        </w:tabs>
        <w:spacing w:before="1" w:line="278" w:lineRule="auto"/>
        <w:ind w:right="818"/>
        <w:jc w:val="both"/>
      </w:pPr>
      <w:proofErr w:type="spellStart"/>
      <w:r>
        <w:t>Gestación</w:t>
      </w:r>
      <w:proofErr w:type="spellEnd"/>
      <w:r>
        <w:t xml:space="preserve"> </w:t>
      </w:r>
      <w:proofErr w:type="spellStart"/>
      <w:r>
        <w:t>múltiple.Hipertensión</w:t>
      </w:r>
      <w:proofErr w:type="spellEnd"/>
      <w:r>
        <w:t xml:space="preserve"> </w:t>
      </w:r>
      <w:proofErr w:type="spellStart"/>
      <w:r>
        <w:t>crónica</w:t>
      </w:r>
      <w:proofErr w:type="spellEnd"/>
      <w:r>
        <w:t>.</w:t>
      </w:r>
    </w:p>
    <w:p w:rsidR="009724E1" w:rsidRDefault="00721D9A">
      <w:pPr>
        <w:pStyle w:val="Prrafodelista"/>
        <w:numPr>
          <w:ilvl w:val="2"/>
          <w:numId w:val="2"/>
        </w:numPr>
        <w:tabs>
          <w:tab w:val="left" w:pos="1401"/>
        </w:tabs>
        <w:spacing w:line="249" w:lineRule="exact"/>
      </w:pPr>
      <w:r>
        <w:t xml:space="preserve">Diabetes mellitus </w:t>
      </w:r>
      <w:proofErr w:type="spellStart"/>
      <w:r>
        <w:t>tipo</w:t>
      </w:r>
      <w:proofErr w:type="spellEnd"/>
      <w:r>
        <w:t xml:space="preserve"> 1 o</w:t>
      </w:r>
      <w:r>
        <w:rPr>
          <w:spacing w:val="-4"/>
        </w:rPr>
        <w:t xml:space="preserve"> </w:t>
      </w:r>
      <w:r>
        <w:t>2.</w:t>
      </w:r>
    </w:p>
    <w:p w:rsidR="009724E1" w:rsidRDefault="00721D9A">
      <w:pPr>
        <w:pStyle w:val="Prrafodelista"/>
        <w:numPr>
          <w:ilvl w:val="2"/>
          <w:numId w:val="2"/>
        </w:numPr>
        <w:tabs>
          <w:tab w:val="left" w:pos="1401"/>
        </w:tabs>
        <w:spacing w:before="39"/>
      </w:pPr>
      <w:proofErr w:type="spellStart"/>
      <w:r>
        <w:t>Enfermedad</w:t>
      </w:r>
      <w:proofErr w:type="spellEnd"/>
      <w:r>
        <w:t xml:space="preserve"> renal</w:t>
      </w:r>
      <w:r>
        <w:rPr>
          <w:spacing w:val="-7"/>
        </w:rPr>
        <w:t xml:space="preserve"> </w:t>
      </w:r>
      <w:proofErr w:type="spellStart"/>
      <w:r>
        <w:t>crónica</w:t>
      </w:r>
      <w:proofErr w:type="spellEnd"/>
      <w:r>
        <w:t>.</w:t>
      </w:r>
    </w:p>
    <w:p w:rsidR="009724E1" w:rsidRPr="00721D9A" w:rsidRDefault="00721D9A">
      <w:pPr>
        <w:pStyle w:val="Prrafodelista"/>
        <w:numPr>
          <w:ilvl w:val="2"/>
          <w:numId w:val="2"/>
        </w:numPr>
        <w:tabs>
          <w:tab w:val="left" w:pos="1401"/>
        </w:tabs>
        <w:spacing w:before="38" w:line="276" w:lineRule="auto"/>
        <w:ind w:right="815"/>
        <w:jc w:val="both"/>
        <w:rPr>
          <w:lang w:val="es-ES"/>
        </w:rPr>
      </w:pPr>
      <w:r w:rsidRPr="00721D9A">
        <w:rPr>
          <w:lang w:val="es-ES"/>
        </w:rPr>
        <w:t xml:space="preserve">Enfermedad autoinmune (Síndrome </w:t>
      </w:r>
      <w:proofErr w:type="spellStart"/>
      <w:r w:rsidRPr="00721D9A">
        <w:rPr>
          <w:lang w:val="es-ES"/>
        </w:rPr>
        <w:t>antifosfolípido</w:t>
      </w:r>
      <w:proofErr w:type="spellEnd"/>
      <w:r w:rsidRPr="00721D9A">
        <w:rPr>
          <w:lang w:val="es-ES"/>
        </w:rPr>
        <w:t xml:space="preserve">, lupus </w:t>
      </w:r>
      <w:proofErr w:type="spellStart"/>
      <w:r w:rsidRPr="00721D9A">
        <w:rPr>
          <w:lang w:val="es-ES"/>
        </w:rPr>
        <w:t>eritamatoso</w:t>
      </w:r>
      <w:proofErr w:type="spellEnd"/>
      <w:r w:rsidRPr="00721D9A">
        <w:rPr>
          <w:lang w:val="es-ES"/>
        </w:rPr>
        <w:t xml:space="preserve"> sistémico)</w:t>
      </w:r>
    </w:p>
    <w:p w:rsidR="009724E1" w:rsidRPr="00721D9A" w:rsidRDefault="009724E1">
      <w:pPr>
        <w:pStyle w:val="Textoindependiente"/>
        <w:spacing w:before="3"/>
        <w:rPr>
          <w:sz w:val="25"/>
          <w:lang w:val="es-ES"/>
        </w:rPr>
      </w:pPr>
    </w:p>
    <w:p w:rsidR="009724E1" w:rsidRPr="00721D9A" w:rsidRDefault="00721D9A">
      <w:pPr>
        <w:pStyle w:val="Ttulo1"/>
        <w:spacing w:line="276" w:lineRule="auto"/>
        <w:ind w:left="679" w:right="818"/>
        <w:jc w:val="both"/>
        <w:rPr>
          <w:lang w:val="es-ES"/>
        </w:rPr>
      </w:pPr>
      <w:r w:rsidRPr="00721D9A">
        <w:rPr>
          <w:lang w:val="es-ES"/>
        </w:rPr>
        <w:t>RECOMENDACIONES GENERALES BASADAS EN LA OPINIÓN DE EXPERTOS</w:t>
      </w:r>
    </w:p>
    <w:p w:rsidR="009724E1" w:rsidRPr="00721D9A" w:rsidRDefault="00721D9A">
      <w:pPr>
        <w:pStyle w:val="Textoindependiente"/>
        <w:spacing w:before="206" w:line="276" w:lineRule="auto"/>
        <w:ind w:left="679" w:right="815"/>
        <w:jc w:val="both"/>
        <w:rPr>
          <w:lang w:val="es-ES"/>
        </w:rPr>
      </w:pPr>
      <w:r w:rsidRPr="00721D9A">
        <w:rPr>
          <w:lang w:val="es-ES"/>
        </w:rPr>
        <w:t>La variabilidad en algunas de las recomendaciones más recientes evidencia que aún quedan importantes preguntas por responder. Aún no está claro cuál es la dosis mínima efectiva que se debe utilizar y a pesar de que la seguridad del uso de aspirina en el se</w:t>
      </w:r>
      <w:r w:rsidRPr="00721D9A">
        <w:rPr>
          <w:lang w:val="es-ES"/>
        </w:rPr>
        <w:t>gundo y tercer trimestre está bien establecido, aún quedan dudas en cuanto a los posibles efectos adversos que se puedan presentar en el primer trimestre, o bien si existen subgrupos específicos de mujeres ya identificadas con alto riesgo que recibirían el</w:t>
      </w:r>
      <w:r w:rsidRPr="00721D9A">
        <w:rPr>
          <w:lang w:val="es-ES"/>
        </w:rPr>
        <w:t xml:space="preserve"> máximo beneficio con esta terapia. Hasta la fecha no hay estudios que comparen directamente el uso de aspirina de forma temprana (primer trimestre) vs tardía.</w:t>
      </w:r>
    </w:p>
    <w:p w:rsidR="009724E1" w:rsidRPr="00721D9A" w:rsidRDefault="00721D9A">
      <w:pPr>
        <w:pStyle w:val="Textoindependiente"/>
        <w:spacing w:before="198" w:line="276" w:lineRule="auto"/>
        <w:ind w:left="679" w:right="815"/>
        <w:jc w:val="both"/>
        <w:rPr>
          <w:lang w:val="es-ES"/>
        </w:rPr>
      </w:pPr>
      <w:r w:rsidRPr="00721D9A">
        <w:rPr>
          <w:lang w:val="es-ES"/>
        </w:rPr>
        <w:t>Las recomendaciones más recientes basadas en la opinión de múltiples expertos en el tema publica</w:t>
      </w:r>
      <w:r w:rsidRPr="00721D9A">
        <w:rPr>
          <w:lang w:val="es-ES"/>
        </w:rPr>
        <w:t>do en Junio 2017, recomiendan iniciar el uso de aspirina a bajas dosis entre las 12 y 14 semanas de gestación. La dosis mínima efectiva se desconoce, pero recomiendan 81 mg al día basados en la recomendación del USPSTF para aquellas mujeres que cumplen uno</w:t>
      </w:r>
      <w:r w:rsidRPr="00721D9A">
        <w:rPr>
          <w:lang w:val="es-ES"/>
        </w:rPr>
        <w:t xml:space="preserve"> o más de los criterios previamente descritos. La aspirina se debe suspender entre 5 a 10</w:t>
      </w:r>
    </w:p>
    <w:p w:rsidR="009724E1" w:rsidRPr="00721D9A" w:rsidRDefault="009724E1">
      <w:pPr>
        <w:spacing w:line="276" w:lineRule="auto"/>
        <w:jc w:val="both"/>
        <w:rPr>
          <w:lang w:val="es-ES"/>
        </w:rPr>
        <w:sectPr w:rsidR="009724E1" w:rsidRPr="00721D9A">
          <w:type w:val="continuous"/>
          <w:pgSz w:w="12240" w:h="15840"/>
          <w:pgMar w:top="1360" w:right="620" w:bottom="1060" w:left="620" w:header="720" w:footer="720" w:gutter="0"/>
          <w:cols w:num="2" w:space="720" w:equalWidth="0">
            <w:col w:w="5143" w:space="40"/>
            <w:col w:w="5817"/>
          </w:cols>
        </w:sectPr>
      </w:pPr>
    </w:p>
    <w:p w:rsidR="009724E1" w:rsidRPr="00721D9A" w:rsidRDefault="009724E1">
      <w:pPr>
        <w:pStyle w:val="Textoindependiente"/>
        <w:rPr>
          <w:sz w:val="20"/>
          <w:lang w:val="es-ES"/>
        </w:rPr>
      </w:pPr>
    </w:p>
    <w:p w:rsidR="009724E1" w:rsidRPr="00721D9A" w:rsidRDefault="009724E1">
      <w:pPr>
        <w:rPr>
          <w:sz w:val="20"/>
          <w:lang w:val="es-ES"/>
        </w:rPr>
        <w:sectPr w:rsidR="009724E1" w:rsidRPr="00721D9A">
          <w:pgSz w:w="12240" w:h="15840"/>
          <w:pgMar w:top="940" w:right="620" w:bottom="1080" w:left="620" w:header="723" w:footer="882" w:gutter="0"/>
          <w:cols w:space="720"/>
        </w:sectPr>
      </w:pPr>
    </w:p>
    <w:p w:rsidR="009724E1" w:rsidRPr="00721D9A" w:rsidRDefault="009724E1">
      <w:pPr>
        <w:pStyle w:val="Textoindependiente"/>
        <w:spacing w:before="8"/>
        <w:rPr>
          <w:lang w:val="es-ES"/>
        </w:rPr>
      </w:pPr>
    </w:p>
    <w:p w:rsidR="009724E1" w:rsidRPr="00721D9A" w:rsidRDefault="00721D9A">
      <w:pPr>
        <w:pStyle w:val="Textoindependiente"/>
        <w:spacing w:line="259" w:lineRule="auto"/>
        <w:ind w:left="820" w:right="-2"/>
        <w:rPr>
          <w:lang w:val="es-ES"/>
        </w:rPr>
      </w:pPr>
      <w:proofErr w:type="gramStart"/>
      <w:r w:rsidRPr="00721D9A">
        <w:rPr>
          <w:lang w:val="es-ES"/>
        </w:rPr>
        <w:t>días</w:t>
      </w:r>
      <w:proofErr w:type="gramEnd"/>
      <w:r w:rsidRPr="00721D9A">
        <w:rPr>
          <w:lang w:val="es-ES"/>
        </w:rPr>
        <w:t xml:space="preserve"> previo al parto para disminuir el riesgo de sangrado, aunque ningún efecto adverso materno o fetal se ha reportado con el </w:t>
      </w:r>
      <w:r w:rsidRPr="00721D9A">
        <w:rPr>
          <w:lang w:val="es-ES"/>
        </w:rPr>
        <w:t>uso de dosis bajas de aspirina.</w:t>
      </w:r>
    </w:p>
    <w:p w:rsidR="009724E1" w:rsidRPr="00721D9A" w:rsidRDefault="00721D9A">
      <w:pPr>
        <w:pStyle w:val="Textoindependiente"/>
        <w:spacing w:before="159" w:line="276" w:lineRule="auto"/>
        <w:ind w:left="820"/>
        <w:jc w:val="both"/>
        <w:rPr>
          <w:lang w:val="es-ES"/>
        </w:rPr>
      </w:pPr>
      <w:r w:rsidRPr="00721D9A">
        <w:rPr>
          <w:lang w:val="es-ES"/>
        </w:rPr>
        <w:t xml:space="preserve">En otra publicación reciente de Junio 2017 donde comparan específicamente el uso de aspirina versus placebo en embarazos de alto riesgo para prevención de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 xml:space="preserve"> de tipo </w:t>
      </w:r>
      <w:proofErr w:type="spellStart"/>
      <w:r w:rsidRPr="00721D9A">
        <w:rPr>
          <w:lang w:val="es-ES"/>
        </w:rPr>
        <w:t>pretérmino</w:t>
      </w:r>
      <w:proofErr w:type="spellEnd"/>
      <w:r w:rsidRPr="00721D9A">
        <w:rPr>
          <w:lang w:val="es-ES"/>
        </w:rPr>
        <w:t xml:space="preserve"> (en lugar de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 xml:space="preserve"> total), y e</w:t>
      </w:r>
      <w:r w:rsidRPr="00721D9A">
        <w:rPr>
          <w:lang w:val="es-ES"/>
        </w:rPr>
        <w:t xml:space="preserve">xcluyendo embarazos múltiples, se establece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recomendación de administrar aspirina en dosis de 150mg al día, iniciando entre los días 11 y 14 de gestación hasta </w:t>
      </w:r>
      <w:r w:rsidRPr="00721D9A">
        <w:rPr>
          <w:spacing w:val="-3"/>
          <w:lang w:val="es-ES"/>
        </w:rPr>
        <w:t>la</w:t>
      </w:r>
      <w:r w:rsidRPr="00721D9A">
        <w:rPr>
          <w:spacing w:val="5"/>
          <w:lang w:val="es-ES"/>
        </w:rPr>
        <w:t xml:space="preserve"> </w:t>
      </w:r>
      <w:r w:rsidRPr="00721D9A">
        <w:rPr>
          <w:lang w:val="es-ES"/>
        </w:rPr>
        <w:t>semana</w:t>
      </w:r>
    </w:p>
    <w:p w:rsidR="009724E1" w:rsidRPr="00721D9A" w:rsidRDefault="00721D9A">
      <w:pPr>
        <w:pStyle w:val="Prrafodelista"/>
        <w:numPr>
          <w:ilvl w:val="0"/>
          <w:numId w:val="2"/>
        </w:numPr>
        <w:tabs>
          <w:tab w:val="left" w:pos="1184"/>
        </w:tabs>
        <w:spacing w:line="276" w:lineRule="auto"/>
        <w:ind w:firstLine="0"/>
        <w:jc w:val="both"/>
        <w:rPr>
          <w:lang w:val="es-ES"/>
        </w:rPr>
      </w:pPr>
      <w:r w:rsidRPr="00721D9A">
        <w:rPr>
          <w:lang w:val="es-ES"/>
        </w:rPr>
        <w:t xml:space="preserve">de embarazo, ya que se observó una disminución significativa en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incidencia de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 xml:space="preserve"> </w:t>
      </w:r>
      <w:proofErr w:type="spellStart"/>
      <w:r w:rsidRPr="00721D9A">
        <w:rPr>
          <w:lang w:val="es-ES"/>
        </w:rPr>
        <w:t>pretérmino</w:t>
      </w:r>
      <w:proofErr w:type="spellEnd"/>
      <w:r w:rsidRPr="00721D9A">
        <w:rPr>
          <w:lang w:val="es-ES"/>
        </w:rPr>
        <w:t xml:space="preserve"> en comparación al placebo. La dosis de 150 mg al día se seleccionó en base a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evidencia previa de un efecto beneficioso dosis-dependiente, donde describen que una dosis de 81 mg diarios no tiene un efecto apreciable </w:t>
      </w:r>
      <w:r w:rsidRPr="00721D9A">
        <w:rPr>
          <w:lang w:val="es-ES"/>
        </w:rPr>
        <w:t xml:space="preserve">en el funcionamiento plaquetario en un tercio de las mujeres tratadas. En este estudio el uso de aspirina no redujo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incidencia de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 xml:space="preserve"> de</w:t>
      </w:r>
      <w:r w:rsidRPr="00721D9A">
        <w:rPr>
          <w:spacing w:val="-1"/>
          <w:lang w:val="es-ES"/>
        </w:rPr>
        <w:t xml:space="preserve"> </w:t>
      </w:r>
      <w:r w:rsidRPr="00721D9A">
        <w:rPr>
          <w:lang w:val="es-ES"/>
        </w:rPr>
        <w:t>término.</w:t>
      </w:r>
    </w:p>
    <w:p w:rsidR="009724E1" w:rsidRPr="00721D9A" w:rsidRDefault="00721D9A">
      <w:pPr>
        <w:pStyle w:val="Ttulo1"/>
        <w:tabs>
          <w:tab w:val="left" w:pos="4807"/>
        </w:tabs>
        <w:spacing w:before="201" w:line="276" w:lineRule="auto"/>
        <w:ind w:right="1"/>
        <w:rPr>
          <w:lang w:val="es-ES"/>
        </w:rPr>
      </w:pPr>
      <w:r w:rsidRPr="00721D9A">
        <w:rPr>
          <w:lang w:val="es-ES"/>
        </w:rPr>
        <w:t>RECOMENDACIONES</w:t>
      </w:r>
      <w:r w:rsidRPr="00721D9A">
        <w:rPr>
          <w:lang w:val="es-ES"/>
        </w:rPr>
        <w:tab/>
        <w:t>DE ORGANIZACIONES SELECCIONADAS</w:t>
      </w:r>
    </w:p>
    <w:p w:rsidR="009724E1" w:rsidRPr="00721D9A" w:rsidRDefault="00721D9A">
      <w:pPr>
        <w:pStyle w:val="Textoindependiente"/>
        <w:spacing w:before="202" w:line="276" w:lineRule="auto"/>
        <w:ind w:left="820"/>
        <w:jc w:val="both"/>
        <w:rPr>
          <w:lang w:val="es-ES"/>
        </w:rPr>
      </w:pPr>
      <w:r w:rsidRPr="00721D9A">
        <w:rPr>
          <w:lang w:val="es-ES"/>
        </w:rPr>
        <w:t xml:space="preserve">El </w:t>
      </w:r>
      <w:proofErr w:type="spellStart"/>
      <w:r w:rsidRPr="00721D9A">
        <w:rPr>
          <w:lang w:val="es-ES"/>
        </w:rPr>
        <w:t>United</w:t>
      </w:r>
      <w:proofErr w:type="spellEnd"/>
      <w:r w:rsidRPr="00721D9A">
        <w:rPr>
          <w:lang w:val="es-ES"/>
        </w:rPr>
        <w:t xml:space="preserve"> </w:t>
      </w:r>
      <w:proofErr w:type="spellStart"/>
      <w:r w:rsidRPr="00721D9A">
        <w:rPr>
          <w:lang w:val="es-ES"/>
        </w:rPr>
        <w:t>States</w:t>
      </w:r>
      <w:proofErr w:type="spellEnd"/>
      <w:r w:rsidRPr="00721D9A">
        <w:rPr>
          <w:lang w:val="es-ES"/>
        </w:rPr>
        <w:t xml:space="preserve"> </w:t>
      </w:r>
      <w:proofErr w:type="spellStart"/>
      <w:r w:rsidRPr="00721D9A">
        <w:rPr>
          <w:lang w:val="es-ES"/>
        </w:rPr>
        <w:t>Preventive</w:t>
      </w:r>
      <w:proofErr w:type="spellEnd"/>
      <w:r w:rsidRPr="00721D9A">
        <w:rPr>
          <w:lang w:val="es-ES"/>
        </w:rPr>
        <w:t xml:space="preserve"> </w:t>
      </w:r>
      <w:proofErr w:type="spellStart"/>
      <w:r w:rsidRPr="00721D9A">
        <w:rPr>
          <w:lang w:val="es-ES"/>
        </w:rPr>
        <w:t>Services</w:t>
      </w:r>
      <w:proofErr w:type="spellEnd"/>
      <w:r w:rsidRPr="00721D9A">
        <w:rPr>
          <w:lang w:val="es-ES"/>
        </w:rPr>
        <w:t xml:space="preserve"> </w:t>
      </w:r>
      <w:proofErr w:type="spellStart"/>
      <w:r w:rsidRPr="00721D9A">
        <w:rPr>
          <w:lang w:val="es-ES"/>
        </w:rPr>
        <w:t>Task</w:t>
      </w:r>
      <w:proofErr w:type="spellEnd"/>
      <w:r w:rsidRPr="00721D9A">
        <w:rPr>
          <w:lang w:val="es-ES"/>
        </w:rPr>
        <w:t xml:space="preserve"> </w:t>
      </w:r>
      <w:proofErr w:type="spellStart"/>
      <w:r w:rsidRPr="00721D9A">
        <w:rPr>
          <w:lang w:val="es-ES"/>
        </w:rPr>
        <w:t>Force</w:t>
      </w:r>
      <w:proofErr w:type="spellEnd"/>
      <w:r w:rsidRPr="00721D9A">
        <w:rPr>
          <w:lang w:val="es-ES"/>
        </w:rPr>
        <w:t xml:space="preserve"> (USPSTF) recomienda el uso de aspirina en dosis bajas de  81 mg por día en mujeres con alto riesgo de desarrollar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 xml:space="preserve">, para así reducir el riesgo de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 xml:space="preserve">, parto </w:t>
      </w:r>
      <w:proofErr w:type="spellStart"/>
      <w:r w:rsidRPr="00721D9A">
        <w:rPr>
          <w:lang w:val="es-ES"/>
        </w:rPr>
        <w:t>pretermino</w:t>
      </w:r>
      <w:proofErr w:type="spellEnd"/>
      <w:r w:rsidRPr="00721D9A">
        <w:rPr>
          <w:lang w:val="es-ES"/>
        </w:rPr>
        <w:t xml:space="preserve"> y RCIU. La organiza</w:t>
      </w:r>
      <w:r w:rsidRPr="00721D9A">
        <w:rPr>
          <w:lang w:val="es-ES"/>
        </w:rPr>
        <w:t xml:space="preserve">ción reconoce que ninguno de los métodos diagnósticos es superior para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detección de mujeres con alto riesgo de presentar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 xml:space="preserve">, sin embargo ofrecen los criterios previamente descritos para detectar a aquellas mujeres en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>población con un riesgo</w:t>
      </w:r>
      <w:r w:rsidRPr="00721D9A">
        <w:rPr>
          <w:lang w:val="es-ES"/>
        </w:rPr>
        <w:t xml:space="preserve"> absoluto de</w:t>
      </w:r>
      <w:r w:rsidRPr="00721D9A">
        <w:rPr>
          <w:spacing w:val="53"/>
          <w:lang w:val="es-ES"/>
        </w:rPr>
        <w:t xml:space="preserve"> </w:t>
      </w:r>
      <w:r w:rsidRPr="00721D9A">
        <w:rPr>
          <w:lang w:val="es-ES"/>
        </w:rPr>
        <w:t>al</w:t>
      </w:r>
    </w:p>
    <w:p w:rsidR="009724E1" w:rsidRPr="00721D9A" w:rsidRDefault="00721D9A">
      <w:pPr>
        <w:pStyle w:val="Textoindependiente"/>
        <w:spacing w:before="8"/>
        <w:rPr>
          <w:lang w:val="es-ES"/>
        </w:rPr>
      </w:pPr>
      <w:r w:rsidRPr="00721D9A">
        <w:rPr>
          <w:lang w:val="es-ES"/>
        </w:rPr>
        <w:br w:type="column"/>
      </w:r>
    </w:p>
    <w:p w:rsidR="009724E1" w:rsidRPr="00721D9A" w:rsidRDefault="00721D9A">
      <w:pPr>
        <w:pStyle w:val="Textoindependiente"/>
        <w:spacing w:line="276" w:lineRule="auto"/>
        <w:ind w:left="678" w:right="815"/>
        <w:jc w:val="both"/>
        <w:rPr>
          <w:lang w:val="es-ES"/>
        </w:rPr>
      </w:pPr>
      <w:proofErr w:type="gramStart"/>
      <w:r w:rsidRPr="00721D9A">
        <w:rPr>
          <w:lang w:val="es-ES"/>
        </w:rPr>
        <w:t>menos</w:t>
      </w:r>
      <w:proofErr w:type="gramEnd"/>
      <w:r w:rsidRPr="00721D9A">
        <w:rPr>
          <w:lang w:val="es-ES"/>
        </w:rPr>
        <w:t xml:space="preserve"> 8%. Para mujeres con factores de riesgo moderados, determinan que no existe suficiente evidencia para establecer una recomendación, por </w:t>
      </w:r>
      <w:r w:rsidRPr="00721D9A">
        <w:rPr>
          <w:spacing w:val="-3"/>
          <w:lang w:val="es-ES"/>
        </w:rPr>
        <w:t xml:space="preserve">lo </w:t>
      </w:r>
      <w:r w:rsidRPr="00721D9A">
        <w:rPr>
          <w:lang w:val="es-ES"/>
        </w:rPr>
        <w:t xml:space="preserve">que se debe utilizar </w:t>
      </w:r>
      <w:r w:rsidRPr="00721D9A">
        <w:rPr>
          <w:spacing w:val="1"/>
          <w:lang w:val="es-ES"/>
        </w:rPr>
        <w:t xml:space="preserve">el </w:t>
      </w:r>
      <w:r w:rsidRPr="00721D9A">
        <w:rPr>
          <w:lang w:val="es-ES"/>
        </w:rPr>
        <w:t xml:space="preserve">juicio clínico en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toma de decisiones. Recomiendan que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aspirina </w:t>
      </w:r>
      <w:r w:rsidRPr="00721D9A">
        <w:rPr>
          <w:lang w:val="es-ES"/>
        </w:rPr>
        <w:t xml:space="preserve">se </w:t>
      </w:r>
      <w:proofErr w:type="gramStart"/>
      <w:r w:rsidRPr="00721D9A">
        <w:rPr>
          <w:lang w:val="es-ES"/>
        </w:rPr>
        <w:t>debe</w:t>
      </w:r>
      <w:proofErr w:type="gramEnd"/>
      <w:r w:rsidRPr="00721D9A">
        <w:rPr>
          <w:lang w:val="es-ES"/>
        </w:rPr>
        <w:t xml:space="preserve"> de utilizar entre las semanas 12 y 28 de</w:t>
      </w:r>
      <w:r w:rsidRPr="00721D9A">
        <w:rPr>
          <w:spacing w:val="-1"/>
          <w:lang w:val="es-ES"/>
        </w:rPr>
        <w:t xml:space="preserve"> </w:t>
      </w:r>
      <w:r w:rsidRPr="00721D9A">
        <w:rPr>
          <w:lang w:val="es-ES"/>
        </w:rPr>
        <w:t>gestación.</w:t>
      </w:r>
    </w:p>
    <w:p w:rsidR="009724E1" w:rsidRPr="00721D9A" w:rsidRDefault="00721D9A">
      <w:pPr>
        <w:pStyle w:val="Textoindependiente"/>
        <w:spacing w:before="201" w:line="276" w:lineRule="auto"/>
        <w:ind w:left="678" w:right="817"/>
        <w:jc w:val="both"/>
        <w:rPr>
          <w:lang w:val="es-ES"/>
        </w:rPr>
      </w:pPr>
      <w:r w:rsidRPr="00721D9A">
        <w:rPr>
          <w:lang w:val="es-ES"/>
        </w:rPr>
        <w:t xml:space="preserve">El American </w:t>
      </w:r>
      <w:proofErr w:type="spellStart"/>
      <w:r w:rsidRPr="00721D9A">
        <w:rPr>
          <w:lang w:val="es-ES"/>
        </w:rPr>
        <w:t>College</w:t>
      </w:r>
      <w:proofErr w:type="spellEnd"/>
      <w:r w:rsidRPr="00721D9A">
        <w:rPr>
          <w:lang w:val="es-ES"/>
        </w:rPr>
        <w:t xml:space="preserve"> of </w:t>
      </w:r>
      <w:proofErr w:type="spellStart"/>
      <w:r w:rsidRPr="00721D9A">
        <w:rPr>
          <w:lang w:val="es-ES"/>
        </w:rPr>
        <w:t>Obstetricians</w:t>
      </w:r>
      <w:proofErr w:type="spellEnd"/>
      <w:r w:rsidRPr="00721D9A">
        <w:rPr>
          <w:lang w:val="es-ES"/>
        </w:rPr>
        <w:t xml:space="preserve"> and </w:t>
      </w:r>
      <w:proofErr w:type="spellStart"/>
      <w:r w:rsidRPr="00721D9A">
        <w:rPr>
          <w:lang w:val="es-ES"/>
        </w:rPr>
        <w:t>Gynecologists</w:t>
      </w:r>
      <w:proofErr w:type="spellEnd"/>
      <w:r w:rsidRPr="00721D9A">
        <w:rPr>
          <w:lang w:val="es-ES"/>
        </w:rPr>
        <w:t xml:space="preserve"> (ACOG) adoptó las recomendaciones ofrecidas por el USPSTF en Junio 2016, utilizando la misma dosis de aspirina (81mg/día) y los mismos criter</w:t>
      </w:r>
      <w:r w:rsidRPr="00721D9A">
        <w:rPr>
          <w:lang w:val="es-ES"/>
        </w:rPr>
        <w:t>ios para determinar que mujeres deberían recibir el tratamiento.</w:t>
      </w:r>
    </w:p>
    <w:p w:rsidR="009724E1" w:rsidRPr="00721D9A" w:rsidRDefault="00721D9A">
      <w:pPr>
        <w:pStyle w:val="Textoindependiente"/>
        <w:spacing w:before="202" w:line="276" w:lineRule="auto"/>
        <w:ind w:left="678" w:right="814"/>
        <w:jc w:val="both"/>
        <w:rPr>
          <w:lang w:val="es-ES"/>
        </w:rPr>
      </w:pPr>
      <w:r w:rsidRPr="00721D9A">
        <w:rPr>
          <w:lang w:val="es-ES"/>
        </w:rPr>
        <w:t xml:space="preserve">El American </w:t>
      </w:r>
      <w:proofErr w:type="spellStart"/>
      <w:r w:rsidRPr="00721D9A">
        <w:rPr>
          <w:lang w:val="es-ES"/>
        </w:rPr>
        <w:t>Heart</w:t>
      </w:r>
      <w:proofErr w:type="spellEnd"/>
      <w:r w:rsidRPr="00721D9A">
        <w:rPr>
          <w:lang w:val="es-ES"/>
        </w:rPr>
        <w:t xml:space="preserve"> </w:t>
      </w:r>
      <w:proofErr w:type="spellStart"/>
      <w:r w:rsidRPr="00721D9A">
        <w:rPr>
          <w:lang w:val="es-ES"/>
        </w:rPr>
        <w:t>Association</w:t>
      </w:r>
      <w:proofErr w:type="spellEnd"/>
      <w:r w:rsidRPr="00721D9A">
        <w:rPr>
          <w:lang w:val="es-ES"/>
        </w:rPr>
        <w:t xml:space="preserve"> y American </w:t>
      </w:r>
      <w:proofErr w:type="spellStart"/>
      <w:r w:rsidRPr="00721D9A">
        <w:rPr>
          <w:lang w:val="es-ES"/>
        </w:rPr>
        <w:t>Stroke</w:t>
      </w:r>
      <w:proofErr w:type="spellEnd"/>
      <w:r w:rsidRPr="00721D9A">
        <w:rPr>
          <w:lang w:val="es-ES"/>
        </w:rPr>
        <w:t xml:space="preserve"> </w:t>
      </w:r>
      <w:proofErr w:type="spellStart"/>
      <w:r w:rsidRPr="00721D9A">
        <w:rPr>
          <w:lang w:val="es-ES"/>
        </w:rPr>
        <w:t>Association</w:t>
      </w:r>
      <w:proofErr w:type="spellEnd"/>
      <w:r w:rsidRPr="00721D9A">
        <w:rPr>
          <w:lang w:val="es-ES"/>
        </w:rPr>
        <w:t xml:space="preserve"> recomiendan el uso de aspirina a dosis bajas en mujeres con hipertensión crónica primaria, secundaria o hipertensión asociada al em</w:t>
      </w:r>
      <w:r w:rsidRPr="00721D9A">
        <w:rPr>
          <w:lang w:val="es-ES"/>
        </w:rPr>
        <w:t>barazo previamente, esto con el fin de prevenir accidentes cerebrovasculares asociados al embarazo.</w:t>
      </w:r>
    </w:p>
    <w:p w:rsidR="009724E1" w:rsidRPr="00721D9A" w:rsidRDefault="00721D9A">
      <w:pPr>
        <w:pStyle w:val="Textoindependiente"/>
        <w:spacing w:before="202" w:line="276" w:lineRule="auto"/>
        <w:ind w:left="678" w:right="813"/>
        <w:jc w:val="both"/>
        <w:rPr>
          <w:lang w:val="es-ES"/>
        </w:rPr>
      </w:pPr>
      <w:r w:rsidRPr="00721D9A">
        <w:rPr>
          <w:lang w:val="es-ES"/>
        </w:rPr>
        <w:t xml:space="preserve">Las guías del American </w:t>
      </w:r>
      <w:proofErr w:type="spellStart"/>
      <w:r w:rsidRPr="00721D9A">
        <w:rPr>
          <w:lang w:val="es-ES"/>
        </w:rPr>
        <w:t>College</w:t>
      </w:r>
      <w:proofErr w:type="spellEnd"/>
      <w:r w:rsidRPr="00721D9A">
        <w:rPr>
          <w:lang w:val="es-ES"/>
        </w:rPr>
        <w:t xml:space="preserve"> of </w:t>
      </w:r>
      <w:proofErr w:type="spellStart"/>
      <w:r w:rsidRPr="00721D9A">
        <w:rPr>
          <w:lang w:val="es-ES"/>
        </w:rPr>
        <w:t>Chest</w:t>
      </w:r>
      <w:proofErr w:type="spellEnd"/>
      <w:r w:rsidRPr="00721D9A">
        <w:rPr>
          <w:lang w:val="es-ES"/>
        </w:rPr>
        <w:t xml:space="preserve"> </w:t>
      </w:r>
      <w:proofErr w:type="spellStart"/>
      <w:r w:rsidRPr="00721D9A">
        <w:rPr>
          <w:lang w:val="es-ES"/>
        </w:rPr>
        <w:t>Physisicans</w:t>
      </w:r>
      <w:proofErr w:type="spellEnd"/>
      <w:r w:rsidRPr="00721D9A">
        <w:rPr>
          <w:lang w:val="es-ES"/>
        </w:rPr>
        <w:t xml:space="preserve"> recomiendan dosis bajas de aspirina en mujeres consideradas de alto riesgo para desarrollar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 xml:space="preserve">. A diferencia de </w:t>
      </w:r>
      <w:r w:rsidRPr="00721D9A">
        <w:rPr>
          <w:spacing w:val="-3"/>
          <w:lang w:val="es-ES"/>
        </w:rPr>
        <w:t xml:space="preserve">la </w:t>
      </w:r>
      <w:r w:rsidRPr="00721D9A">
        <w:rPr>
          <w:lang w:val="es-ES"/>
        </w:rPr>
        <w:t xml:space="preserve">mayor parte de recomendaciones que se basan en mujeres de alto riesgo, estas guías indican que el efecto beneficioso </w:t>
      </w:r>
      <w:proofErr w:type="spellStart"/>
      <w:r w:rsidRPr="00721D9A">
        <w:rPr>
          <w:lang w:val="es-ES"/>
        </w:rPr>
        <w:t>antiplaquetario</w:t>
      </w:r>
      <w:proofErr w:type="spellEnd"/>
      <w:r w:rsidRPr="00721D9A">
        <w:rPr>
          <w:lang w:val="es-ES"/>
        </w:rPr>
        <w:t xml:space="preserve"> parece ser similar tanto en los casos de alto como de bajo riesgo para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>, sin embargo recon</w:t>
      </w:r>
      <w:r w:rsidRPr="00721D9A">
        <w:rPr>
          <w:lang w:val="es-ES"/>
        </w:rPr>
        <w:t>ocen que las mujeres que presentan un riesgo bajo tienen un beneficio absoluto sustancialmente</w:t>
      </w:r>
      <w:r w:rsidRPr="00721D9A">
        <w:rPr>
          <w:spacing w:val="-15"/>
          <w:lang w:val="es-ES"/>
        </w:rPr>
        <w:t xml:space="preserve"> </w:t>
      </w:r>
      <w:r w:rsidRPr="00721D9A">
        <w:rPr>
          <w:lang w:val="es-ES"/>
        </w:rPr>
        <w:t>menor.</w:t>
      </w:r>
    </w:p>
    <w:p w:rsidR="009724E1" w:rsidRPr="00721D9A" w:rsidRDefault="00721D9A">
      <w:pPr>
        <w:pStyle w:val="Textoindependiente"/>
        <w:spacing w:before="198" w:line="276" w:lineRule="auto"/>
        <w:ind w:left="678" w:right="817"/>
        <w:jc w:val="both"/>
        <w:rPr>
          <w:lang w:val="es-ES"/>
        </w:rPr>
      </w:pPr>
      <w:r w:rsidRPr="00721D9A">
        <w:rPr>
          <w:lang w:val="es-ES"/>
        </w:rPr>
        <w:t>La Organización Mundial de la Salud recomienda el uso de aspirina en dosis bajas (75mg al día) en mujeres de alto riesgo según sus propios criterios (hist</w:t>
      </w:r>
      <w:r w:rsidRPr="00721D9A">
        <w:rPr>
          <w:lang w:val="es-ES"/>
        </w:rPr>
        <w:t xml:space="preserve">oria de </w:t>
      </w:r>
      <w:proofErr w:type="spellStart"/>
      <w:r w:rsidRPr="00721D9A">
        <w:rPr>
          <w:lang w:val="es-ES"/>
        </w:rPr>
        <w:t>preeclampsia</w:t>
      </w:r>
      <w:proofErr w:type="spellEnd"/>
      <w:r w:rsidRPr="00721D9A">
        <w:rPr>
          <w:lang w:val="es-ES"/>
        </w:rPr>
        <w:t>, diabetes, hipertensión</w:t>
      </w:r>
    </w:p>
    <w:p w:rsidR="009724E1" w:rsidRPr="00721D9A" w:rsidRDefault="009724E1">
      <w:pPr>
        <w:spacing w:line="276" w:lineRule="auto"/>
        <w:jc w:val="both"/>
        <w:rPr>
          <w:lang w:val="es-ES"/>
        </w:rPr>
        <w:sectPr w:rsidR="009724E1" w:rsidRPr="00721D9A">
          <w:type w:val="continuous"/>
          <w:pgSz w:w="12240" w:h="15840"/>
          <w:pgMar w:top="1360" w:right="620" w:bottom="1060" w:left="620" w:header="720" w:footer="720" w:gutter="0"/>
          <w:cols w:num="2" w:space="720" w:equalWidth="0">
            <w:col w:w="5144" w:space="40"/>
            <w:col w:w="5816"/>
          </w:cols>
        </w:sectPr>
      </w:pPr>
    </w:p>
    <w:p w:rsidR="009724E1" w:rsidRPr="00721D9A" w:rsidRDefault="009724E1">
      <w:pPr>
        <w:pStyle w:val="Textoindependiente"/>
        <w:rPr>
          <w:sz w:val="20"/>
          <w:lang w:val="es-ES"/>
        </w:rPr>
      </w:pPr>
    </w:p>
    <w:p w:rsidR="009724E1" w:rsidRPr="00721D9A" w:rsidRDefault="009724E1">
      <w:pPr>
        <w:pStyle w:val="Textoindependiente"/>
        <w:spacing w:before="8"/>
        <w:rPr>
          <w:lang w:val="es-ES"/>
        </w:rPr>
      </w:pPr>
    </w:p>
    <w:p w:rsidR="009724E1" w:rsidRPr="00721D9A" w:rsidRDefault="00721D9A">
      <w:pPr>
        <w:pStyle w:val="Textoindependiente"/>
        <w:spacing w:line="259" w:lineRule="auto"/>
        <w:ind w:left="820" w:right="5345"/>
        <w:rPr>
          <w:lang w:val="es-ES"/>
        </w:rPr>
      </w:pPr>
      <w:proofErr w:type="gramStart"/>
      <w:r w:rsidRPr="00721D9A">
        <w:rPr>
          <w:lang w:val="es-ES"/>
        </w:rPr>
        <w:t>crónica</w:t>
      </w:r>
      <w:proofErr w:type="gramEnd"/>
      <w:r w:rsidRPr="00721D9A">
        <w:rPr>
          <w:lang w:val="es-ES"/>
        </w:rPr>
        <w:t>, renal o autoinmune, o gestación múltiple).</w:t>
      </w:r>
    </w:p>
    <w:p w:rsidR="009724E1" w:rsidRPr="00721D9A" w:rsidRDefault="009724E1">
      <w:pPr>
        <w:pStyle w:val="Textoindependiente"/>
        <w:rPr>
          <w:sz w:val="24"/>
          <w:lang w:val="es-ES"/>
        </w:rPr>
      </w:pPr>
    </w:p>
    <w:p w:rsidR="009724E1" w:rsidRDefault="00721D9A">
      <w:pPr>
        <w:pStyle w:val="Ttulo1"/>
        <w:spacing w:before="172"/>
      </w:pPr>
      <w:r>
        <w:t>BIBLIOGRAFIA</w:t>
      </w:r>
    </w:p>
    <w:p w:rsidR="009724E1" w:rsidRDefault="009724E1">
      <w:pPr>
        <w:pStyle w:val="Textoindependiente"/>
        <w:spacing w:before="10"/>
        <w:rPr>
          <w:b/>
          <w:sz w:val="28"/>
        </w:rPr>
      </w:pPr>
    </w:p>
    <w:p w:rsidR="009724E1" w:rsidRDefault="00721D9A">
      <w:pPr>
        <w:pStyle w:val="Prrafodelista"/>
        <w:numPr>
          <w:ilvl w:val="0"/>
          <w:numId w:val="1"/>
        </w:numPr>
        <w:tabs>
          <w:tab w:val="left" w:pos="1181"/>
        </w:tabs>
        <w:spacing w:line="276" w:lineRule="auto"/>
        <w:ind w:right="819"/>
        <w:rPr>
          <w:sz w:val="20"/>
        </w:rPr>
      </w:pPr>
      <w:proofErr w:type="spellStart"/>
      <w:r>
        <w:rPr>
          <w:sz w:val="20"/>
        </w:rPr>
        <w:t>LeFevre</w:t>
      </w:r>
      <w:proofErr w:type="gramStart"/>
      <w:r>
        <w:rPr>
          <w:sz w:val="20"/>
        </w:rPr>
        <w:t>,M</w:t>
      </w:r>
      <w:proofErr w:type="spellEnd"/>
      <w:proofErr w:type="gramEnd"/>
      <w:r>
        <w:rPr>
          <w:sz w:val="20"/>
        </w:rPr>
        <w:t>. . (</w:t>
      </w:r>
      <w:proofErr w:type="spellStart"/>
      <w:r>
        <w:rPr>
          <w:sz w:val="20"/>
        </w:rPr>
        <w:t>Diciembre</w:t>
      </w:r>
      <w:proofErr w:type="spellEnd"/>
      <w:r>
        <w:rPr>
          <w:sz w:val="20"/>
        </w:rPr>
        <w:t xml:space="preserve"> 2014). Low-Dose Aspirin Use for the Prevention of Morbidity and Mortality </w:t>
      </w:r>
      <w:proofErr w:type="gramStart"/>
      <w:r>
        <w:rPr>
          <w:sz w:val="20"/>
        </w:rPr>
        <w:t>From</w:t>
      </w:r>
      <w:proofErr w:type="gramEnd"/>
      <w:r>
        <w:rPr>
          <w:sz w:val="20"/>
        </w:rPr>
        <w:t xml:space="preserve"> Preeclampsia: U.S. Preventive Services Task Force Recommendation Statement. Annals of Internal Medicine, 161, pp. 819-827.</w:t>
      </w:r>
    </w:p>
    <w:p w:rsidR="009724E1" w:rsidRPr="00721D9A" w:rsidRDefault="00721D9A">
      <w:pPr>
        <w:pStyle w:val="Prrafodelista"/>
        <w:numPr>
          <w:ilvl w:val="0"/>
          <w:numId w:val="1"/>
        </w:numPr>
        <w:tabs>
          <w:tab w:val="left" w:pos="1181"/>
        </w:tabs>
        <w:spacing w:line="276" w:lineRule="auto"/>
        <w:ind w:right="812"/>
        <w:rPr>
          <w:sz w:val="20"/>
          <w:lang w:val="es-ES"/>
        </w:rPr>
      </w:pPr>
      <w:r>
        <w:rPr>
          <w:sz w:val="20"/>
        </w:rPr>
        <w:t xml:space="preserve">August, </w:t>
      </w:r>
      <w:proofErr w:type="gramStart"/>
      <w:r>
        <w:rPr>
          <w:sz w:val="20"/>
        </w:rPr>
        <w:t>P..</w:t>
      </w:r>
      <w:proofErr w:type="gramEnd"/>
      <w:r>
        <w:rPr>
          <w:sz w:val="20"/>
        </w:rPr>
        <w:t xml:space="preserve"> (June 2017). Preec</w:t>
      </w:r>
      <w:r>
        <w:rPr>
          <w:sz w:val="20"/>
        </w:rPr>
        <w:t xml:space="preserve">lampsia: Prevention. </w:t>
      </w:r>
      <w:proofErr w:type="spellStart"/>
      <w:r w:rsidRPr="00721D9A">
        <w:rPr>
          <w:sz w:val="20"/>
          <w:lang w:val="es-ES"/>
        </w:rPr>
        <w:t>UpToDate</w:t>
      </w:r>
      <w:proofErr w:type="spellEnd"/>
      <w:r w:rsidRPr="00721D9A">
        <w:rPr>
          <w:sz w:val="20"/>
          <w:lang w:val="es-ES"/>
        </w:rPr>
        <w:t xml:space="preserve">, </w:t>
      </w:r>
      <w:proofErr w:type="spellStart"/>
      <w:r w:rsidRPr="00721D9A">
        <w:rPr>
          <w:sz w:val="20"/>
          <w:lang w:val="es-ES"/>
        </w:rPr>
        <w:t>vol</w:t>
      </w:r>
      <w:proofErr w:type="spellEnd"/>
      <w:r w:rsidRPr="00721D9A">
        <w:rPr>
          <w:sz w:val="20"/>
          <w:lang w:val="es-ES"/>
        </w:rPr>
        <w:t xml:space="preserve">, pp.1-23. </w:t>
      </w:r>
      <w:proofErr w:type="spellStart"/>
      <w:r w:rsidRPr="00721D9A">
        <w:rPr>
          <w:sz w:val="20"/>
          <w:lang w:val="es-ES"/>
        </w:rPr>
        <w:t>July</w:t>
      </w:r>
      <w:proofErr w:type="spellEnd"/>
      <w:r w:rsidRPr="00721D9A">
        <w:rPr>
          <w:sz w:val="20"/>
          <w:lang w:val="es-ES"/>
        </w:rPr>
        <w:t xml:space="preserve"> 2017, De </w:t>
      </w:r>
      <w:proofErr w:type="spellStart"/>
      <w:r w:rsidRPr="00721D9A">
        <w:rPr>
          <w:sz w:val="20"/>
          <w:lang w:val="es-ES"/>
        </w:rPr>
        <w:t>UpToDate</w:t>
      </w:r>
      <w:proofErr w:type="spellEnd"/>
      <w:r w:rsidRPr="00721D9A">
        <w:rPr>
          <w:sz w:val="20"/>
          <w:lang w:val="es-ES"/>
        </w:rPr>
        <w:t xml:space="preserve"> Base de datos.</w:t>
      </w:r>
    </w:p>
    <w:p w:rsidR="009724E1" w:rsidRDefault="00721D9A">
      <w:pPr>
        <w:pStyle w:val="Prrafodelista"/>
        <w:numPr>
          <w:ilvl w:val="0"/>
          <w:numId w:val="1"/>
        </w:numPr>
        <w:tabs>
          <w:tab w:val="left" w:pos="1181"/>
        </w:tabs>
        <w:spacing w:line="271" w:lineRule="auto"/>
        <w:ind w:right="821"/>
        <w:rPr>
          <w:sz w:val="20"/>
        </w:rPr>
      </w:pPr>
      <w:r>
        <w:rPr>
          <w:sz w:val="20"/>
        </w:rPr>
        <w:t xml:space="preserve">Hypertension in pregnancy: report of the American College of Obstetricians and Gynecologists’ Task Force on Hyper- tension in Pregnancy. </w:t>
      </w:r>
      <w:proofErr w:type="spellStart"/>
      <w:r>
        <w:rPr>
          <w:sz w:val="20"/>
        </w:rPr>
        <w:t>Obstet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Gynecol</w:t>
      </w:r>
      <w:proofErr w:type="spellEnd"/>
      <w:r>
        <w:rPr>
          <w:sz w:val="20"/>
        </w:rPr>
        <w:t xml:space="preserve"> 2013;</w:t>
      </w:r>
      <w:r>
        <w:rPr>
          <w:spacing w:val="-3"/>
          <w:sz w:val="20"/>
        </w:rPr>
        <w:t xml:space="preserve"> </w:t>
      </w:r>
      <w:r>
        <w:rPr>
          <w:sz w:val="20"/>
        </w:rPr>
        <w:t>122:1122-31.</w:t>
      </w:r>
    </w:p>
    <w:p w:rsidR="009724E1" w:rsidRDefault="00721D9A">
      <w:pPr>
        <w:pStyle w:val="Prrafodelista"/>
        <w:numPr>
          <w:ilvl w:val="0"/>
          <w:numId w:val="1"/>
        </w:numPr>
        <w:tabs>
          <w:tab w:val="left" w:pos="1181"/>
        </w:tabs>
        <w:spacing w:before="3" w:line="276" w:lineRule="auto"/>
        <w:ind w:right="824"/>
        <w:rPr>
          <w:sz w:val="20"/>
        </w:rPr>
      </w:pPr>
      <w:proofErr w:type="spellStart"/>
      <w:r>
        <w:rPr>
          <w:sz w:val="20"/>
        </w:rPr>
        <w:t>Ro</w:t>
      </w:r>
      <w:r>
        <w:rPr>
          <w:sz w:val="20"/>
        </w:rPr>
        <w:t>lnik</w:t>
      </w:r>
      <w:proofErr w:type="gramStart"/>
      <w:r>
        <w:rPr>
          <w:sz w:val="20"/>
        </w:rPr>
        <w:t>,Wright,Liona,O’Gorman</w:t>
      </w:r>
      <w:proofErr w:type="spellEnd"/>
      <w:proofErr w:type="gramEnd"/>
      <w:r>
        <w:rPr>
          <w:sz w:val="20"/>
        </w:rPr>
        <w:t xml:space="preserve"> &amp; </w:t>
      </w:r>
      <w:proofErr w:type="spellStart"/>
      <w:r>
        <w:rPr>
          <w:sz w:val="20"/>
        </w:rPr>
        <w:t>Syngelaki</w:t>
      </w:r>
      <w:proofErr w:type="spellEnd"/>
      <w:r>
        <w:rPr>
          <w:sz w:val="20"/>
        </w:rPr>
        <w:t xml:space="preserve">, A.. (June 28, 2017). Aspirin versus Placebo in Pregnancies at High Risk for Preterm Preeclampsia. The new </w:t>
      </w:r>
      <w:proofErr w:type="spellStart"/>
      <w:r>
        <w:rPr>
          <w:sz w:val="20"/>
        </w:rPr>
        <w:t>england</w:t>
      </w:r>
      <w:proofErr w:type="spellEnd"/>
      <w:r>
        <w:rPr>
          <w:sz w:val="20"/>
        </w:rPr>
        <w:t xml:space="preserve"> journal of medicine, DOI</w:t>
      </w:r>
      <w:proofErr w:type="gramStart"/>
      <w:r>
        <w:rPr>
          <w:sz w:val="20"/>
        </w:rPr>
        <w:t>:10.1056</w:t>
      </w:r>
      <w:proofErr w:type="gramEnd"/>
      <w:r>
        <w:rPr>
          <w:sz w:val="20"/>
        </w:rPr>
        <w:t>/NEJMoa1704559,</w:t>
      </w:r>
      <w:r>
        <w:rPr>
          <w:spacing w:val="-5"/>
          <w:sz w:val="20"/>
        </w:rPr>
        <w:t xml:space="preserve"> </w:t>
      </w:r>
      <w:r>
        <w:rPr>
          <w:sz w:val="20"/>
        </w:rPr>
        <w:t>pp1-10.</w:t>
      </w:r>
    </w:p>
    <w:p w:rsidR="009724E1" w:rsidRDefault="00721D9A">
      <w:pPr>
        <w:pStyle w:val="Prrafodelista"/>
        <w:numPr>
          <w:ilvl w:val="0"/>
          <w:numId w:val="1"/>
        </w:numPr>
        <w:tabs>
          <w:tab w:val="left" w:pos="1180"/>
          <w:tab w:val="left" w:pos="1181"/>
        </w:tabs>
        <w:spacing w:line="276" w:lineRule="auto"/>
        <w:ind w:right="813"/>
        <w:jc w:val="left"/>
        <w:rPr>
          <w:sz w:val="20"/>
        </w:rPr>
      </w:pPr>
      <w:r>
        <w:rPr>
          <w:sz w:val="20"/>
        </w:rPr>
        <w:t>American College of Obstetricians and Gynecolo</w:t>
      </w:r>
      <w:r>
        <w:rPr>
          <w:sz w:val="20"/>
        </w:rPr>
        <w:t xml:space="preserve">gists. Practice advisory on low-dose aspirin and prevention of preeclampsia: Updated recommendations. </w:t>
      </w:r>
      <w:hyperlink r:id="rId17">
        <w:r>
          <w:rPr>
            <w:sz w:val="20"/>
          </w:rPr>
          <w:t>http://www.acog.org/AboutACOG/News-</w:t>
        </w:r>
      </w:hyperlink>
      <w:r>
        <w:rPr>
          <w:sz w:val="20"/>
        </w:rPr>
        <w:t xml:space="preserve"> Room/Practice-Advisories/Practice-Advisory-Low-Dose-Aspirin-and</w:t>
      </w:r>
      <w:r>
        <w:rPr>
          <w:sz w:val="20"/>
        </w:rPr>
        <w:t>-Preventionof-Preeclampsia- Updated- Recommendations (Accessed on July 3,</w:t>
      </w:r>
      <w:r>
        <w:rPr>
          <w:spacing w:val="-7"/>
          <w:sz w:val="20"/>
        </w:rPr>
        <w:t xml:space="preserve"> </w:t>
      </w:r>
      <w:r>
        <w:rPr>
          <w:sz w:val="20"/>
        </w:rPr>
        <w:t>2017).</w:t>
      </w:r>
    </w:p>
    <w:p w:rsidR="009724E1" w:rsidRDefault="009724E1">
      <w:pPr>
        <w:pStyle w:val="Textoindependiente"/>
        <w:rPr>
          <w:sz w:val="20"/>
        </w:rPr>
      </w:pPr>
    </w:p>
    <w:p w:rsidR="009724E1" w:rsidRPr="00721D9A" w:rsidRDefault="00721D9A">
      <w:pPr>
        <w:tabs>
          <w:tab w:val="left" w:pos="7062"/>
        </w:tabs>
        <w:ind w:left="876"/>
        <w:rPr>
          <w:sz w:val="20"/>
          <w:lang w:val="es-ES"/>
        </w:rPr>
      </w:pPr>
      <w:r w:rsidRPr="00721D9A">
        <w:rPr>
          <w:sz w:val="20"/>
          <w:lang w:val="es-ES"/>
        </w:rPr>
        <w:t>Recepción: 30 Agosto</w:t>
      </w:r>
      <w:r w:rsidRPr="00721D9A">
        <w:rPr>
          <w:spacing w:val="-1"/>
          <w:sz w:val="20"/>
          <w:lang w:val="es-ES"/>
        </w:rPr>
        <w:t xml:space="preserve"> </w:t>
      </w:r>
      <w:r w:rsidRPr="00721D9A">
        <w:rPr>
          <w:sz w:val="20"/>
          <w:lang w:val="es-ES"/>
        </w:rPr>
        <w:t>de</w:t>
      </w:r>
      <w:r w:rsidRPr="00721D9A">
        <w:rPr>
          <w:spacing w:val="-4"/>
          <w:sz w:val="20"/>
          <w:lang w:val="es-ES"/>
        </w:rPr>
        <w:t xml:space="preserve"> </w:t>
      </w:r>
      <w:r w:rsidRPr="00721D9A">
        <w:rPr>
          <w:sz w:val="20"/>
          <w:lang w:val="es-ES"/>
        </w:rPr>
        <w:t>2016</w:t>
      </w:r>
      <w:r w:rsidRPr="00721D9A">
        <w:rPr>
          <w:sz w:val="20"/>
          <w:lang w:val="es-ES"/>
        </w:rPr>
        <w:tab/>
        <w:t>Aprobación</w:t>
      </w:r>
      <w:proofErr w:type="gramStart"/>
      <w:r w:rsidRPr="00721D9A">
        <w:rPr>
          <w:sz w:val="20"/>
          <w:lang w:val="es-ES"/>
        </w:rPr>
        <w:t>:15</w:t>
      </w:r>
      <w:proofErr w:type="gramEnd"/>
      <w:r w:rsidRPr="00721D9A">
        <w:rPr>
          <w:sz w:val="20"/>
          <w:lang w:val="es-ES"/>
        </w:rPr>
        <w:t xml:space="preserve"> Agosto de</w:t>
      </w:r>
      <w:r w:rsidRPr="00721D9A">
        <w:rPr>
          <w:sz w:val="20"/>
          <w:lang w:val="es-ES"/>
        </w:rPr>
        <w:t xml:space="preserve"> </w:t>
      </w:r>
      <w:r w:rsidRPr="00721D9A">
        <w:rPr>
          <w:sz w:val="20"/>
          <w:lang w:val="es-ES"/>
        </w:rPr>
        <w:t>2016</w:t>
      </w:r>
    </w:p>
    <w:sectPr w:rsidR="009724E1" w:rsidRPr="00721D9A">
      <w:pgSz w:w="12240" w:h="15840"/>
      <w:pgMar w:top="940" w:right="620" w:bottom="1060" w:left="620" w:header="723" w:footer="8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1D9A">
      <w:r>
        <w:separator/>
      </w:r>
    </w:p>
  </w:endnote>
  <w:endnote w:type="continuationSeparator" w:id="0">
    <w:p w:rsidR="00000000" w:rsidRDefault="0072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E1" w:rsidRDefault="00721D9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8623" behindDoc="1" locked="0" layoutInCell="1" allowOverlap="1">
          <wp:simplePos x="0" y="0"/>
          <wp:positionH relativeFrom="page">
            <wp:posOffset>916939</wp:posOffset>
          </wp:positionH>
          <wp:positionV relativeFrom="page">
            <wp:posOffset>9441180</wp:posOffset>
          </wp:positionV>
          <wp:extent cx="5910580" cy="203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0580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8647" behindDoc="1" locked="0" layoutInCell="1" allowOverlap="1">
          <wp:simplePos x="0" y="0"/>
          <wp:positionH relativeFrom="page">
            <wp:posOffset>485140</wp:posOffset>
          </wp:positionH>
          <wp:positionV relativeFrom="page">
            <wp:posOffset>9390380</wp:posOffset>
          </wp:positionV>
          <wp:extent cx="419100" cy="1905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66" style="position:absolute;z-index:-6784;mso-position-horizontal-relative:page;mso-position-vertical-relative:page" from="73.5pt,735.15pt" to="539.25pt,735.15pt" strokecolor="#36c" strokeweight=".51678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5.65pt;margin-top:741.3pt;width:39pt;height:16pt;z-index:-6760;mso-position-horizontal-relative:page;mso-position-vertical-relative:page" filled="f" stroked="f">
          <v:textbox inset="0,0,0,0">
            <w:txbxContent>
              <w:p w:rsidR="009724E1" w:rsidRDefault="00721D9A">
                <w:pPr>
                  <w:tabs>
                    <w:tab w:val="left" w:pos="283"/>
                  </w:tabs>
                  <w:spacing w:line="305" w:lineRule="exact"/>
                  <w:ind w:left="20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color w:val="FFFFFF"/>
                    <w:sz w:val="28"/>
                    <w:shd w:val="clear" w:color="auto" w:fill="3366CC"/>
                  </w:rPr>
                  <w:t xml:space="preserve"> </w:t>
                </w:r>
                <w:r>
                  <w:rPr>
                    <w:rFonts w:ascii="Calibri"/>
                    <w:color w:val="FFFFFF"/>
                    <w:sz w:val="28"/>
                    <w:shd w:val="clear" w:color="auto" w:fill="3366CC"/>
                  </w:rPr>
                  <w:tab/>
                </w:r>
                <w:r>
                  <w:fldChar w:fldCharType="begin"/>
                </w:r>
                <w:r>
                  <w:rPr>
                    <w:rFonts w:ascii="Calibri"/>
                    <w:color w:val="FFFFFF"/>
                    <w:sz w:val="28"/>
                    <w:shd w:val="clear" w:color="auto" w:fill="3366CC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color w:val="FFFFFF"/>
                    <w:sz w:val="28"/>
                    <w:shd w:val="clear" w:color="auto" w:fill="3366CC"/>
                  </w:rPr>
                  <w:t>18</w:t>
                </w:r>
                <w:r>
                  <w:fldChar w:fldCharType="end"/>
                </w:r>
                <w:r>
                  <w:rPr>
                    <w:rFonts w:ascii="Calibri"/>
                    <w:color w:val="FFFFFF"/>
                    <w:spacing w:val="-16"/>
                    <w:sz w:val="28"/>
                    <w:shd w:val="clear" w:color="auto" w:fill="3366CC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236.25pt;margin-top:742.75pt;width:136.9pt;height:13.2pt;z-index:-6736;mso-position-horizontal-relative:page;mso-position-vertical-relative:page" filled="f" stroked="f">
          <v:textbox inset="0,0,0,0">
            <w:txbxContent>
              <w:p w:rsidR="009724E1" w:rsidRDefault="00721D9A">
                <w:pPr>
                  <w:spacing w:before="13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3166CC"/>
                    <w:sz w:val="20"/>
                  </w:rPr>
                  <w:t>REVISTA MEDICA SINERGIA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E1" w:rsidRDefault="00721D9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8743" behindDoc="1" locked="0" layoutInCell="1" allowOverlap="1">
          <wp:simplePos x="0" y="0"/>
          <wp:positionH relativeFrom="page">
            <wp:posOffset>916939</wp:posOffset>
          </wp:positionH>
          <wp:positionV relativeFrom="page">
            <wp:posOffset>9441180</wp:posOffset>
          </wp:positionV>
          <wp:extent cx="5890260" cy="20320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0260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8767" behindDoc="1" locked="0" layoutInCell="1" allowOverlap="1">
          <wp:simplePos x="0" y="0"/>
          <wp:positionH relativeFrom="page">
            <wp:posOffset>6870700</wp:posOffset>
          </wp:positionH>
          <wp:positionV relativeFrom="page">
            <wp:posOffset>9385300</wp:posOffset>
          </wp:positionV>
          <wp:extent cx="419100" cy="19050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61" style="position:absolute;margin-left:73pt;margin-top:733.9pt;width:465.3pt;height:2.5pt;z-index:-6664;mso-position-horizontal-relative:page;mso-position-vertical-relative:page" coordorigin="1460,14678" coordsize="9306,50">
          <v:rect id="_x0000_s2063" style="position:absolute;left:1469;top:14688;width:9286;height:30" fillcolor="#36c" stroked="f"/>
          <v:rect id="_x0000_s2062" style="position:absolute;left:1459;top:14678;width:9306;height:50" fillcolor="#006fc0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8.5pt;margin-top:740.9pt;width:39pt;height:16pt;z-index:-6640;mso-position-horizontal-relative:page;mso-position-vertical-relative:page" filled="f" stroked="f">
          <v:textbox inset="0,0,0,0">
            <w:txbxContent>
              <w:p w:rsidR="009724E1" w:rsidRDefault="00721D9A">
                <w:pPr>
                  <w:tabs>
                    <w:tab w:val="left" w:pos="285"/>
                  </w:tabs>
                  <w:spacing w:line="305" w:lineRule="exact"/>
                  <w:ind w:left="20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color w:val="FFFFFF"/>
                    <w:sz w:val="28"/>
                    <w:shd w:val="clear" w:color="auto" w:fill="3366CC"/>
                  </w:rPr>
                  <w:t xml:space="preserve"> </w:t>
                </w:r>
                <w:r>
                  <w:rPr>
                    <w:rFonts w:ascii="Calibri"/>
                    <w:color w:val="FFFFFF"/>
                    <w:sz w:val="28"/>
                    <w:shd w:val="clear" w:color="auto" w:fill="3366CC"/>
                  </w:rPr>
                  <w:tab/>
                </w:r>
                <w:r>
                  <w:fldChar w:fldCharType="begin"/>
                </w:r>
                <w:r>
                  <w:rPr>
                    <w:rFonts w:ascii="Calibri"/>
                    <w:color w:val="FFFFFF"/>
                    <w:sz w:val="28"/>
                    <w:shd w:val="clear" w:color="auto" w:fill="3366CC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color w:val="FFFFFF"/>
                    <w:sz w:val="28"/>
                    <w:shd w:val="clear" w:color="auto" w:fill="3366CC"/>
                  </w:rPr>
                  <w:t>19</w:t>
                </w:r>
                <w:r>
                  <w:fldChar w:fldCharType="end"/>
                </w:r>
                <w:r>
                  <w:rPr>
                    <w:rFonts w:ascii="Calibri"/>
                    <w:color w:val="FFFFFF"/>
                    <w:spacing w:val="-18"/>
                    <w:sz w:val="28"/>
                    <w:shd w:val="clear" w:color="auto" w:fill="3366CC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177.25pt;margin-top:742.75pt;width:254.05pt;height:13.2pt;z-index:-6616;mso-position-horizontal-relative:page;mso-position-vertical-relative:page" filled="f" stroked="f">
          <v:textbox inset="0,0,0,0">
            <w:txbxContent>
              <w:p w:rsidR="009724E1" w:rsidRPr="00721D9A" w:rsidRDefault="00721D9A">
                <w:pPr>
                  <w:spacing w:before="13"/>
                  <w:ind w:left="20"/>
                  <w:rPr>
                    <w:i/>
                    <w:sz w:val="20"/>
                    <w:lang w:val="es-ES"/>
                  </w:rPr>
                </w:pPr>
                <w:r w:rsidRPr="00721D9A">
                  <w:rPr>
                    <w:i/>
                    <w:color w:val="2E5395"/>
                    <w:sz w:val="20"/>
                    <w:lang w:val="es-ES"/>
                  </w:rPr>
                  <w:t xml:space="preserve">REVISTA MEDICA SINERGIA </w:t>
                </w:r>
                <w:proofErr w:type="spellStart"/>
                <w:r w:rsidRPr="00721D9A">
                  <w:rPr>
                    <w:i/>
                    <w:color w:val="2E5395"/>
                    <w:sz w:val="20"/>
                    <w:lang w:val="es-ES"/>
                  </w:rPr>
                  <w:t>Vol</w:t>
                </w:r>
                <w:proofErr w:type="spellEnd"/>
                <w:r w:rsidRPr="00721D9A">
                  <w:rPr>
                    <w:i/>
                    <w:color w:val="2E5395"/>
                    <w:sz w:val="20"/>
                    <w:lang w:val="es-ES"/>
                  </w:rPr>
                  <w:t xml:space="preserve"> 1 (9), Setiembre 2016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E1" w:rsidRDefault="00721D9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8911" behindDoc="1" locked="0" layoutInCell="1" allowOverlap="1">
          <wp:simplePos x="0" y="0"/>
          <wp:positionH relativeFrom="page">
            <wp:posOffset>916939</wp:posOffset>
          </wp:positionH>
          <wp:positionV relativeFrom="page">
            <wp:posOffset>9441180</wp:posOffset>
          </wp:positionV>
          <wp:extent cx="5910580" cy="203200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0580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8935" behindDoc="1" locked="0" layoutInCell="1" allowOverlap="1">
          <wp:simplePos x="0" y="0"/>
          <wp:positionH relativeFrom="page">
            <wp:posOffset>485140</wp:posOffset>
          </wp:positionH>
          <wp:positionV relativeFrom="page">
            <wp:posOffset>9390380</wp:posOffset>
          </wp:positionV>
          <wp:extent cx="419100" cy="190500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6" style="position:absolute;z-index:-6496;mso-position-horizontal-relative:page;mso-position-vertical-relative:page" from="73.5pt,735.15pt" to="539.25pt,735.15pt" strokecolor="#36c" strokeweight=".51678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.65pt;margin-top:741.3pt;width:39pt;height:16pt;z-index:-6472;mso-position-horizontal-relative:page;mso-position-vertical-relative:page" filled="f" stroked="f">
          <v:textbox inset="0,0,0,0">
            <w:txbxContent>
              <w:p w:rsidR="009724E1" w:rsidRDefault="00721D9A">
                <w:pPr>
                  <w:tabs>
                    <w:tab w:val="left" w:pos="283"/>
                  </w:tabs>
                  <w:spacing w:line="305" w:lineRule="exact"/>
                  <w:ind w:left="20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color w:val="FFFFFF"/>
                    <w:sz w:val="28"/>
                    <w:shd w:val="clear" w:color="auto" w:fill="3366CC"/>
                  </w:rPr>
                  <w:t xml:space="preserve"> </w:t>
                </w:r>
                <w:r>
                  <w:rPr>
                    <w:rFonts w:ascii="Calibri"/>
                    <w:color w:val="FFFFFF"/>
                    <w:sz w:val="28"/>
                    <w:shd w:val="clear" w:color="auto" w:fill="3366CC"/>
                  </w:rPr>
                  <w:tab/>
                </w:r>
                <w:r>
                  <w:fldChar w:fldCharType="begin"/>
                </w:r>
                <w:r>
                  <w:rPr>
                    <w:rFonts w:ascii="Calibri"/>
                    <w:color w:val="FFFFFF"/>
                    <w:sz w:val="28"/>
                    <w:shd w:val="clear" w:color="auto" w:fill="3366CC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color w:val="FFFFFF"/>
                    <w:sz w:val="28"/>
                    <w:shd w:val="clear" w:color="auto" w:fill="3366CC"/>
                  </w:rPr>
                  <w:t>22</w:t>
                </w:r>
                <w:r>
                  <w:fldChar w:fldCharType="end"/>
                </w:r>
                <w:r>
                  <w:rPr>
                    <w:rFonts w:ascii="Calibri"/>
                    <w:color w:val="FFFFFF"/>
                    <w:spacing w:val="-16"/>
                    <w:sz w:val="28"/>
                    <w:shd w:val="clear" w:color="auto" w:fill="3366CC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236.25pt;margin-top:742.75pt;width:136.9pt;height:13.2pt;z-index:-6448;mso-position-horizontal-relative:page;mso-position-vertical-relative:page" filled="f" stroked="f">
          <v:textbox inset="0,0,0,0">
            <w:txbxContent>
              <w:p w:rsidR="009724E1" w:rsidRDefault="00721D9A">
                <w:pPr>
                  <w:spacing w:before="13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color w:val="3166CC"/>
                    <w:sz w:val="20"/>
                  </w:rPr>
                  <w:t>REVISTA MEDICA SINERGIA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E1" w:rsidRDefault="00721D9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68429031" behindDoc="1" locked="0" layoutInCell="1" allowOverlap="1">
          <wp:simplePos x="0" y="0"/>
          <wp:positionH relativeFrom="page">
            <wp:posOffset>916939</wp:posOffset>
          </wp:positionH>
          <wp:positionV relativeFrom="page">
            <wp:posOffset>9441180</wp:posOffset>
          </wp:positionV>
          <wp:extent cx="5890260" cy="203200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0260" cy="20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68429055" behindDoc="1" locked="0" layoutInCell="1" allowOverlap="1">
          <wp:simplePos x="0" y="0"/>
          <wp:positionH relativeFrom="page">
            <wp:posOffset>6870700</wp:posOffset>
          </wp:positionH>
          <wp:positionV relativeFrom="page">
            <wp:posOffset>9385300</wp:posOffset>
          </wp:positionV>
          <wp:extent cx="419100" cy="190500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51" style="position:absolute;margin-left:73pt;margin-top:733.9pt;width:465.3pt;height:2.5pt;z-index:-6376;mso-position-horizontal-relative:page;mso-position-vertical-relative:page" coordorigin="1460,14678" coordsize="9306,50">
          <v:rect id="_x0000_s2053" style="position:absolute;left:1469;top:14688;width:9286;height:30" fillcolor="#36c" stroked="f"/>
          <v:rect id="_x0000_s2052" style="position:absolute;left:1459;top:14678;width:9306;height:50" fillcolor="#006fc0" stroked="f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5pt;margin-top:740.9pt;width:39pt;height:16pt;z-index:-6352;mso-position-horizontal-relative:page;mso-position-vertical-relative:page" filled="f" stroked="f">
          <v:textbox inset="0,0,0,0">
            <w:txbxContent>
              <w:p w:rsidR="009724E1" w:rsidRDefault="00721D9A">
                <w:pPr>
                  <w:tabs>
                    <w:tab w:val="left" w:pos="285"/>
                  </w:tabs>
                  <w:spacing w:line="305" w:lineRule="exact"/>
                  <w:ind w:left="20"/>
                  <w:rPr>
                    <w:rFonts w:ascii="Calibri"/>
                    <w:sz w:val="28"/>
                  </w:rPr>
                </w:pPr>
                <w:r>
                  <w:rPr>
                    <w:rFonts w:ascii="Calibri"/>
                    <w:color w:val="FFFFFF"/>
                    <w:sz w:val="28"/>
                    <w:shd w:val="clear" w:color="auto" w:fill="3366CC"/>
                  </w:rPr>
                  <w:t xml:space="preserve"> </w:t>
                </w:r>
                <w:r>
                  <w:rPr>
                    <w:rFonts w:ascii="Calibri"/>
                    <w:color w:val="FFFFFF"/>
                    <w:sz w:val="28"/>
                    <w:shd w:val="clear" w:color="auto" w:fill="3366CC"/>
                  </w:rPr>
                  <w:tab/>
                </w:r>
                <w:r>
                  <w:fldChar w:fldCharType="begin"/>
                </w:r>
                <w:r>
                  <w:rPr>
                    <w:rFonts w:ascii="Calibri"/>
                    <w:color w:val="FFFFFF"/>
                    <w:sz w:val="28"/>
                    <w:shd w:val="clear" w:color="auto" w:fill="3366CC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  <w:color w:val="FFFFFF"/>
                    <w:sz w:val="28"/>
                    <w:shd w:val="clear" w:color="auto" w:fill="3366CC"/>
                  </w:rPr>
                  <w:t>21</w:t>
                </w:r>
                <w:r>
                  <w:fldChar w:fldCharType="end"/>
                </w:r>
                <w:r>
                  <w:rPr>
                    <w:rFonts w:ascii="Calibri"/>
                    <w:color w:val="FFFFFF"/>
                    <w:spacing w:val="-18"/>
                    <w:sz w:val="28"/>
                    <w:shd w:val="clear" w:color="auto" w:fill="3366CC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77.25pt;margin-top:742.75pt;width:254.05pt;height:13.2pt;z-index:-6328;mso-position-horizontal-relative:page;mso-position-vertical-relative:page" filled="f" stroked="f">
          <v:textbox inset="0,0,0,0">
            <w:txbxContent>
              <w:p w:rsidR="009724E1" w:rsidRPr="00721D9A" w:rsidRDefault="00721D9A">
                <w:pPr>
                  <w:spacing w:before="13"/>
                  <w:ind w:left="20"/>
                  <w:rPr>
                    <w:i/>
                    <w:sz w:val="20"/>
                    <w:lang w:val="es-ES"/>
                  </w:rPr>
                </w:pPr>
                <w:r w:rsidRPr="00721D9A">
                  <w:rPr>
                    <w:i/>
                    <w:color w:val="2E5395"/>
                    <w:sz w:val="20"/>
                    <w:lang w:val="es-ES"/>
                  </w:rPr>
                  <w:t xml:space="preserve">REVISTA MEDICA SINERGIA </w:t>
                </w:r>
                <w:proofErr w:type="spellStart"/>
                <w:r w:rsidRPr="00721D9A">
                  <w:rPr>
                    <w:i/>
                    <w:color w:val="2E5395"/>
                    <w:sz w:val="20"/>
                    <w:lang w:val="es-ES"/>
                  </w:rPr>
                  <w:t>Vol</w:t>
                </w:r>
                <w:proofErr w:type="spellEnd"/>
                <w:r w:rsidRPr="00721D9A">
                  <w:rPr>
                    <w:i/>
                    <w:color w:val="2E5395"/>
                    <w:sz w:val="20"/>
                    <w:lang w:val="es-ES"/>
                  </w:rPr>
                  <w:t xml:space="preserve"> 1 (9), Setiembre 2016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1D9A">
      <w:r>
        <w:separator/>
      </w:r>
    </w:p>
  </w:footnote>
  <w:footnote w:type="continuationSeparator" w:id="0">
    <w:p w:rsidR="00000000" w:rsidRDefault="00721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E1" w:rsidRDefault="00721D9A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9.8pt;margin-top:35.15pt;width:432.2pt;height:13.2pt;z-index:-6592;mso-position-horizontal-relative:page;mso-position-vertical-relative:page" filled="f" stroked="f">
          <v:textbox inset="0,0,0,0">
            <w:txbxContent>
              <w:p w:rsidR="009724E1" w:rsidRPr="00721D9A" w:rsidRDefault="00721D9A">
                <w:pPr>
                  <w:spacing w:before="13"/>
                  <w:ind w:left="20"/>
                  <w:rPr>
                    <w:i/>
                    <w:sz w:val="20"/>
                    <w:lang w:val="es-ES"/>
                  </w:rPr>
                </w:pPr>
                <w:r w:rsidRPr="00721D9A">
                  <w:rPr>
                    <w:i/>
                    <w:color w:val="2D74B5"/>
                    <w:sz w:val="20"/>
                    <w:lang w:val="es-ES"/>
                  </w:rPr>
                  <w:t>USO DE LA ASPIRINA PARA LA PREVENCIÓN DE PRECLAMPS</w:t>
                </w:r>
                <w:r w:rsidRPr="00721D9A">
                  <w:rPr>
                    <w:i/>
                    <w:color w:val="2D74B5"/>
                    <w:sz w:val="20"/>
                    <w:lang w:val="es-ES"/>
                  </w:rPr>
                  <w:t>IA –Kenneth Bermúdez Salas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E1" w:rsidRDefault="00721D9A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9.8pt;margin-top:35.15pt;width:432.2pt;height:13.2pt;z-index:-6568;mso-position-horizontal-relative:page;mso-position-vertical-relative:page" filled="f" stroked="f">
          <v:textbox inset="0,0,0,0">
            <w:txbxContent>
              <w:p w:rsidR="009724E1" w:rsidRPr="00721D9A" w:rsidRDefault="00721D9A">
                <w:pPr>
                  <w:spacing w:before="13"/>
                  <w:ind w:left="20"/>
                  <w:rPr>
                    <w:i/>
                    <w:sz w:val="20"/>
                    <w:lang w:val="es-ES"/>
                  </w:rPr>
                </w:pPr>
                <w:r w:rsidRPr="00721D9A">
                  <w:rPr>
                    <w:i/>
                    <w:color w:val="2D74B5"/>
                    <w:sz w:val="20"/>
                    <w:lang w:val="es-ES"/>
                  </w:rPr>
                  <w:t>USO DE LA ASPIRINA PARA LA PREVENCIÓN DE PRECLAMPSIA –Kenneth Bermúdez Salas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C8C"/>
    <w:multiLevelType w:val="multilevel"/>
    <w:tmpl w:val="74AE92A0"/>
    <w:lvl w:ilvl="0">
      <w:start w:val="35"/>
      <w:numFmt w:val="decimal"/>
      <w:lvlText w:val="%1"/>
      <w:lvlJc w:val="left"/>
      <w:pPr>
        <w:ind w:left="820" w:hanging="848"/>
        <w:jc w:val="left"/>
      </w:pPr>
      <w:rPr>
        <w:rFonts w:hint="default"/>
      </w:rPr>
    </w:lvl>
    <w:lvl w:ilvl="1">
      <w:numFmt w:val="decimalZero"/>
      <w:lvlText w:val="%1.%2"/>
      <w:lvlJc w:val="left"/>
      <w:pPr>
        <w:ind w:left="820" w:hanging="848"/>
        <w:jc w:val="left"/>
      </w:pPr>
      <w:rPr>
        <w:rFonts w:ascii="Arial" w:eastAsia="Arial" w:hAnsi="Arial" w:cs="Arial" w:hint="default"/>
        <w:spacing w:val="-3"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1400" w:hanging="361"/>
        <w:jc w:val="left"/>
      </w:pPr>
      <w:rPr>
        <w:rFonts w:ascii="Arial" w:eastAsia="Arial" w:hAnsi="Arial" w:cs="Arial" w:hint="default"/>
        <w:spacing w:val="-31"/>
        <w:w w:val="99"/>
        <w:sz w:val="22"/>
        <w:szCs w:val="22"/>
      </w:rPr>
    </w:lvl>
    <w:lvl w:ilvl="3">
      <w:numFmt w:val="bullet"/>
      <w:lvlText w:val="•"/>
      <w:lvlJc w:val="left"/>
      <w:pPr>
        <w:ind w:left="1080" w:hanging="361"/>
      </w:pPr>
      <w:rPr>
        <w:rFonts w:hint="default"/>
      </w:rPr>
    </w:lvl>
    <w:lvl w:ilvl="4">
      <w:numFmt w:val="bullet"/>
      <w:lvlText w:val="•"/>
      <w:lvlJc w:val="left"/>
      <w:pPr>
        <w:ind w:left="920" w:hanging="361"/>
      </w:pPr>
      <w:rPr>
        <w:rFonts w:hint="default"/>
      </w:rPr>
    </w:lvl>
    <w:lvl w:ilvl="5">
      <w:numFmt w:val="bullet"/>
      <w:lvlText w:val="•"/>
      <w:lvlJc w:val="left"/>
      <w:pPr>
        <w:ind w:left="760" w:hanging="361"/>
      </w:pPr>
      <w:rPr>
        <w:rFonts w:hint="default"/>
      </w:rPr>
    </w:lvl>
    <w:lvl w:ilvl="6">
      <w:numFmt w:val="bullet"/>
      <w:lvlText w:val="•"/>
      <w:lvlJc w:val="left"/>
      <w:pPr>
        <w:ind w:left="600" w:hanging="361"/>
      </w:pPr>
      <w:rPr>
        <w:rFonts w:hint="default"/>
      </w:rPr>
    </w:lvl>
    <w:lvl w:ilvl="7">
      <w:numFmt w:val="bullet"/>
      <w:lvlText w:val="•"/>
      <w:lvlJc w:val="left"/>
      <w:pPr>
        <w:ind w:left="440" w:hanging="361"/>
      </w:pPr>
      <w:rPr>
        <w:rFonts w:hint="default"/>
      </w:rPr>
    </w:lvl>
    <w:lvl w:ilvl="8">
      <w:numFmt w:val="bullet"/>
      <w:lvlText w:val="•"/>
      <w:lvlJc w:val="left"/>
      <w:pPr>
        <w:ind w:left="280" w:hanging="361"/>
      </w:pPr>
      <w:rPr>
        <w:rFonts w:hint="default"/>
      </w:rPr>
    </w:lvl>
  </w:abstractNum>
  <w:abstractNum w:abstractNumId="1">
    <w:nsid w:val="21417F27"/>
    <w:multiLevelType w:val="hybridMultilevel"/>
    <w:tmpl w:val="B65EC75C"/>
    <w:lvl w:ilvl="0" w:tplc="A6441F3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F6231F2">
      <w:numFmt w:val="bullet"/>
      <w:lvlText w:val="•"/>
      <w:lvlJc w:val="left"/>
      <w:pPr>
        <w:ind w:left="2162" w:hanging="360"/>
      </w:pPr>
      <w:rPr>
        <w:rFonts w:hint="default"/>
      </w:rPr>
    </w:lvl>
    <w:lvl w:ilvl="2" w:tplc="9D60F2B6"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B46C0FC2">
      <w:numFmt w:val="bullet"/>
      <w:lvlText w:val="•"/>
      <w:lvlJc w:val="left"/>
      <w:pPr>
        <w:ind w:left="4126" w:hanging="360"/>
      </w:pPr>
      <w:rPr>
        <w:rFonts w:hint="default"/>
      </w:rPr>
    </w:lvl>
    <w:lvl w:ilvl="4" w:tplc="03BC8270">
      <w:numFmt w:val="bullet"/>
      <w:lvlText w:val="•"/>
      <w:lvlJc w:val="left"/>
      <w:pPr>
        <w:ind w:left="5108" w:hanging="360"/>
      </w:pPr>
      <w:rPr>
        <w:rFonts w:hint="default"/>
      </w:rPr>
    </w:lvl>
    <w:lvl w:ilvl="5" w:tplc="84DEB5B2"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FA8AA84">
      <w:numFmt w:val="bullet"/>
      <w:lvlText w:val="•"/>
      <w:lvlJc w:val="left"/>
      <w:pPr>
        <w:ind w:left="7072" w:hanging="360"/>
      </w:pPr>
      <w:rPr>
        <w:rFonts w:hint="default"/>
      </w:rPr>
    </w:lvl>
    <w:lvl w:ilvl="7" w:tplc="1A4AE99C">
      <w:numFmt w:val="bullet"/>
      <w:lvlText w:val="•"/>
      <w:lvlJc w:val="left"/>
      <w:pPr>
        <w:ind w:left="8054" w:hanging="360"/>
      </w:pPr>
      <w:rPr>
        <w:rFonts w:hint="default"/>
      </w:rPr>
    </w:lvl>
    <w:lvl w:ilvl="8" w:tplc="BAF61FEC">
      <w:numFmt w:val="bullet"/>
      <w:lvlText w:val="•"/>
      <w:lvlJc w:val="left"/>
      <w:pPr>
        <w:ind w:left="903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724E1"/>
    <w:rsid w:val="00721D9A"/>
    <w:rsid w:val="0097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82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acog.org/AboutACOG/News-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ncbi.nlm.nih.gov/pmc/articles/PMC4071671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1962</Words>
  <Characters>10948</Characters>
  <Application>Microsoft Office Word</Application>
  <DocSecurity>0</DocSecurity>
  <Lines>608</Lines>
  <Paragraphs>72</Paragraphs>
  <ScaleCrop>false</ScaleCrop>
  <Company/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Esteban</cp:lastModifiedBy>
  <cp:revision>2</cp:revision>
  <dcterms:created xsi:type="dcterms:W3CDTF">2018-03-15T05:33:00Z</dcterms:created>
  <dcterms:modified xsi:type="dcterms:W3CDTF">2018-03-20T18:07:00Z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2018-03-15T00:00:00Z</vt:filetime>
  </property>
</Properties>
</file>