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716"/>
        <w:gridCol w:w="1164"/>
        <w:gridCol w:w="1152"/>
        <w:gridCol w:w="1188"/>
        <w:gridCol w:w="606"/>
        <w:gridCol w:w="2848"/>
      </w:tblGrid>
      <w:tr w:rsidR="005860BC" w:rsidRPr="00430909" w14:paraId="25C20707" w14:textId="77777777" w:rsidTr="00221512">
        <w:trPr>
          <w:trHeight w:val="247"/>
          <w:jc w:val="center"/>
        </w:trPr>
        <w:tc>
          <w:tcPr>
            <w:tcW w:w="1781"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3020"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6FD95FC0" w:rsidR="005860BC" w:rsidRDefault="005860BC" w:rsidP="00D83F9E">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806F56">
              <w:rPr>
                <w:rFonts w:ascii="Arial" w:eastAsia="Arial" w:hAnsi="Arial" w:cs="Arial"/>
                <w:color w:val="000000"/>
                <w:sz w:val="17"/>
                <w:szCs w:val="17"/>
              </w:rPr>
              <w:t xml:space="preserve"> 9</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D83F9E">
              <w:rPr>
                <w:rFonts w:ascii="Arial" w:eastAsia="Arial" w:hAnsi="Arial" w:cs="Arial"/>
                <w:color w:val="000000"/>
                <w:sz w:val="17"/>
                <w:szCs w:val="17"/>
              </w:rPr>
              <w:t>4</w:t>
            </w:r>
            <w:r w:rsidRPr="004E5DEB">
              <w:rPr>
                <w:rFonts w:ascii="Arial" w:eastAsia="Arial" w:hAnsi="Arial" w:cs="Arial"/>
                <w:color w:val="000000"/>
                <w:sz w:val="17"/>
                <w:szCs w:val="17"/>
              </w:rPr>
              <w:t xml:space="preserve">, </w:t>
            </w:r>
            <w:r w:rsidR="00D83F9E">
              <w:rPr>
                <w:rFonts w:ascii="Arial" w:eastAsia="Arial" w:hAnsi="Arial" w:cs="Arial"/>
                <w:color w:val="000000"/>
                <w:sz w:val="17"/>
                <w:szCs w:val="17"/>
              </w:rPr>
              <w:t>abril</w:t>
            </w:r>
            <w:r>
              <w:rPr>
                <w:rFonts w:ascii="Arial" w:eastAsia="Arial" w:hAnsi="Arial" w:cs="Arial"/>
                <w:color w:val="000000"/>
                <w:sz w:val="17"/>
                <w:szCs w:val="17"/>
              </w:rPr>
              <w:t xml:space="preserve"> </w:t>
            </w:r>
            <w:r w:rsidRPr="004E5DEB">
              <w:rPr>
                <w:rFonts w:ascii="Arial" w:eastAsia="Arial" w:hAnsi="Arial" w:cs="Arial"/>
                <w:sz w:val="17"/>
                <w:szCs w:val="17"/>
              </w:rPr>
              <w:t>202</w:t>
            </w:r>
            <w:r w:rsidR="00806F56">
              <w:rPr>
                <w:rFonts w:ascii="Arial" w:eastAsia="Arial" w:hAnsi="Arial" w:cs="Arial"/>
                <w:sz w:val="17"/>
                <w:szCs w:val="17"/>
              </w:rPr>
              <w:t>4</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DC2B40">
              <w:rPr>
                <w:rFonts w:ascii="Arial" w:eastAsia="Arial" w:hAnsi="Arial" w:cs="Arial"/>
                <w:sz w:val="17"/>
                <w:szCs w:val="17"/>
              </w:rPr>
              <w:t>1139</w:t>
            </w:r>
          </w:p>
        </w:tc>
        <w:tc>
          <w:tcPr>
            <w:tcW w:w="1260" w:type="dxa"/>
            <w:vMerge w:val="restart"/>
            <w:vAlign w:val="center"/>
          </w:tcPr>
          <w:p w14:paraId="07647D44" w14:textId="77777777" w:rsidR="005860BC" w:rsidRDefault="005860BC" w:rsidP="003757A9">
            <w:pPr>
              <w:rPr>
                <w:rFonts w:ascii="Arial" w:hAnsi="Arial" w:cs="Arial"/>
                <w:b/>
                <w:sz w:val="24"/>
                <w:szCs w:val="28"/>
              </w:rPr>
            </w:pPr>
          </w:p>
        </w:tc>
        <w:tc>
          <w:tcPr>
            <w:tcW w:w="606" w:type="dxa"/>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2759" w:type="dxa"/>
            <w:vAlign w:val="center"/>
          </w:tcPr>
          <w:p w14:paraId="1A5764C8" w14:textId="31EE7FF8" w:rsidR="005860BC" w:rsidRPr="009604E4" w:rsidRDefault="00000000" w:rsidP="00E87B35">
            <w:pPr>
              <w:ind w:left="-99"/>
              <w:jc w:val="right"/>
              <w:rPr>
                <w:sz w:val="16"/>
                <w:szCs w:val="16"/>
                <w:u w:val="single"/>
                <w:lang w:val="es-CR"/>
              </w:rPr>
            </w:pPr>
            <w:hyperlink r:id="rId10" w:history="1">
              <w:r w:rsidR="00EB565E" w:rsidRPr="00EB565E">
                <w:rPr>
                  <w:rStyle w:val="Hipervnculo"/>
                  <w:bCs/>
                  <w:sz w:val="16"/>
                  <w:szCs w:val="16"/>
                </w:rPr>
                <w:t>https://doi.org/10.31434/rms.v9i4.1139</w:t>
              </w:r>
            </w:hyperlink>
            <w:r w:rsidR="00EB565E">
              <w:rPr>
                <w:bCs/>
                <w:sz w:val="16"/>
                <w:szCs w:val="16"/>
              </w:rPr>
              <w:t xml:space="preserve"> </w:t>
            </w:r>
          </w:p>
        </w:tc>
      </w:tr>
      <w:tr w:rsidR="005860BC" w14:paraId="60FFB9C6" w14:textId="77777777" w:rsidTr="00221512">
        <w:trPr>
          <w:trHeight w:val="404"/>
          <w:jc w:val="center"/>
        </w:trPr>
        <w:tc>
          <w:tcPr>
            <w:tcW w:w="1781"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3020"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6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9" w:type="dxa"/>
            <w:vAlign w:val="center"/>
          </w:tcPr>
          <w:p w14:paraId="07EB17E1" w14:textId="77777777" w:rsidR="005860BC" w:rsidRPr="005557B5" w:rsidRDefault="00000000"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D83F9E" w14:paraId="77F99B58" w14:textId="77777777" w:rsidTr="00221512">
        <w:trPr>
          <w:jc w:val="center"/>
        </w:trPr>
        <w:tc>
          <w:tcPr>
            <w:tcW w:w="9426"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01C48B65" w14:textId="77777777" w:rsidR="00D83F9E" w:rsidRDefault="00D83F9E" w:rsidP="00221512">
            <w:pPr>
              <w:spacing w:line="276" w:lineRule="auto"/>
              <w:jc w:val="center"/>
              <w:rPr>
                <w:rFonts w:eastAsia="TimesNewRomanPS-BoldMT"/>
                <w:b/>
                <w:bCs/>
                <w:color w:val="000000"/>
                <w:sz w:val="28"/>
                <w:szCs w:val="28"/>
                <w:lang w:val="es-CR"/>
              </w:rPr>
            </w:pPr>
            <w:r w:rsidRPr="00D83F9E">
              <w:rPr>
                <w:rFonts w:eastAsia="TimesNewRomanPS-BoldMT"/>
                <w:b/>
                <w:bCs/>
                <w:color w:val="000000"/>
                <w:sz w:val="28"/>
                <w:szCs w:val="28"/>
                <w:lang w:val="es-CR"/>
              </w:rPr>
              <w:t>Mortalidad antes y después de la vacunación de COVID-19 del 2020-2021</w:t>
            </w:r>
          </w:p>
          <w:p w14:paraId="5DE01103" w14:textId="754B7257" w:rsidR="00601DC5" w:rsidRPr="00D83F9E" w:rsidRDefault="00D83F9E" w:rsidP="00221512">
            <w:pPr>
              <w:spacing w:line="276" w:lineRule="auto"/>
              <w:jc w:val="center"/>
              <w:rPr>
                <w:rFonts w:ascii="Arial" w:hAnsi="Arial" w:cs="Arial"/>
                <w:sz w:val="26"/>
                <w:szCs w:val="26"/>
                <w:lang w:val="en-US"/>
              </w:rPr>
            </w:pPr>
            <w:r w:rsidRPr="00D83F9E">
              <w:rPr>
                <w:rFonts w:ascii="Arial" w:hAnsi="Arial" w:cs="Arial"/>
                <w:sz w:val="26"/>
                <w:szCs w:val="26"/>
                <w:lang w:val="en-US"/>
              </w:rPr>
              <w:t>Mortality before and after COVID-19 vaccination during 2020-2021</w:t>
            </w:r>
          </w:p>
        </w:tc>
      </w:tr>
      <w:tr w:rsidR="005860BC" w:rsidRPr="00430909" w14:paraId="0C5B1BB9" w14:textId="77777777" w:rsidTr="00221512">
        <w:trPr>
          <w:jc w:val="center"/>
        </w:trPr>
        <w:tc>
          <w:tcPr>
            <w:tcW w:w="2355" w:type="dxa"/>
            <w:gridSpan w:val="2"/>
            <w:vAlign w:val="center"/>
          </w:tcPr>
          <w:p w14:paraId="3DC97774" w14:textId="44931C7D" w:rsidR="005860BC" w:rsidRPr="00D83F9E" w:rsidRDefault="007B51D2" w:rsidP="003757A9">
            <w:pPr>
              <w:jc w:val="center"/>
              <w:rPr>
                <w:rFonts w:ascii="Arial" w:hAnsi="Arial" w:cs="Arial"/>
                <w:b/>
                <w:sz w:val="24"/>
                <w:szCs w:val="28"/>
                <w:lang w:val="en-US"/>
              </w:rPr>
            </w:pPr>
            <w:r>
              <w:rPr>
                <w:noProof/>
              </w:rPr>
              <w:drawing>
                <wp:inline distT="0" distB="0" distL="0" distR="0" wp14:anchorId="5AB8C00D" wp14:editId="5A2E0F95">
                  <wp:extent cx="1432800" cy="1440000"/>
                  <wp:effectExtent l="0" t="0" r="0" b="8255"/>
                  <wp:docPr id="7433054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305458" name=""/>
                          <pic:cNvPicPr/>
                        </pic:nvPicPr>
                        <pic:blipFill>
                          <a:blip r:embed="rId13"/>
                          <a:stretch>
                            <a:fillRect/>
                          </a:stretch>
                        </pic:blipFill>
                        <pic:spPr>
                          <a:xfrm>
                            <a:off x="0" y="0"/>
                            <a:ext cx="1432800" cy="1440000"/>
                          </a:xfrm>
                          <a:prstGeom prst="rect">
                            <a:avLst/>
                          </a:prstGeom>
                        </pic:spPr>
                      </pic:pic>
                    </a:graphicData>
                  </a:graphic>
                </wp:inline>
              </w:drawing>
            </w:r>
          </w:p>
        </w:tc>
        <w:tc>
          <w:tcPr>
            <w:tcW w:w="7071" w:type="dxa"/>
            <w:gridSpan w:val="5"/>
            <w:vAlign w:val="center"/>
          </w:tcPr>
          <w:p w14:paraId="0875A3D9" w14:textId="77777777" w:rsidR="00507BEF" w:rsidRPr="00D83F9E" w:rsidRDefault="00507BEF" w:rsidP="001333F2">
            <w:pPr>
              <w:spacing w:line="276" w:lineRule="auto"/>
              <w:jc w:val="right"/>
              <w:rPr>
                <w:rFonts w:ascii="Arial" w:hAnsi="Arial" w:cs="Arial"/>
                <w:b/>
                <w:bCs/>
                <w:sz w:val="20"/>
                <w:szCs w:val="20"/>
                <w:vertAlign w:val="superscript"/>
                <w:lang w:val="en-US"/>
              </w:rPr>
            </w:pPr>
          </w:p>
          <w:p w14:paraId="1ABDD7D0" w14:textId="7B535020" w:rsidR="009E2369" w:rsidRDefault="00AE5EA0" w:rsidP="001333F2">
            <w:pPr>
              <w:spacing w:line="276" w:lineRule="auto"/>
              <w:jc w:val="right"/>
              <w:rPr>
                <w:rFonts w:ascii="Arial" w:hAnsi="Arial" w:cs="Arial"/>
                <w:b/>
                <w:bCs/>
                <w:sz w:val="20"/>
                <w:szCs w:val="20"/>
                <w:lang w:val="es-CR"/>
              </w:rPr>
            </w:pPr>
            <w:r w:rsidRPr="00AE5EA0">
              <w:rPr>
                <w:rFonts w:ascii="Arial" w:hAnsi="Arial" w:cs="Arial"/>
                <w:b/>
                <w:bCs/>
                <w:sz w:val="20"/>
                <w:szCs w:val="20"/>
                <w:vertAlign w:val="superscript"/>
                <w:lang w:val="es-CR"/>
              </w:rPr>
              <w:t>1</w:t>
            </w:r>
            <w:r w:rsidR="004E0917">
              <w:t xml:space="preserve"> </w:t>
            </w:r>
            <w:r w:rsidR="001C5EB1" w:rsidRPr="001C5EB1">
              <w:rPr>
                <w:b/>
                <w:bCs/>
              </w:rPr>
              <w:t>Dra.</w:t>
            </w:r>
            <w:r w:rsidR="001C5EB1">
              <w:t xml:space="preserve"> </w:t>
            </w:r>
            <w:r w:rsidR="00D83F9E" w:rsidRPr="00D83F9E">
              <w:rPr>
                <w:rFonts w:ascii="Arial" w:hAnsi="Arial" w:cs="Arial"/>
                <w:b/>
                <w:bCs/>
                <w:sz w:val="20"/>
                <w:szCs w:val="20"/>
                <w:lang w:val="es-CR"/>
              </w:rPr>
              <w:t>Keila Grisel Ramos Mor</w:t>
            </w:r>
            <w:r w:rsidR="008913AF">
              <w:rPr>
                <w:rFonts w:ascii="Arial" w:hAnsi="Arial" w:cs="Arial"/>
                <w:b/>
                <w:bCs/>
                <w:sz w:val="20"/>
                <w:szCs w:val="20"/>
                <w:lang w:val="es-CR"/>
              </w:rPr>
              <w:t>á</w:t>
            </w:r>
            <w:r w:rsidR="00D83F9E" w:rsidRPr="00D83F9E">
              <w:rPr>
                <w:rFonts w:ascii="Arial" w:hAnsi="Arial" w:cs="Arial"/>
                <w:b/>
                <w:bCs/>
                <w:sz w:val="20"/>
                <w:szCs w:val="20"/>
                <w:lang w:val="es-CR"/>
              </w:rPr>
              <w:t>n</w:t>
            </w:r>
          </w:p>
          <w:p w14:paraId="0C32AA29" w14:textId="47E8B467" w:rsidR="004D7BD5" w:rsidRPr="004D7BD5" w:rsidRDefault="003469DB" w:rsidP="004D7BD5">
            <w:pPr>
              <w:pStyle w:val="Prrafodelista"/>
              <w:spacing w:line="276" w:lineRule="auto"/>
              <w:jc w:val="right"/>
              <w:rPr>
                <w:color w:val="0000FF"/>
                <w:sz w:val="18"/>
                <w:szCs w:val="18"/>
                <w:u w:val="single"/>
                <w:lang w:val="es-CR"/>
              </w:rPr>
            </w:pPr>
            <w:r>
              <w:rPr>
                <w:rFonts w:ascii="Arial" w:hAnsi="Arial" w:cs="Arial"/>
                <w:sz w:val="18"/>
                <w:szCs w:val="18"/>
                <w:lang w:val="es-CR"/>
              </w:rPr>
              <w:t>Investigadora independiente</w:t>
            </w:r>
            <w:r w:rsidR="00D83F9E" w:rsidRPr="00D83F9E">
              <w:rPr>
                <w:rFonts w:ascii="Arial" w:hAnsi="Arial" w:cs="Arial"/>
                <w:sz w:val="18"/>
                <w:szCs w:val="18"/>
                <w:lang w:val="es-CR"/>
              </w:rPr>
              <w:t xml:space="preserve">, </w:t>
            </w:r>
            <w:r w:rsidR="00447511">
              <w:rPr>
                <w:rFonts w:ascii="Arial" w:hAnsi="Arial" w:cs="Arial"/>
                <w:sz w:val="18"/>
                <w:szCs w:val="18"/>
                <w:lang w:val="es-CR"/>
              </w:rPr>
              <w:t>Copán</w:t>
            </w:r>
            <w:r w:rsidR="00D83F9E" w:rsidRPr="00D83F9E">
              <w:rPr>
                <w:rFonts w:ascii="Arial" w:hAnsi="Arial" w:cs="Arial"/>
                <w:sz w:val="18"/>
                <w:szCs w:val="18"/>
                <w:lang w:val="es-CR"/>
              </w:rPr>
              <w:t>, Honduras</w:t>
            </w:r>
            <w:r w:rsidR="004D7BD5" w:rsidRPr="004D7BD5">
              <w:rPr>
                <w:rFonts w:ascii="Arial" w:hAnsi="Arial" w:cs="Arial"/>
                <w:sz w:val="18"/>
                <w:szCs w:val="18"/>
                <w:lang w:val="es-CR"/>
              </w:rPr>
              <w:t xml:space="preserve"> </w:t>
            </w:r>
          </w:p>
          <w:p w14:paraId="6D2AEBED" w14:textId="3253847F" w:rsidR="00221512" w:rsidRDefault="00000000" w:rsidP="00D83F9E">
            <w:pPr>
              <w:pStyle w:val="Prrafodelista"/>
              <w:numPr>
                <w:ilvl w:val="0"/>
                <w:numId w:val="1"/>
              </w:numPr>
              <w:jc w:val="right"/>
              <w:rPr>
                <w:sz w:val="18"/>
                <w:szCs w:val="18"/>
                <w:lang w:val="es-CR"/>
              </w:rPr>
            </w:pPr>
            <w:hyperlink r:id="rId14" w:history="1">
              <w:r w:rsidR="00D94F08" w:rsidRPr="00977F54">
                <w:rPr>
                  <w:rStyle w:val="Hipervnculo"/>
                  <w:sz w:val="18"/>
                  <w:szCs w:val="18"/>
                  <w:lang w:val="es-CR"/>
                </w:rPr>
                <w:t>https://orcid.org/</w:t>
              </w:r>
              <w:r w:rsidR="00D83F9E" w:rsidRPr="00D83F9E">
                <w:rPr>
                  <w:rStyle w:val="Hipervnculo"/>
                  <w:sz w:val="18"/>
                  <w:szCs w:val="18"/>
                  <w:lang w:val="es-CR"/>
                </w:rPr>
                <w:t>0009-0008-7149-2539</w:t>
              </w:r>
            </w:hyperlink>
            <w:r w:rsidR="005669C3">
              <w:rPr>
                <w:sz w:val="18"/>
                <w:szCs w:val="18"/>
                <w:lang w:val="es-CR"/>
              </w:rPr>
              <w:t xml:space="preserve"> </w:t>
            </w:r>
          </w:p>
          <w:p w14:paraId="472B8F30" w14:textId="77777777" w:rsidR="00221512" w:rsidRDefault="00221512" w:rsidP="00221512">
            <w:pPr>
              <w:jc w:val="right"/>
              <w:rPr>
                <w:sz w:val="18"/>
                <w:szCs w:val="18"/>
                <w:lang w:val="es-CR"/>
              </w:rPr>
            </w:pPr>
          </w:p>
          <w:p w14:paraId="264BF585" w14:textId="19F9C402" w:rsidR="00221512" w:rsidRDefault="00221512" w:rsidP="00221512">
            <w:pPr>
              <w:spacing w:line="276" w:lineRule="auto"/>
              <w:jc w:val="right"/>
              <w:rPr>
                <w:rFonts w:ascii="Arial" w:hAnsi="Arial" w:cs="Arial"/>
                <w:b/>
                <w:bCs/>
                <w:sz w:val="20"/>
                <w:szCs w:val="20"/>
                <w:lang w:val="es-CR"/>
              </w:rPr>
            </w:pPr>
            <w:r>
              <w:rPr>
                <w:rFonts w:ascii="Arial" w:hAnsi="Arial" w:cs="Arial"/>
                <w:b/>
                <w:bCs/>
                <w:sz w:val="20"/>
                <w:szCs w:val="20"/>
                <w:vertAlign w:val="superscript"/>
                <w:lang w:val="es-CR"/>
              </w:rPr>
              <w:t>2</w:t>
            </w:r>
            <w:r>
              <w:t xml:space="preserve"> </w:t>
            </w:r>
            <w:r w:rsidR="001C5EB1" w:rsidRPr="001C5EB1">
              <w:rPr>
                <w:b/>
                <w:bCs/>
              </w:rPr>
              <w:t>Dra.</w:t>
            </w:r>
            <w:r w:rsidR="001C5EB1">
              <w:t xml:space="preserve"> </w:t>
            </w:r>
            <w:proofErr w:type="spellStart"/>
            <w:r w:rsidR="00D83F9E" w:rsidRPr="00D83F9E">
              <w:rPr>
                <w:rFonts w:ascii="Arial" w:hAnsi="Arial" w:cs="Arial"/>
                <w:b/>
                <w:bCs/>
                <w:sz w:val="20"/>
              </w:rPr>
              <w:t>Marillyn</w:t>
            </w:r>
            <w:proofErr w:type="spellEnd"/>
            <w:r w:rsidR="00D83F9E" w:rsidRPr="00D83F9E">
              <w:rPr>
                <w:rFonts w:ascii="Arial" w:hAnsi="Arial" w:cs="Arial"/>
                <w:b/>
                <w:bCs/>
                <w:sz w:val="20"/>
              </w:rPr>
              <w:t xml:space="preserve"> Valeria Fuentes Madrid</w:t>
            </w:r>
          </w:p>
          <w:p w14:paraId="4B16A497" w14:textId="61D22831" w:rsidR="00221512" w:rsidRPr="00447511" w:rsidRDefault="00447511" w:rsidP="00447511">
            <w:pPr>
              <w:pStyle w:val="Prrafodelista"/>
              <w:spacing w:line="276" w:lineRule="auto"/>
              <w:jc w:val="right"/>
              <w:rPr>
                <w:color w:val="0000FF"/>
                <w:sz w:val="18"/>
                <w:szCs w:val="18"/>
                <w:u w:val="single"/>
                <w:lang w:val="es-CR"/>
              </w:rPr>
            </w:pPr>
            <w:r>
              <w:rPr>
                <w:rFonts w:ascii="Arial" w:hAnsi="Arial" w:cs="Arial"/>
                <w:sz w:val="18"/>
                <w:szCs w:val="18"/>
                <w:lang w:val="es-CR"/>
              </w:rPr>
              <w:t>Investigadora independiente</w:t>
            </w:r>
            <w:r w:rsidRPr="00D83F9E">
              <w:rPr>
                <w:rFonts w:ascii="Arial" w:hAnsi="Arial" w:cs="Arial"/>
                <w:sz w:val="18"/>
                <w:szCs w:val="18"/>
                <w:lang w:val="es-CR"/>
              </w:rPr>
              <w:t xml:space="preserve">, </w:t>
            </w:r>
            <w:r>
              <w:rPr>
                <w:rFonts w:ascii="Arial" w:hAnsi="Arial" w:cs="Arial"/>
                <w:sz w:val="18"/>
                <w:szCs w:val="18"/>
                <w:lang w:val="es-CR"/>
              </w:rPr>
              <w:t>Copán</w:t>
            </w:r>
            <w:r w:rsidRPr="00D83F9E">
              <w:rPr>
                <w:rFonts w:ascii="Arial" w:hAnsi="Arial" w:cs="Arial"/>
                <w:sz w:val="18"/>
                <w:szCs w:val="18"/>
                <w:lang w:val="es-CR"/>
              </w:rPr>
              <w:t>, Honduras</w:t>
            </w:r>
            <w:r w:rsidR="00221512" w:rsidRPr="00447511">
              <w:rPr>
                <w:sz w:val="18"/>
                <w:szCs w:val="18"/>
                <w:lang w:val="es-CR"/>
              </w:rPr>
              <w:t xml:space="preserve"> </w:t>
            </w:r>
          </w:p>
          <w:p w14:paraId="3BC40A58" w14:textId="440C5AF6" w:rsidR="00D950FE" w:rsidRDefault="00430909" w:rsidP="0034384A">
            <w:pPr>
              <w:pStyle w:val="Prrafodelista"/>
              <w:numPr>
                <w:ilvl w:val="0"/>
                <w:numId w:val="1"/>
              </w:numPr>
              <w:jc w:val="right"/>
              <w:rPr>
                <w:sz w:val="18"/>
                <w:szCs w:val="18"/>
                <w:lang w:val="es-CR"/>
              </w:rPr>
            </w:pPr>
            <w:hyperlink r:id="rId15" w:history="1">
              <w:r w:rsidRPr="00643362">
                <w:rPr>
                  <w:rStyle w:val="Hipervnculo"/>
                  <w:sz w:val="18"/>
                  <w:szCs w:val="18"/>
                  <w:lang w:val="es-CR"/>
                </w:rPr>
                <w:t>h</w:t>
              </w:r>
              <w:r w:rsidRPr="00643362">
                <w:rPr>
                  <w:rStyle w:val="Hipervnculo"/>
                  <w:sz w:val="18"/>
                  <w:szCs w:val="18"/>
                  <w:lang w:val="es-CR"/>
                </w:rPr>
                <w:t>ttps://orcid.org/0009-0006-0670-1635</w:t>
              </w:r>
            </w:hyperlink>
            <w:r>
              <w:rPr>
                <w:sz w:val="18"/>
                <w:szCs w:val="18"/>
                <w:lang w:val="es-CR"/>
              </w:rPr>
              <w:t xml:space="preserve"> </w:t>
            </w:r>
          </w:p>
          <w:p w14:paraId="700509EF" w14:textId="3FBCF89A" w:rsidR="005860BC" w:rsidRPr="00D950FE" w:rsidRDefault="00221512" w:rsidP="00D950FE">
            <w:pPr>
              <w:jc w:val="right"/>
              <w:rPr>
                <w:sz w:val="18"/>
                <w:szCs w:val="18"/>
                <w:lang w:val="es-CR"/>
              </w:rPr>
            </w:pPr>
            <w:r w:rsidRPr="00D950FE">
              <w:rPr>
                <w:sz w:val="18"/>
                <w:szCs w:val="18"/>
                <w:lang w:val="es-CR"/>
              </w:rPr>
              <w:t xml:space="preserve">   </w:t>
            </w:r>
          </w:p>
        </w:tc>
      </w:tr>
      <w:tr w:rsidR="005860BC" w14:paraId="46C2D20E" w14:textId="77777777" w:rsidTr="00221512">
        <w:trPr>
          <w:trHeight w:val="432"/>
          <w:jc w:val="center"/>
        </w:trPr>
        <w:tc>
          <w:tcPr>
            <w:tcW w:w="3594" w:type="dxa"/>
            <w:gridSpan w:val="3"/>
            <w:vAlign w:val="center"/>
          </w:tcPr>
          <w:p w14:paraId="1E435277" w14:textId="77777777" w:rsidR="005860BC" w:rsidRPr="00DC377F" w:rsidRDefault="005860BC" w:rsidP="003757A9">
            <w:pPr>
              <w:spacing w:line="276" w:lineRule="auto"/>
              <w:jc w:val="center"/>
              <w:rPr>
                <w:rFonts w:ascii="Arial" w:eastAsia="Arial" w:hAnsi="Arial" w:cs="Arial"/>
                <w:sz w:val="16"/>
                <w:szCs w:val="16"/>
              </w:rPr>
            </w:pPr>
            <w:r w:rsidRPr="00DC377F">
              <w:rPr>
                <w:rFonts w:ascii="Arial" w:eastAsia="Arial" w:hAnsi="Arial" w:cs="Arial"/>
                <w:sz w:val="16"/>
                <w:szCs w:val="16"/>
              </w:rPr>
              <w:t>Recibido</w:t>
            </w:r>
          </w:p>
          <w:p w14:paraId="17BF52EF" w14:textId="1CEC9F03" w:rsidR="005860BC" w:rsidRPr="00DC377F" w:rsidRDefault="00F01165" w:rsidP="003757A9">
            <w:pPr>
              <w:jc w:val="center"/>
              <w:rPr>
                <w:rFonts w:ascii="Arial" w:eastAsia="Arial" w:hAnsi="Arial" w:cs="Arial"/>
                <w:sz w:val="15"/>
                <w:szCs w:val="15"/>
              </w:rPr>
            </w:pPr>
            <w:r w:rsidRPr="00DC377F">
              <w:rPr>
                <w:rFonts w:ascii="Arial" w:eastAsia="Arial" w:hAnsi="Arial" w:cs="Arial"/>
                <w:sz w:val="15"/>
                <w:szCs w:val="15"/>
              </w:rPr>
              <w:t>11</w:t>
            </w:r>
            <w:r w:rsidR="005860BC" w:rsidRPr="00DC377F">
              <w:rPr>
                <w:rFonts w:ascii="Arial" w:eastAsia="Arial" w:hAnsi="Arial" w:cs="Arial"/>
                <w:sz w:val="15"/>
                <w:szCs w:val="15"/>
              </w:rPr>
              <w:t>/</w:t>
            </w:r>
            <w:r w:rsidR="00DC377F" w:rsidRPr="00DC377F">
              <w:rPr>
                <w:rFonts w:ascii="Arial" w:eastAsia="Arial" w:hAnsi="Arial" w:cs="Arial"/>
                <w:sz w:val="15"/>
                <w:szCs w:val="15"/>
              </w:rPr>
              <w:t>02</w:t>
            </w:r>
            <w:r w:rsidR="005860BC" w:rsidRPr="00DC377F">
              <w:rPr>
                <w:rFonts w:ascii="Arial" w:eastAsia="Arial" w:hAnsi="Arial" w:cs="Arial"/>
                <w:sz w:val="15"/>
                <w:szCs w:val="15"/>
              </w:rPr>
              <w:t>/202</w:t>
            </w:r>
            <w:r w:rsidR="00191678" w:rsidRPr="00DC377F">
              <w:rPr>
                <w:rFonts w:ascii="Arial" w:eastAsia="Arial" w:hAnsi="Arial" w:cs="Arial"/>
                <w:sz w:val="15"/>
                <w:szCs w:val="15"/>
              </w:rPr>
              <w:t>4</w:t>
            </w:r>
          </w:p>
          <w:p w14:paraId="21DD5B0A" w14:textId="77777777" w:rsidR="005860BC" w:rsidRPr="00DC377F" w:rsidRDefault="005860BC" w:rsidP="003757A9">
            <w:pPr>
              <w:jc w:val="center"/>
              <w:rPr>
                <w:rFonts w:ascii="Arial" w:eastAsia="Arial" w:hAnsi="Arial" w:cs="Arial"/>
                <w:sz w:val="15"/>
                <w:szCs w:val="15"/>
              </w:rPr>
            </w:pPr>
          </w:p>
        </w:tc>
        <w:tc>
          <w:tcPr>
            <w:tcW w:w="2467" w:type="dxa"/>
            <w:gridSpan w:val="2"/>
            <w:vAlign w:val="center"/>
          </w:tcPr>
          <w:p w14:paraId="43FA5BA9" w14:textId="77777777" w:rsidR="005860BC" w:rsidRPr="00DC377F" w:rsidRDefault="005860BC" w:rsidP="003757A9">
            <w:pPr>
              <w:spacing w:line="276" w:lineRule="auto"/>
              <w:jc w:val="center"/>
              <w:rPr>
                <w:rFonts w:ascii="Arial" w:eastAsia="Arial" w:hAnsi="Arial" w:cs="Arial"/>
                <w:sz w:val="16"/>
                <w:szCs w:val="16"/>
              </w:rPr>
            </w:pPr>
            <w:r w:rsidRPr="00DC377F">
              <w:rPr>
                <w:rFonts w:ascii="Arial" w:eastAsia="Arial" w:hAnsi="Arial" w:cs="Arial"/>
                <w:sz w:val="16"/>
                <w:szCs w:val="16"/>
              </w:rPr>
              <w:t>Corregido</w:t>
            </w:r>
          </w:p>
          <w:p w14:paraId="769B31BE" w14:textId="636C8F22" w:rsidR="005860BC" w:rsidRPr="00DC377F" w:rsidRDefault="00DC377F" w:rsidP="003757A9">
            <w:pPr>
              <w:jc w:val="center"/>
              <w:rPr>
                <w:rFonts w:ascii="Arial" w:eastAsia="Arial" w:hAnsi="Arial" w:cs="Arial"/>
                <w:sz w:val="15"/>
                <w:szCs w:val="15"/>
              </w:rPr>
            </w:pPr>
            <w:r w:rsidRPr="00DC377F">
              <w:rPr>
                <w:rFonts w:ascii="Arial" w:eastAsia="Arial" w:hAnsi="Arial" w:cs="Arial"/>
                <w:sz w:val="15"/>
                <w:szCs w:val="15"/>
              </w:rPr>
              <w:t>19</w:t>
            </w:r>
            <w:r w:rsidR="005860BC" w:rsidRPr="00DC377F">
              <w:rPr>
                <w:rFonts w:ascii="Arial" w:eastAsia="Arial" w:hAnsi="Arial" w:cs="Arial"/>
                <w:sz w:val="15"/>
                <w:szCs w:val="15"/>
              </w:rPr>
              <w:t>/</w:t>
            </w:r>
            <w:r w:rsidRPr="00DC377F">
              <w:rPr>
                <w:rFonts w:ascii="Arial" w:eastAsia="Arial" w:hAnsi="Arial" w:cs="Arial"/>
                <w:sz w:val="15"/>
                <w:szCs w:val="15"/>
              </w:rPr>
              <w:t>03</w:t>
            </w:r>
            <w:r w:rsidR="00191678" w:rsidRPr="00DC377F">
              <w:rPr>
                <w:rFonts w:ascii="Arial" w:eastAsia="Arial" w:hAnsi="Arial" w:cs="Arial"/>
                <w:sz w:val="15"/>
                <w:szCs w:val="15"/>
              </w:rPr>
              <w:t>/2024</w:t>
            </w:r>
          </w:p>
          <w:p w14:paraId="3AD02D93" w14:textId="77777777" w:rsidR="005860BC" w:rsidRPr="00DC377F" w:rsidRDefault="005860BC" w:rsidP="003757A9">
            <w:pPr>
              <w:jc w:val="center"/>
              <w:rPr>
                <w:rFonts w:ascii="Arial" w:eastAsia="Arial" w:hAnsi="Arial" w:cs="Arial"/>
                <w:sz w:val="15"/>
                <w:szCs w:val="15"/>
              </w:rPr>
            </w:pPr>
          </w:p>
        </w:tc>
        <w:tc>
          <w:tcPr>
            <w:tcW w:w="3365" w:type="dxa"/>
            <w:gridSpan w:val="2"/>
            <w:vAlign w:val="center"/>
          </w:tcPr>
          <w:p w14:paraId="5F713B70" w14:textId="77777777" w:rsidR="005860BC" w:rsidRPr="00DC377F" w:rsidRDefault="005860BC" w:rsidP="003757A9">
            <w:pPr>
              <w:jc w:val="center"/>
              <w:rPr>
                <w:rFonts w:ascii="Arial" w:hAnsi="Arial" w:cs="Arial"/>
                <w:sz w:val="16"/>
                <w:szCs w:val="16"/>
              </w:rPr>
            </w:pPr>
            <w:r w:rsidRPr="00DC377F">
              <w:rPr>
                <w:rFonts w:ascii="Arial" w:hAnsi="Arial" w:cs="Arial"/>
                <w:sz w:val="16"/>
                <w:szCs w:val="16"/>
              </w:rPr>
              <w:t>Aceptado</w:t>
            </w:r>
          </w:p>
          <w:p w14:paraId="3CCE9887" w14:textId="6A476B91" w:rsidR="00C21442" w:rsidRPr="00DC377F" w:rsidRDefault="00DC377F" w:rsidP="00C21442">
            <w:pPr>
              <w:jc w:val="center"/>
              <w:rPr>
                <w:rFonts w:ascii="Arial" w:eastAsia="Arial" w:hAnsi="Arial" w:cs="Arial"/>
                <w:sz w:val="15"/>
                <w:szCs w:val="15"/>
              </w:rPr>
            </w:pPr>
            <w:r w:rsidRPr="00DC377F">
              <w:rPr>
                <w:rFonts w:ascii="Arial" w:eastAsia="Arial" w:hAnsi="Arial" w:cs="Arial"/>
                <w:sz w:val="15"/>
                <w:szCs w:val="15"/>
              </w:rPr>
              <w:t>20</w:t>
            </w:r>
            <w:r w:rsidR="0073664C" w:rsidRPr="00DC377F">
              <w:rPr>
                <w:rFonts w:ascii="Arial" w:eastAsia="Arial" w:hAnsi="Arial" w:cs="Arial"/>
                <w:sz w:val="15"/>
                <w:szCs w:val="15"/>
              </w:rPr>
              <w:t>/</w:t>
            </w:r>
            <w:r w:rsidRPr="00DC377F">
              <w:rPr>
                <w:rFonts w:ascii="Arial" w:eastAsia="Arial" w:hAnsi="Arial" w:cs="Arial"/>
                <w:sz w:val="15"/>
                <w:szCs w:val="15"/>
              </w:rPr>
              <w:t>03</w:t>
            </w:r>
            <w:r w:rsidR="00191678" w:rsidRPr="00DC377F">
              <w:rPr>
                <w:rFonts w:ascii="Arial" w:eastAsia="Arial" w:hAnsi="Arial" w:cs="Arial"/>
                <w:sz w:val="15"/>
                <w:szCs w:val="15"/>
              </w:rPr>
              <w:t>/2024</w:t>
            </w:r>
          </w:p>
          <w:p w14:paraId="6C63ABCD" w14:textId="77777777" w:rsidR="005860BC" w:rsidRPr="00DC377F" w:rsidRDefault="005860BC" w:rsidP="003757A9">
            <w:pPr>
              <w:jc w:val="center"/>
              <w:rPr>
                <w:rFonts w:ascii="Arial" w:eastAsia="Arial" w:hAnsi="Arial" w:cs="Arial"/>
                <w:sz w:val="15"/>
                <w:szCs w:val="15"/>
              </w:rPr>
            </w:pPr>
          </w:p>
        </w:tc>
      </w:tr>
      <w:tr w:rsidR="00221512" w:rsidRPr="00221512" w14:paraId="4DE2D6FF" w14:textId="77777777" w:rsidTr="00221512">
        <w:tblPrEx>
          <w:jc w:val="left"/>
        </w:tblPrEx>
        <w:tc>
          <w:tcPr>
            <w:tcW w:w="9426" w:type="dxa"/>
            <w:gridSpan w:val="7"/>
            <w:shd w:val="clear" w:color="auto" w:fill="C6D9F1" w:themeFill="text2" w:themeFillTint="33"/>
          </w:tcPr>
          <w:p w14:paraId="403E5B12" w14:textId="77777777" w:rsidR="00221512" w:rsidRPr="00EC0E85" w:rsidRDefault="00221512" w:rsidP="00221512">
            <w:pPr>
              <w:spacing w:line="276" w:lineRule="auto"/>
              <w:jc w:val="both"/>
              <w:rPr>
                <w:rFonts w:eastAsia="Arial" w:cstheme="minorHAnsi"/>
              </w:rPr>
            </w:pPr>
          </w:p>
          <w:p w14:paraId="33388833" w14:textId="77777777" w:rsidR="00221512" w:rsidRPr="00EC0E85" w:rsidRDefault="00221512" w:rsidP="00221512">
            <w:pPr>
              <w:shd w:val="clear" w:color="auto" w:fill="C6D9F1"/>
              <w:spacing w:line="276" w:lineRule="auto"/>
              <w:ind w:right="56"/>
              <w:jc w:val="center"/>
              <w:rPr>
                <w:rFonts w:eastAsia="Arial" w:cstheme="minorHAnsi"/>
                <w:b/>
                <w:sz w:val="24"/>
              </w:rPr>
            </w:pPr>
            <w:r w:rsidRPr="00EC0E85">
              <w:rPr>
                <w:rFonts w:cstheme="minorHAnsi"/>
                <w:b/>
              </w:rPr>
              <w:t>RESUMEN</w:t>
            </w:r>
          </w:p>
          <w:p w14:paraId="382DF9D0" w14:textId="237FB045" w:rsidR="00191678" w:rsidRDefault="00D83F9E" w:rsidP="00191678">
            <w:pPr>
              <w:spacing w:line="276" w:lineRule="auto"/>
              <w:jc w:val="both"/>
              <w:rPr>
                <w:rFonts w:ascii="Arial" w:eastAsia="Times New Roman" w:hAnsi="Arial" w:cs="Arial"/>
              </w:rPr>
            </w:pPr>
            <w:r w:rsidRPr="00D83F9E">
              <w:rPr>
                <w:rFonts w:ascii="Arial" w:hAnsi="Arial" w:cs="Arial"/>
              </w:rPr>
              <w:t>Este artículo de publicación presenta una investigación sobre el impacto de la vacunación para la disminución de la mortalidad y la positividad de casos de COVID-19 en Honduras. Se recopilaron datos de hospitales y centros de salud en la Región Metropolitana de San Pedro Sula y la región de salud departamental de Copán. Se analizó un total de 123 148 muestras, de las cuales 47 578 fueron positivas, con una positividad del 38.63%. Se registraron 1827 fallecimientos en ambos lugares. Además, se observó una reducción en el número de muertes en los meses de octubre y noviembre, debido a la participación en el proceso de vacunación. Se destaca la importancia de que las personas que aún no se han vacunado lo hagan.</w:t>
            </w:r>
          </w:p>
          <w:p w14:paraId="4BD7D16D" w14:textId="677615C4" w:rsidR="00221512" w:rsidRPr="00EC0E85" w:rsidRDefault="00221512" w:rsidP="00221512">
            <w:pPr>
              <w:widowControl w:val="0"/>
              <w:pBdr>
                <w:top w:val="nil"/>
                <w:left w:val="nil"/>
                <w:bottom w:val="nil"/>
                <w:right w:val="nil"/>
                <w:between w:val="nil"/>
              </w:pBdr>
              <w:shd w:val="clear" w:color="auto" w:fill="C6D9F1"/>
              <w:spacing w:line="276" w:lineRule="auto"/>
              <w:ind w:left="22" w:right="56" w:hanging="22"/>
              <w:jc w:val="both"/>
              <w:rPr>
                <w:rFonts w:cstheme="minorHAnsi"/>
              </w:rPr>
            </w:pPr>
          </w:p>
          <w:p w14:paraId="318A21C2" w14:textId="3723923F" w:rsidR="00221512" w:rsidRPr="00EC0E85" w:rsidRDefault="00221512" w:rsidP="00221512">
            <w:pPr>
              <w:widowControl w:val="0"/>
              <w:pBdr>
                <w:top w:val="nil"/>
                <w:left w:val="nil"/>
                <w:bottom w:val="nil"/>
                <w:right w:val="nil"/>
                <w:between w:val="nil"/>
              </w:pBdr>
              <w:shd w:val="clear" w:color="auto" w:fill="C6D9F1"/>
              <w:spacing w:line="276" w:lineRule="auto"/>
              <w:ind w:right="56"/>
              <w:jc w:val="both"/>
              <w:rPr>
                <w:rFonts w:eastAsia="Arial" w:cstheme="minorHAnsi"/>
              </w:rPr>
            </w:pPr>
            <w:r w:rsidRPr="00EC0E85">
              <w:rPr>
                <w:rFonts w:cstheme="minorHAnsi"/>
                <w:b/>
              </w:rPr>
              <w:t>PALABRAS CLAVE:</w:t>
            </w:r>
            <w:r w:rsidRPr="00EC0E85">
              <w:rPr>
                <w:rFonts w:cstheme="minorHAnsi"/>
              </w:rPr>
              <w:t xml:space="preserve"> </w:t>
            </w:r>
            <w:r w:rsidR="00D83F9E" w:rsidRPr="00D83F9E">
              <w:rPr>
                <w:rFonts w:ascii="Arial" w:eastAsia="Times New Roman" w:hAnsi="Arial" w:cs="Arial"/>
              </w:rPr>
              <w:t>COVID-19</w:t>
            </w:r>
            <w:r w:rsidR="003E0BEB">
              <w:rPr>
                <w:rFonts w:ascii="Arial" w:eastAsia="Times New Roman" w:hAnsi="Arial" w:cs="Arial"/>
              </w:rPr>
              <w:t>;</w:t>
            </w:r>
            <w:r w:rsidR="00D83F9E" w:rsidRPr="00D83F9E">
              <w:rPr>
                <w:rFonts w:ascii="Arial" w:eastAsia="Times New Roman" w:hAnsi="Arial" w:cs="Arial"/>
              </w:rPr>
              <w:t xml:space="preserve"> región</w:t>
            </w:r>
            <w:r w:rsidR="003E0BEB">
              <w:rPr>
                <w:rFonts w:ascii="Arial" w:eastAsia="Times New Roman" w:hAnsi="Arial" w:cs="Arial"/>
              </w:rPr>
              <w:t>;</w:t>
            </w:r>
            <w:r w:rsidR="00D83F9E" w:rsidRPr="00D83F9E">
              <w:rPr>
                <w:rFonts w:ascii="Arial" w:eastAsia="Times New Roman" w:hAnsi="Arial" w:cs="Arial"/>
              </w:rPr>
              <w:t xml:space="preserve"> positividad</w:t>
            </w:r>
            <w:r w:rsidR="003E0BEB">
              <w:rPr>
                <w:rFonts w:ascii="Arial" w:eastAsia="Times New Roman" w:hAnsi="Arial" w:cs="Arial"/>
              </w:rPr>
              <w:t>;</w:t>
            </w:r>
            <w:r w:rsidR="00D83F9E" w:rsidRPr="00D83F9E">
              <w:rPr>
                <w:rFonts w:ascii="Arial" w:eastAsia="Times New Roman" w:hAnsi="Arial" w:cs="Arial"/>
              </w:rPr>
              <w:t xml:space="preserve"> fallecimiento</w:t>
            </w:r>
            <w:r w:rsidR="003E0BEB">
              <w:rPr>
                <w:rFonts w:ascii="Arial" w:eastAsia="Times New Roman" w:hAnsi="Arial" w:cs="Arial"/>
              </w:rPr>
              <w:t>;</w:t>
            </w:r>
            <w:r w:rsidR="00D83F9E" w:rsidRPr="00D83F9E">
              <w:rPr>
                <w:rFonts w:ascii="Arial" w:eastAsia="Times New Roman" w:hAnsi="Arial" w:cs="Arial"/>
              </w:rPr>
              <w:t xml:space="preserve"> comparación.</w:t>
            </w:r>
          </w:p>
          <w:p w14:paraId="1B3DDD2E"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hanging="691"/>
              <w:jc w:val="both"/>
              <w:rPr>
                <w:rFonts w:eastAsia="Arial" w:cstheme="minorHAnsi"/>
              </w:rPr>
            </w:pPr>
          </w:p>
          <w:p w14:paraId="2F5AEF0D"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jc w:val="center"/>
              <w:rPr>
                <w:rFonts w:eastAsia="Arial" w:cstheme="minorHAnsi"/>
                <w:b/>
                <w:lang w:val="en-US"/>
              </w:rPr>
            </w:pPr>
            <w:r w:rsidRPr="00EC0E85">
              <w:rPr>
                <w:rFonts w:cstheme="minorHAnsi"/>
                <w:b/>
                <w:lang w:val="en-US"/>
              </w:rPr>
              <w:t>ABSTRACT</w:t>
            </w:r>
          </w:p>
          <w:p w14:paraId="30C554AE" w14:textId="41BE41DD" w:rsidR="0034384A" w:rsidRDefault="00D83F9E" w:rsidP="0034384A">
            <w:pPr>
              <w:spacing w:line="276" w:lineRule="auto"/>
              <w:jc w:val="both"/>
              <w:rPr>
                <w:rFonts w:ascii="Arial" w:hAnsi="Arial" w:cs="Arial"/>
                <w:lang w:val="en-US"/>
              </w:rPr>
            </w:pPr>
            <w:r w:rsidRPr="00D83F9E">
              <w:rPr>
                <w:rFonts w:ascii="Arial" w:hAnsi="Arial" w:cs="Arial"/>
                <w:lang w:val="en-US"/>
              </w:rPr>
              <w:t>This publication article presents research on the impact of vaccination on the reduction of mortality and positivity of COVID-19 cases in Honduras. Data were collected from hospitals and healthcare centers in the Metropolitan Region of San Pedro Sula and the Copán Departmental Health Region. A total of 123,148 samples were analyzed, of which 47,578 were positive, with a positivity rate of 38.63%. There were 1,827 deaths recorded in both locations. Additionally, a reduction in the number of deaths was observed in the months of October and November due to participation in the vaccination process. The importance of unvaccinated individuals getting vaccinated is emphasized.</w:t>
            </w:r>
          </w:p>
          <w:p w14:paraId="619C5C33" w14:textId="77777777" w:rsidR="0034384A" w:rsidRDefault="0034384A" w:rsidP="0034384A">
            <w:pPr>
              <w:spacing w:line="276" w:lineRule="auto"/>
              <w:jc w:val="both"/>
              <w:rPr>
                <w:rFonts w:ascii="Arial" w:hAnsi="Arial" w:cs="Arial"/>
                <w:lang w:val="en-US"/>
              </w:rPr>
            </w:pPr>
          </w:p>
          <w:p w14:paraId="7BD13174" w14:textId="7D62D88C" w:rsidR="00221512" w:rsidRPr="00221512" w:rsidRDefault="00221512" w:rsidP="00221512">
            <w:pPr>
              <w:spacing w:line="276" w:lineRule="auto"/>
              <w:rPr>
                <w:sz w:val="20"/>
                <w:lang w:val="en-US"/>
              </w:rPr>
            </w:pPr>
            <w:r w:rsidRPr="00EC0E85">
              <w:rPr>
                <w:rFonts w:cstheme="minorHAnsi"/>
                <w:b/>
                <w:bCs/>
                <w:lang w:val="en-US"/>
              </w:rPr>
              <w:t>KEYWORDS:</w:t>
            </w:r>
            <w:r w:rsidRPr="00EC0E85">
              <w:rPr>
                <w:rFonts w:cstheme="minorHAnsi"/>
                <w:lang w:val="en-US"/>
              </w:rPr>
              <w:t xml:space="preserve"> </w:t>
            </w:r>
            <w:r w:rsidR="00D83F9E" w:rsidRPr="00D83F9E">
              <w:rPr>
                <w:rFonts w:ascii="Arial" w:hAnsi="Arial" w:cs="Arial"/>
                <w:lang w:val="en-US"/>
              </w:rPr>
              <w:t>COVID-19</w:t>
            </w:r>
            <w:r w:rsidR="003E0BEB">
              <w:rPr>
                <w:rFonts w:ascii="Arial" w:hAnsi="Arial" w:cs="Arial"/>
                <w:lang w:val="en-US"/>
              </w:rPr>
              <w:t>;</w:t>
            </w:r>
            <w:r w:rsidR="00D83F9E" w:rsidRPr="00D83F9E">
              <w:rPr>
                <w:rFonts w:ascii="Arial" w:hAnsi="Arial" w:cs="Arial"/>
                <w:lang w:val="en-US"/>
              </w:rPr>
              <w:t xml:space="preserve"> region</w:t>
            </w:r>
            <w:r w:rsidR="003E0BEB">
              <w:rPr>
                <w:rFonts w:ascii="Arial" w:hAnsi="Arial" w:cs="Arial"/>
                <w:lang w:val="en-US"/>
              </w:rPr>
              <w:t>;</w:t>
            </w:r>
            <w:r w:rsidR="00D83F9E" w:rsidRPr="00D83F9E">
              <w:rPr>
                <w:rFonts w:ascii="Arial" w:hAnsi="Arial" w:cs="Arial"/>
                <w:lang w:val="en-US"/>
              </w:rPr>
              <w:t xml:space="preserve"> positivity</w:t>
            </w:r>
            <w:r w:rsidR="003E0BEB">
              <w:rPr>
                <w:rFonts w:ascii="Arial" w:hAnsi="Arial" w:cs="Arial"/>
                <w:lang w:val="en-US"/>
              </w:rPr>
              <w:t>;</w:t>
            </w:r>
            <w:r w:rsidR="00D83F9E" w:rsidRPr="00D83F9E">
              <w:rPr>
                <w:rFonts w:ascii="Arial" w:hAnsi="Arial" w:cs="Arial"/>
                <w:lang w:val="en-US"/>
              </w:rPr>
              <w:t xml:space="preserve"> death</w:t>
            </w:r>
            <w:r w:rsidR="003E0BEB">
              <w:rPr>
                <w:rFonts w:ascii="Arial" w:hAnsi="Arial" w:cs="Arial"/>
                <w:lang w:val="en-US"/>
              </w:rPr>
              <w:t>;</w:t>
            </w:r>
            <w:r w:rsidR="00D83F9E" w:rsidRPr="00D83F9E">
              <w:rPr>
                <w:rFonts w:ascii="Arial" w:hAnsi="Arial" w:cs="Arial"/>
                <w:lang w:val="en-US"/>
              </w:rPr>
              <w:t xml:space="preserve"> comparison.</w:t>
            </w:r>
          </w:p>
        </w:tc>
      </w:tr>
      <w:tr w:rsidR="00221512" w:rsidRPr="00E21E02" w14:paraId="4ECC3E1F" w14:textId="77777777" w:rsidTr="00221512">
        <w:trPr>
          <w:trHeight w:val="579"/>
          <w:jc w:val="center"/>
        </w:trPr>
        <w:tc>
          <w:tcPr>
            <w:tcW w:w="9426" w:type="dxa"/>
            <w:gridSpan w:val="7"/>
            <w:shd w:val="clear" w:color="auto" w:fill="FFFFFF" w:themeFill="background1"/>
          </w:tcPr>
          <w:p w14:paraId="66FDE8D0" w14:textId="77777777" w:rsidR="00221512" w:rsidRPr="00221512" w:rsidRDefault="00221512" w:rsidP="00221512">
            <w:pPr>
              <w:pStyle w:val="NormalWeb"/>
              <w:spacing w:before="160" w:after="0" w:afterAutospacing="0"/>
              <w:jc w:val="both"/>
              <w:rPr>
                <w:rFonts w:ascii="Arial" w:hAnsi="Arial" w:cs="Arial"/>
                <w:sz w:val="14"/>
                <w:szCs w:val="14"/>
                <w:vertAlign w:val="superscript"/>
              </w:rPr>
            </w:pPr>
          </w:p>
          <w:p w14:paraId="5A0E8A5F" w14:textId="26BD9BE0" w:rsidR="00330A98" w:rsidRDefault="00221512" w:rsidP="00221512">
            <w:pPr>
              <w:pStyle w:val="NormalWeb"/>
              <w:spacing w:before="0" w:beforeAutospacing="0" w:after="0" w:afterAutospacing="0"/>
              <w:jc w:val="both"/>
              <w:rPr>
                <w:rFonts w:ascii="Arial" w:eastAsiaTheme="minorHAnsi" w:hAnsi="Arial" w:cs="Arial"/>
                <w:sz w:val="14"/>
                <w:szCs w:val="14"/>
                <w:lang w:val="es-ES"/>
              </w:rPr>
            </w:pPr>
            <w:r w:rsidRPr="000D6A22">
              <w:rPr>
                <w:rFonts w:ascii="Arial" w:hAnsi="Arial" w:cs="Arial"/>
                <w:sz w:val="14"/>
                <w:szCs w:val="14"/>
                <w:vertAlign w:val="superscript"/>
                <w:lang w:val="es-CR"/>
              </w:rPr>
              <w:t xml:space="preserve">1 </w:t>
            </w:r>
            <w:r w:rsidR="00AB20EA" w:rsidRPr="00AB20EA">
              <w:rPr>
                <w:rFonts w:ascii="Arial" w:eastAsiaTheme="minorHAnsi" w:hAnsi="Arial" w:cs="Arial"/>
                <w:sz w:val="14"/>
                <w:szCs w:val="14"/>
                <w:lang w:val="es-ES"/>
              </w:rPr>
              <w:t>Médica general, graduada de la Universidad Católica de Honduras (UNICAH). Correo: rkeila92@gmail.com</w:t>
            </w:r>
          </w:p>
          <w:p w14:paraId="397B6B32" w14:textId="1EAA3BA8" w:rsidR="00330A98" w:rsidRPr="00A26B89" w:rsidRDefault="00221512" w:rsidP="00D83F9E">
            <w:pPr>
              <w:pStyle w:val="NormalWeb"/>
              <w:spacing w:before="0" w:beforeAutospacing="0" w:after="0" w:afterAutospacing="0"/>
              <w:jc w:val="both"/>
              <w:rPr>
                <w:rFonts w:ascii="Arial" w:hAnsi="Arial" w:cs="Arial"/>
                <w:sz w:val="14"/>
                <w:szCs w:val="14"/>
                <w:lang w:val="es-CR"/>
              </w:rPr>
            </w:pPr>
            <w:r>
              <w:rPr>
                <w:rFonts w:ascii="Arial" w:hAnsi="Arial" w:cs="Arial"/>
                <w:sz w:val="14"/>
                <w:szCs w:val="14"/>
                <w:vertAlign w:val="superscript"/>
                <w:lang w:val="es-CR"/>
              </w:rPr>
              <w:t>2</w:t>
            </w:r>
            <w:r w:rsidRPr="000D6A22">
              <w:rPr>
                <w:rFonts w:ascii="Arial" w:hAnsi="Arial" w:cs="Arial"/>
                <w:sz w:val="14"/>
                <w:szCs w:val="14"/>
                <w:vertAlign w:val="superscript"/>
                <w:lang w:val="es-CR"/>
              </w:rPr>
              <w:t xml:space="preserve"> </w:t>
            </w:r>
            <w:r w:rsidR="00E21E02" w:rsidRPr="00E21E02">
              <w:rPr>
                <w:rFonts w:ascii="Arial" w:hAnsi="Arial" w:cs="Arial"/>
                <w:sz w:val="14"/>
                <w:szCs w:val="14"/>
                <w:lang w:val="es-CR"/>
              </w:rPr>
              <w:t>Médica general, graduada de la Universidad Católica de Honduras (UNICAH). Correo: marillynfuentes18@gmail.com</w:t>
            </w: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590B18">
      <w:pPr>
        <w:pStyle w:val="Ttulo1"/>
        <w:spacing w:after="0"/>
        <w:ind w:right="-45"/>
        <w:jc w:val="left"/>
        <w:sectPr w:rsidR="001D7EE2" w:rsidRPr="004D7BD5" w:rsidSect="000324D1">
          <w:headerReference w:type="default" r:id="rId16"/>
          <w:footerReference w:type="default" r:id="rId17"/>
          <w:footerReference w:type="first" r:id="rId18"/>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8F4548">
      <w:pPr>
        <w:pStyle w:val="Ttulo"/>
      </w:pPr>
      <w:r w:rsidRPr="008F4548">
        <w:lastRenderedPageBreak/>
        <w:t>INTRODUCCIÓN</w:t>
      </w:r>
    </w:p>
    <w:p w14:paraId="0EF7799C" w14:textId="77777777" w:rsidR="00D83F9E" w:rsidRPr="00D83F9E" w:rsidRDefault="00D83F9E" w:rsidP="00D83F9E">
      <w:pPr>
        <w:tabs>
          <w:tab w:val="left" w:pos="3300"/>
        </w:tabs>
        <w:jc w:val="both"/>
        <w:rPr>
          <w:lang w:val="es-CR"/>
        </w:rPr>
      </w:pPr>
      <w:r w:rsidRPr="00D83F9E">
        <w:rPr>
          <w:lang w:val="es-CR"/>
        </w:rPr>
        <w:t>En el siglo XXI, Honduras y el mundo se han enfrentado a una problemática de salud sin precedentes causada por la aparición del coronavirus, una enfermedad que ha cambiado nuestras vidas y ha tenido un impacto significativo en diversos aspectos. La COVID-19, también conocida como enfermedad por el nuevo coronavirus, es causada por el coronavirus 2 del síndrome respiratorio agudo severo (SARS-CoV-2). Este virus, con una forma redonda u ovalada y una estructura en forma de barra en su superficie, fue identificado por primera vez en Wuhan, China, en diciembre de 2019 (1,3,5).</w:t>
      </w:r>
    </w:p>
    <w:p w14:paraId="47011C67" w14:textId="77777777" w:rsidR="00D83F9E" w:rsidRPr="00D83F9E" w:rsidRDefault="00D83F9E" w:rsidP="00D83F9E">
      <w:pPr>
        <w:tabs>
          <w:tab w:val="left" w:pos="3300"/>
        </w:tabs>
        <w:jc w:val="both"/>
        <w:rPr>
          <w:lang w:val="es-CR"/>
        </w:rPr>
      </w:pPr>
      <w:r w:rsidRPr="00D83F9E">
        <w:rPr>
          <w:lang w:val="es-CR"/>
        </w:rPr>
        <w:t>La rápida propagación de la enfermedad llevó a que la Organización Mundial de la Salud la declarara una emergencia sanitaria de preocupación internacional, y posteriormente la reconociera como una pandemia en marzo de 2020 (25). En Honduras, los primeros casos se registraron en marzo de ese mismo año, con dos compatriotas que ingresaron al país desde el extranjero (2).</w:t>
      </w:r>
    </w:p>
    <w:p w14:paraId="10AB873E" w14:textId="77777777" w:rsidR="00D83F9E" w:rsidRPr="00D83F9E" w:rsidRDefault="00D83F9E" w:rsidP="00D83F9E">
      <w:pPr>
        <w:tabs>
          <w:tab w:val="left" w:pos="3300"/>
        </w:tabs>
        <w:jc w:val="both"/>
        <w:rPr>
          <w:lang w:val="es-CR"/>
        </w:rPr>
      </w:pPr>
      <w:r w:rsidRPr="00D83F9E">
        <w:rPr>
          <w:lang w:val="es-CR"/>
        </w:rPr>
        <w:t>Hasta enero de 2022, a nivel mundial se han reportado más de 307 millones de casos y 5.49 millones de muertes, mientras que en Honduras se han registrado 381 284 casos positivos, 126 810 recuperados y 10 444 fallecimientos. A pesar de la disponibilidad de vacunas, la aceptación de la vacunación en la población hondureña ha sido desigual debido a la difusión de teorías falsas (4).</w:t>
      </w:r>
    </w:p>
    <w:p w14:paraId="1F70179D" w14:textId="77777777" w:rsidR="00D83F9E" w:rsidRPr="00D83F9E" w:rsidRDefault="00D83F9E" w:rsidP="00D83F9E">
      <w:pPr>
        <w:tabs>
          <w:tab w:val="left" w:pos="3300"/>
        </w:tabs>
        <w:jc w:val="both"/>
        <w:rPr>
          <w:lang w:val="es-CR"/>
        </w:rPr>
      </w:pPr>
      <w:r w:rsidRPr="00D83F9E">
        <w:rPr>
          <w:lang w:val="es-CR"/>
        </w:rPr>
        <w:t>No obstante, se ha observado una reducción en hospitalizaciones y muertes relacionadas tras la aplicación de diferentes vacunas. Hasta enero de 2022, se han administrado más de 9 561 765 dosis en Honduras, excluyendo a las personas en el extranjero y a los menores de 12 años (6,8).</w:t>
      </w:r>
    </w:p>
    <w:p w14:paraId="2A469D74" w14:textId="77777777" w:rsidR="00D83F9E" w:rsidRPr="00D83F9E" w:rsidRDefault="00D83F9E" w:rsidP="00D83F9E">
      <w:pPr>
        <w:tabs>
          <w:tab w:val="left" w:pos="3300"/>
        </w:tabs>
        <w:jc w:val="both"/>
        <w:rPr>
          <w:lang w:val="es-CR"/>
        </w:rPr>
      </w:pPr>
      <w:r w:rsidRPr="00D83F9E">
        <w:rPr>
          <w:lang w:val="es-CR"/>
        </w:rPr>
        <w:t xml:space="preserve">Aunque persisten desafíos para lograr una cobertura vacunal amplia, es importante </w:t>
      </w:r>
      <w:r w:rsidRPr="00D83F9E">
        <w:rPr>
          <w:lang w:val="es-CR"/>
        </w:rPr>
        <w:t>analizar y comparar el impacto de la vacunación en la disminución de hospitalizaciones y muertes debido a la COVID-19 (7).</w:t>
      </w:r>
    </w:p>
    <w:p w14:paraId="7213468D" w14:textId="77777777" w:rsidR="00D83F9E" w:rsidRPr="00D83F9E" w:rsidRDefault="00D83F9E" w:rsidP="00D83F9E">
      <w:pPr>
        <w:tabs>
          <w:tab w:val="left" w:pos="3300"/>
        </w:tabs>
        <w:jc w:val="both"/>
        <w:rPr>
          <w:lang w:val="es-CR"/>
        </w:rPr>
      </w:pPr>
    </w:p>
    <w:p w14:paraId="68868023" w14:textId="29317F42" w:rsidR="00D83F9E" w:rsidRPr="00D83F9E" w:rsidRDefault="00056AAC" w:rsidP="00D83F9E">
      <w:pPr>
        <w:pStyle w:val="Ttulo"/>
      </w:pPr>
      <w:r>
        <w:t>GENERALIDADES</w:t>
      </w:r>
    </w:p>
    <w:p w14:paraId="0AEEB4BB" w14:textId="77777777" w:rsidR="00D83F9E" w:rsidRPr="00D83F9E" w:rsidRDefault="00D83F9E" w:rsidP="00D83F9E">
      <w:pPr>
        <w:tabs>
          <w:tab w:val="left" w:pos="3300"/>
        </w:tabs>
        <w:jc w:val="both"/>
        <w:rPr>
          <w:rFonts w:eastAsia="Calibri"/>
          <w:lang w:val="es-CR"/>
        </w:rPr>
      </w:pPr>
      <w:r w:rsidRPr="00D83F9E">
        <w:rPr>
          <w:rFonts w:eastAsia="Calibri"/>
          <w:lang w:val="es-CR"/>
        </w:rPr>
        <w:t xml:space="preserve">En diciembre de 2019 se reportó una serie de casos de pacientes hospitalizados con una enfermedad nueva caracterizada por neumonía e insuficiencia respiratoria, a causa de un nuevo coronavirus (SARS-CoV-2), en la provincia de Hubei, China. El 11 de febrero de 2020, la Organización Mundial de la Salud nombró este agente etiológico como COVID-19 (Coronavirus </w:t>
      </w:r>
      <w:proofErr w:type="spellStart"/>
      <w:r w:rsidRPr="00D83F9E">
        <w:rPr>
          <w:rFonts w:eastAsia="Calibri"/>
          <w:lang w:val="es-CR"/>
        </w:rPr>
        <w:t>Disease</w:t>
      </w:r>
      <w:proofErr w:type="spellEnd"/>
      <w:r w:rsidRPr="00D83F9E">
        <w:rPr>
          <w:rFonts w:eastAsia="Calibri"/>
          <w:lang w:val="es-CR"/>
        </w:rPr>
        <w:t>, 2019) (24).</w:t>
      </w:r>
    </w:p>
    <w:p w14:paraId="029820A3" w14:textId="77777777" w:rsidR="00D83F9E" w:rsidRPr="00D83F9E" w:rsidRDefault="00D83F9E" w:rsidP="00D83F9E">
      <w:pPr>
        <w:tabs>
          <w:tab w:val="left" w:pos="3300"/>
        </w:tabs>
        <w:jc w:val="both"/>
        <w:rPr>
          <w:b/>
          <w:bCs/>
          <w:sz w:val="24"/>
          <w:szCs w:val="24"/>
          <w:lang w:val="es-CR"/>
        </w:rPr>
      </w:pPr>
      <w:r w:rsidRPr="00D83F9E">
        <w:rPr>
          <w:rFonts w:eastAsia="Calibri"/>
          <w:lang w:val="es-CR"/>
        </w:rPr>
        <w:t xml:space="preserve">Posteriormente, y a pesar de las extensas medidas de contención, la enfermedad ha continuado avanzando hasta afectar al resto de los países de Asia, Medio Oriente y Europa. El 11 de marzo, la COVID-19 fue declarada como pandemia en una rueda de prensa mundial por </w:t>
      </w:r>
      <w:proofErr w:type="spellStart"/>
      <w:r w:rsidRPr="00D83F9E">
        <w:rPr>
          <w:rFonts w:eastAsia="Calibri"/>
          <w:lang w:val="es-CR"/>
        </w:rPr>
        <w:t>Tedros</w:t>
      </w:r>
      <w:proofErr w:type="spellEnd"/>
      <w:r w:rsidRPr="00D83F9E">
        <w:rPr>
          <w:rFonts w:eastAsia="Calibri"/>
          <w:lang w:val="es-CR"/>
        </w:rPr>
        <w:t xml:space="preserve"> </w:t>
      </w:r>
      <w:proofErr w:type="spellStart"/>
      <w:r w:rsidRPr="00D83F9E">
        <w:rPr>
          <w:rFonts w:eastAsia="Calibri"/>
          <w:lang w:val="es-CR"/>
        </w:rPr>
        <w:t>Adhanom</w:t>
      </w:r>
      <w:proofErr w:type="spellEnd"/>
      <w:r w:rsidRPr="00D83F9E">
        <w:rPr>
          <w:rFonts w:eastAsia="Calibri"/>
          <w:lang w:val="es-CR"/>
        </w:rPr>
        <w:t xml:space="preserve"> </w:t>
      </w:r>
      <w:proofErr w:type="spellStart"/>
      <w:r w:rsidRPr="00D83F9E">
        <w:rPr>
          <w:rFonts w:eastAsia="Calibri"/>
          <w:lang w:val="es-CR"/>
        </w:rPr>
        <w:t>Ghebreyesus</w:t>
      </w:r>
      <w:proofErr w:type="spellEnd"/>
      <w:r w:rsidRPr="00D83F9E">
        <w:rPr>
          <w:rFonts w:eastAsia="Calibri"/>
          <w:lang w:val="es-CR"/>
        </w:rPr>
        <w:t>, director general de la Organización Mundial de la Salud (10,11).</w:t>
      </w:r>
    </w:p>
    <w:p w14:paraId="2128B142" w14:textId="77777777" w:rsidR="00D83F9E" w:rsidRPr="00D83F9E" w:rsidRDefault="00D83F9E" w:rsidP="00D83F9E">
      <w:pPr>
        <w:jc w:val="both"/>
        <w:rPr>
          <w:rFonts w:eastAsia="Times New Roman"/>
          <w:lang w:val="es-CR" w:eastAsia="es-HN"/>
        </w:rPr>
      </w:pPr>
      <w:r w:rsidRPr="00D83F9E">
        <w:rPr>
          <w:rFonts w:eastAsia="Times New Roman"/>
          <w:lang w:val="es-CR" w:eastAsia="es-HN"/>
        </w:rPr>
        <w:t>Actualmente, el virus SARS-CoV-2 sigue en circulación y no para de evolucionar. Estos cambios genéticos y antigénicos provocan alteraciones importantes en la proteína S del virus.</w:t>
      </w:r>
    </w:p>
    <w:p w14:paraId="3124F29E" w14:textId="77777777" w:rsidR="00D83F9E" w:rsidRPr="00D83F9E" w:rsidRDefault="00D83F9E" w:rsidP="00D83F9E">
      <w:pPr>
        <w:jc w:val="both"/>
        <w:rPr>
          <w:rFonts w:eastAsia="Times New Roman"/>
          <w:lang w:val="es-CR" w:eastAsia="es-HN"/>
        </w:rPr>
      </w:pPr>
      <w:r w:rsidRPr="00D83F9E">
        <w:rPr>
          <w:rFonts w:eastAsia="Times New Roman"/>
          <w:lang w:val="es-CR" w:eastAsia="es-HN"/>
        </w:rPr>
        <w:t>Las vacunas monovalentes XBB.1.5 dan lugar a la producción de anticuerpos neutralizantes que presentan una amplia reactividad cruzada contra variantes en circulación del virus.</w:t>
      </w:r>
    </w:p>
    <w:p w14:paraId="717C665F" w14:textId="77777777" w:rsidR="00D83F9E" w:rsidRPr="00D83F9E" w:rsidRDefault="00D83F9E" w:rsidP="00D83F9E">
      <w:pPr>
        <w:numPr>
          <w:ilvl w:val="0"/>
          <w:numId w:val="28"/>
        </w:numPr>
        <w:shd w:val="clear" w:color="auto" w:fill="FFFFFF"/>
        <w:tabs>
          <w:tab w:val="clear" w:pos="720"/>
        </w:tabs>
        <w:ind w:left="284" w:hanging="284"/>
        <w:jc w:val="both"/>
        <w:rPr>
          <w:rFonts w:eastAsia="Times New Roman"/>
          <w:lang w:val="es-CR" w:eastAsia="es-HN"/>
        </w:rPr>
      </w:pPr>
      <w:r w:rsidRPr="00D83F9E">
        <w:rPr>
          <w:rFonts w:eastAsia="Times New Roman"/>
          <w:lang w:val="es-CR" w:eastAsia="es-HN"/>
        </w:rPr>
        <w:t xml:space="preserve">El grupo recomienda que, teniendo en cuenta la evolución actual del SARS-CoV-2 y la amplitud de la respuesta inmunitaria contra las variantes circulantes que se obtiene con las vacunas monovalentes XBB.1.5, se mantenga la composición antigénica actual de las vacunas anti-COVID-19, es </w:t>
      </w:r>
      <w:r w:rsidRPr="00D83F9E">
        <w:rPr>
          <w:rFonts w:eastAsia="Times New Roman"/>
          <w:lang w:val="es-CR" w:eastAsia="es-HN"/>
        </w:rPr>
        <w:lastRenderedPageBreak/>
        <w:t>decir, que se siga usando una</w:t>
      </w:r>
      <w:r w:rsidRPr="00D83F9E">
        <w:rPr>
          <w:rFonts w:eastAsia="Times New Roman"/>
          <w:bCs/>
          <w:lang w:val="es-CR" w:eastAsia="es-HN"/>
        </w:rPr>
        <w:t> vacuna monovalente XBB.1.5</w:t>
      </w:r>
      <w:r w:rsidRPr="00D83F9E">
        <w:rPr>
          <w:rFonts w:eastAsia="Times New Roman"/>
          <w:lang w:val="es-CR" w:eastAsia="es-HN"/>
        </w:rPr>
        <w:t xml:space="preserve"> (13,14).</w:t>
      </w:r>
    </w:p>
    <w:p w14:paraId="4C703595" w14:textId="77777777" w:rsidR="00D83F9E" w:rsidRPr="00D83F9E" w:rsidRDefault="00D83F9E" w:rsidP="00D83F9E">
      <w:pPr>
        <w:numPr>
          <w:ilvl w:val="0"/>
          <w:numId w:val="28"/>
        </w:numPr>
        <w:shd w:val="clear" w:color="auto" w:fill="FFFFFF"/>
        <w:tabs>
          <w:tab w:val="clear" w:pos="720"/>
        </w:tabs>
        <w:spacing w:before="100" w:beforeAutospacing="1"/>
        <w:ind w:left="284" w:hanging="284"/>
        <w:jc w:val="both"/>
        <w:rPr>
          <w:rFonts w:eastAsia="Calibri"/>
          <w:lang w:val="es-CR"/>
        </w:rPr>
      </w:pPr>
      <w:r w:rsidRPr="00D83F9E">
        <w:rPr>
          <w:rFonts w:eastAsia="Calibri"/>
          <w:lang w:val="es-CR"/>
        </w:rPr>
        <w:t>A fecha del 02 de diciembre de 2023, el 73% de las secuencias genéticas disponibles en la iniciativa GISAID era de linajes descendientes de la variante XBB (que incluyen el XBB.1.5, el XBB.1.16, el EG.5, el HK.3 y el HV.1); no obstante, esta proporción se ha ido reduciendo desde entonces. La </w:t>
      </w:r>
      <w:proofErr w:type="spellStart"/>
      <w:r w:rsidR="00000000">
        <w:fldChar w:fldCharType="begin"/>
      </w:r>
      <w:r w:rsidR="00000000" w:rsidRPr="00430909">
        <w:rPr>
          <w:lang w:val="es-CR"/>
        </w:rPr>
        <w:instrText>HYPERLINK "https://www.who.int/docs/default-source/coronaviruse/21112023_ba.2.86_ire.pdf?sfvrsn=8876def1_3"</w:instrText>
      </w:r>
      <w:r w:rsidR="00000000">
        <w:fldChar w:fldCharType="separate"/>
      </w:r>
      <w:r w:rsidRPr="00D83F9E">
        <w:rPr>
          <w:rFonts w:eastAsia="Calibri"/>
          <w:lang w:val="es-CR"/>
        </w:rPr>
        <w:t>subvariante</w:t>
      </w:r>
      <w:proofErr w:type="spellEnd"/>
      <w:r w:rsidRPr="00D83F9E">
        <w:rPr>
          <w:rFonts w:eastAsia="Calibri"/>
          <w:lang w:val="es-CR"/>
        </w:rPr>
        <w:t xml:space="preserve"> de interés BA.2.86 del SARS-CoV-2</w:t>
      </w:r>
      <w:r w:rsidR="00000000">
        <w:rPr>
          <w:rFonts w:eastAsia="Calibri"/>
          <w:lang w:val="es-CR"/>
        </w:rPr>
        <w:fldChar w:fldCharType="end"/>
      </w:r>
      <w:r w:rsidRPr="00D83F9E">
        <w:rPr>
          <w:rFonts w:eastAsia="Calibri"/>
          <w:lang w:val="es-CR"/>
        </w:rPr>
        <w:t xml:space="preserve"> (en inglés), cuya muestra más antigua se recogió en julio de 2023, tiene 36 modificaciones en aminoácidos con respecto a la </w:t>
      </w:r>
      <w:proofErr w:type="spellStart"/>
      <w:r w:rsidRPr="00D83F9E">
        <w:rPr>
          <w:rFonts w:eastAsia="Calibri"/>
          <w:lang w:val="es-CR"/>
        </w:rPr>
        <w:t>subvariante</w:t>
      </w:r>
      <w:proofErr w:type="spellEnd"/>
      <w:r w:rsidRPr="00D83F9E">
        <w:rPr>
          <w:rFonts w:eastAsia="Calibri"/>
          <w:lang w:val="es-CR"/>
        </w:rPr>
        <w:t xml:space="preserve"> XBB.1.5, algunas de ellas en sitios antigénicos importantes de la proteína S. Para el 02 de diciembre de 2023, la </w:t>
      </w:r>
      <w:proofErr w:type="spellStart"/>
      <w:r w:rsidRPr="00D83F9E">
        <w:rPr>
          <w:rFonts w:eastAsia="Calibri"/>
          <w:lang w:val="es-CR"/>
        </w:rPr>
        <w:t>subvariante</w:t>
      </w:r>
      <w:proofErr w:type="spellEnd"/>
      <w:r w:rsidRPr="00D83F9E">
        <w:rPr>
          <w:rFonts w:eastAsia="Calibri"/>
          <w:lang w:val="es-CR"/>
        </w:rPr>
        <w:t xml:space="preserve"> BA.2.86 y sus linajes descendientes, incluido el JN.1, representaban el 17% de las secuencias disponibles en la GISAID, más de la mitad de las cuales eran de JN.1 (15,17,21).</w:t>
      </w:r>
    </w:p>
    <w:p w14:paraId="07C484B3" w14:textId="77777777" w:rsidR="00D83F9E" w:rsidRPr="00D83F9E" w:rsidRDefault="00D83F9E" w:rsidP="00D83F9E">
      <w:pPr>
        <w:numPr>
          <w:ilvl w:val="0"/>
          <w:numId w:val="28"/>
        </w:numPr>
        <w:shd w:val="clear" w:color="auto" w:fill="FFFFFF"/>
        <w:tabs>
          <w:tab w:val="clear" w:pos="720"/>
        </w:tabs>
        <w:spacing w:before="100" w:beforeAutospacing="1"/>
        <w:ind w:left="284" w:hanging="284"/>
        <w:jc w:val="both"/>
        <w:rPr>
          <w:rFonts w:eastAsia="Calibri"/>
          <w:lang w:val="es-CR"/>
        </w:rPr>
      </w:pPr>
      <w:r w:rsidRPr="00D83F9E">
        <w:rPr>
          <w:rFonts w:eastAsia="Calibri"/>
          <w:shd w:val="clear" w:color="auto" w:fill="FFFFFF"/>
          <w:lang w:val="es-CR"/>
        </w:rPr>
        <w:t xml:space="preserve">Es difícil predecir cuánto tiempo más durará la presente pandemia a nivel global, pero con el uso estratégico de las vacunas podrían verse el inicio de su control durante la segunda mitad del próximo año. A diferencia de las pasadas pandemias de influenza, que rápidamente se extendían en la población, la COVID-19 se manifiesta como brotes sucesivos que tienden a reaparecer mientras exista una población susceptible (22).  Dejar que la pandemia siga su curso natural hasta que se establezca inmunidad de rebaño es aceptar una derrota con su consiguiente costo de enfermedad y muerte. La única estrategia aceptable para controlar la pandemia es utilizar de una manera racional, una combinación de todas intervenciones dirigidas a interrumpir la cadena de transmisión del virus, </w:t>
      </w:r>
      <w:r w:rsidRPr="00D83F9E">
        <w:rPr>
          <w:rFonts w:eastAsia="Calibri"/>
          <w:shd w:val="clear" w:color="auto" w:fill="FFFFFF"/>
          <w:lang w:val="es-CR"/>
        </w:rPr>
        <w:t>incluyendo el uso constante y en gran escala de medidas de aislamiento social, intervenciones no farmacológicas. Y ahora que se tiene evidencia de la eficacia protectora de varias vacunas, la vacunación debe constituirse en una de las más importantes intervenciones para controlar la pandemia.</w:t>
      </w:r>
    </w:p>
    <w:p w14:paraId="19238C44" w14:textId="77777777" w:rsidR="00D83F9E" w:rsidRPr="00D83F9E" w:rsidRDefault="00D83F9E" w:rsidP="00D83F9E">
      <w:pPr>
        <w:tabs>
          <w:tab w:val="left" w:pos="3300"/>
        </w:tabs>
        <w:jc w:val="both"/>
        <w:rPr>
          <w:b/>
          <w:bCs/>
          <w:sz w:val="24"/>
          <w:szCs w:val="28"/>
          <w:lang w:val="es-CR"/>
        </w:rPr>
      </w:pPr>
    </w:p>
    <w:p w14:paraId="03C8B9E4" w14:textId="70B1CA01" w:rsidR="00D83F9E" w:rsidRPr="00D83F9E" w:rsidRDefault="00D83F9E" w:rsidP="00D83F9E">
      <w:pPr>
        <w:pStyle w:val="Ttulo"/>
      </w:pPr>
      <w:r w:rsidRPr="00D83F9E">
        <w:t>MÉTODO</w:t>
      </w:r>
    </w:p>
    <w:p w14:paraId="4690013F" w14:textId="77777777" w:rsidR="00D83F9E" w:rsidRPr="00B71F2B" w:rsidRDefault="00D83F9E" w:rsidP="00D83F9E">
      <w:pPr>
        <w:tabs>
          <w:tab w:val="left" w:pos="3300"/>
        </w:tabs>
        <w:jc w:val="both"/>
        <w:rPr>
          <w:b/>
          <w:lang w:val="es-CR"/>
        </w:rPr>
      </w:pPr>
      <w:r w:rsidRPr="00B71F2B">
        <w:rPr>
          <w:b/>
          <w:lang w:val="es-CR"/>
        </w:rPr>
        <w:t>Diseño del estudio</w:t>
      </w:r>
    </w:p>
    <w:p w14:paraId="1D8CA82E" w14:textId="77777777" w:rsidR="00D83F9E" w:rsidRPr="00D83F9E" w:rsidRDefault="00D83F9E" w:rsidP="00D83F9E">
      <w:pPr>
        <w:tabs>
          <w:tab w:val="left" w:pos="3300"/>
        </w:tabs>
        <w:jc w:val="both"/>
        <w:rPr>
          <w:b/>
          <w:u w:val="single"/>
          <w:lang w:val="es-CR"/>
        </w:rPr>
      </w:pPr>
    </w:p>
    <w:p w14:paraId="381C9B78" w14:textId="77777777" w:rsidR="00D83F9E" w:rsidRPr="00D83F9E" w:rsidRDefault="00D83F9E" w:rsidP="00D83F9E">
      <w:pPr>
        <w:tabs>
          <w:tab w:val="left" w:pos="3300"/>
        </w:tabs>
        <w:jc w:val="both"/>
        <w:rPr>
          <w:lang w:val="es-CR"/>
        </w:rPr>
      </w:pPr>
      <w:r w:rsidRPr="00D83F9E">
        <w:rPr>
          <w:lang w:val="es-CR"/>
        </w:rPr>
        <w:t>Se llevó a cabo un diseño de estudio comparativo retrospectivo para analizar la mortalidad antes y después de la vacunación contra la COVID-19 en el periodo 2020-2021. Se compararon los datos de mortalidad antes de la implementación de la vacunación con los datos de mortalidad posteriores a la vacunación.</w:t>
      </w:r>
    </w:p>
    <w:p w14:paraId="3C850B42" w14:textId="77777777" w:rsidR="00D83F9E" w:rsidRPr="00D83F9E" w:rsidRDefault="00D83F9E" w:rsidP="00D83F9E">
      <w:pPr>
        <w:tabs>
          <w:tab w:val="left" w:pos="3300"/>
        </w:tabs>
        <w:jc w:val="both"/>
        <w:rPr>
          <w:lang w:val="es-CR"/>
        </w:rPr>
      </w:pPr>
    </w:p>
    <w:p w14:paraId="570DB373" w14:textId="77777777" w:rsidR="00D83F9E" w:rsidRPr="00B71F2B" w:rsidRDefault="00D83F9E" w:rsidP="00D83F9E">
      <w:pPr>
        <w:tabs>
          <w:tab w:val="left" w:pos="3300"/>
        </w:tabs>
        <w:jc w:val="both"/>
        <w:rPr>
          <w:b/>
          <w:lang w:val="es-CR"/>
        </w:rPr>
      </w:pPr>
      <w:r w:rsidRPr="00B71F2B">
        <w:rPr>
          <w:b/>
          <w:lang w:val="es-CR"/>
        </w:rPr>
        <w:t>Población de estudio</w:t>
      </w:r>
    </w:p>
    <w:p w14:paraId="43AA1FC3" w14:textId="77777777" w:rsidR="00D83F9E" w:rsidRPr="00D83F9E" w:rsidRDefault="00D83F9E" w:rsidP="00D83F9E">
      <w:pPr>
        <w:tabs>
          <w:tab w:val="left" w:pos="3300"/>
        </w:tabs>
        <w:jc w:val="both"/>
        <w:rPr>
          <w:b/>
          <w:u w:val="single"/>
          <w:lang w:val="es-CR"/>
        </w:rPr>
      </w:pPr>
    </w:p>
    <w:p w14:paraId="709165A3" w14:textId="77777777" w:rsidR="00D83F9E" w:rsidRPr="00D83F9E" w:rsidRDefault="00D83F9E" w:rsidP="00D83F9E">
      <w:pPr>
        <w:tabs>
          <w:tab w:val="left" w:pos="3300"/>
        </w:tabs>
        <w:jc w:val="both"/>
        <w:rPr>
          <w:lang w:val="es-CR"/>
        </w:rPr>
      </w:pPr>
      <w:r w:rsidRPr="00D83F9E">
        <w:rPr>
          <w:lang w:val="es-CR"/>
        </w:rPr>
        <w:t>La población de estudio estuvo compuesta por individuos que se encontraban en el grupo objetivo para la vacunación contra la COVID-19 durante el periodo de estudio.</w:t>
      </w:r>
    </w:p>
    <w:p w14:paraId="14F50A57" w14:textId="77777777" w:rsidR="00D83F9E" w:rsidRPr="00D83F9E" w:rsidRDefault="00D83F9E" w:rsidP="00D83F9E">
      <w:pPr>
        <w:tabs>
          <w:tab w:val="left" w:pos="3300"/>
        </w:tabs>
        <w:jc w:val="both"/>
        <w:rPr>
          <w:lang w:val="es-CR"/>
        </w:rPr>
      </w:pPr>
    </w:p>
    <w:p w14:paraId="179A6348" w14:textId="77777777" w:rsidR="00D83F9E" w:rsidRPr="00B71F2B" w:rsidRDefault="00D83F9E" w:rsidP="00D83F9E">
      <w:pPr>
        <w:tabs>
          <w:tab w:val="left" w:pos="3300"/>
        </w:tabs>
        <w:jc w:val="both"/>
        <w:rPr>
          <w:b/>
          <w:lang w:val="es-CR"/>
        </w:rPr>
      </w:pPr>
      <w:r w:rsidRPr="00B71F2B">
        <w:rPr>
          <w:b/>
          <w:lang w:val="es-CR"/>
        </w:rPr>
        <w:t>Recolección de datos</w:t>
      </w:r>
    </w:p>
    <w:p w14:paraId="18DF7310" w14:textId="77777777" w:rsidR="00D83F9E" w:rsidRPr="00D83F9E" w:rsidRDefault="00D83F9E" w:rsidP="00D83F9E">
      <w:pPr>
        <w:tabs>
          <w:tab w:val="left" w:pos="3300"/>
        </w:tabs>
        <w:jc w:val="both"/>
        <w:rPr>
          <w:b/>
          <w:u w:val="single"/>
          <w:lang w:val="es-CR"/>
        </w:rPr>
      </w:pPr>
    </w:p>
    <w:p w14:paraId="4F4DDF3D" w14:textId="77777777" w:rsidR="00D83F9E" w:rsidRPr="00D83F9E" w:rsidRDefault="00D83F9E" w:rsidP="00D83F9E">
      <w:pPr>
        <w:tabs>
          <w:tab w:val="left" w:pos="3300"/>
        </w:tabs>
        <w:jc w:val="both"/>
        <w:rPr>
          <w:lang w:val="es-CR"/>
        </w:rPr>
      </w:pPr>
      <w:r w:rsidRPr="00D83F9E">
        <w:rPr>
          <w:lang w:val="es-CR"/>
        </w:rPr>
        <w:t>Se recopilaron datos de mortalidad y datos de vacunación de fuentes confiables y pertinentes. Los datos de mortalidad se obtuvieron de registros oficiales de defunciones, mientras que los datos de vacunación se obtuvieron de registros de vacunación y bases de datos de salud. Se garantizó la confidencialidad y privacidad de los datos de los participantes.</w:t>
      </w:r>
    </w:p>
    <w:p w14:paraId="797A0A5D" w14:textId="77777777" w:rsidR="00D83F9E" w:rsidRPr="00D83F9E" w:rsidRDefault="00D83F9E" w:rsidP="00D83F9E">
      <w:pPr>
        <w:tabs>
          <w:tab w:val="left" w:pos="3300"/>
        </w:tabs>
        <w:jc w:val="both"/>
        <w:rPr>
          <w:lang w:val="es-CR"/>
        </w:rPr>
      </w:pPr>
    </w:p>
    <w:p w14:paraId="59EC7E81" w14:textId="77777777" w:rsidR="00D83F9E" w:rsidRPr="00B71F2B" w:rsidRDefault="00D83F9E" w:rsidP="00D83F9E">
      <w:pPr>
        <w:tabs>
          <w:tab w:val="left" w:pos="3300"/>
        </w:tabs>
        <w:jc w:val="both"/>
        <w:rPr>
          <w:b/>
          <w:lang w:val="es-CR"/>
        </w:rPr>
      </w:pPr>
      <w:r w:rsidRPr="00B71F2B">
        <w:rPr>
          <w:b/>
          <w:lang w:val="es-CR"/>
        </w:rPr>
        <w:t>Variables de estudio</w:t>
      </w:r>
    </w:p>
    <w:p w14:paraId="60BE0A48" w14:textId="77777777" w:rsidR="00D83F9E" w:rsidRPr="00D83F9E" w:rsidRDefault="00D83F9E" w:rsidP="00D83F9E">
      <w:pPr>
        <w:tabs>
          <w:tab w:val="left" w:pos="3300"/>
        </w:tabs>
        <w:jc w:val="both"/>
        <w:rPr>
          <w:b/>
          <w:u w:val="single"/>
          <w:lang w:val="es-CR"/>
        </w:rPr>
      </w:pPr>
    </w:p>
    <w:tbl>
      <w:tblPr>
        <w:tblStyle w:val="Tablaconcuadrcula"/>
        <w:tblpPr w:leftFromText="141" w:rightFromText="141" w:vertAnchor="text" w:horzAnchor="margin" w:tblpY="7041"/>
        <w:tblOverlap w:val="never"/>
        <w:tblW w:w="9351" w:type="dxa"/>
        <w:tblLook w:val="04A0" w:firstRow="1" w:lastRow="0" w:firstColumn="1" w:lastColumn="0" w:noHBand="0" w:noVBand="1"/>
      </w:tblPr>
      <w:tblGrid>
        <w:gridCol w:w="9351"/>
      </w:tblGrid>
      <w:tr w:rsidR="00D83F9E" w:rsidRPr="00D83F9E" w14:paraId="04D280E5" w14:textId="77777777" w:rsidTr="00B71F2B">
        <w:tc>
          <w:tcPr>
            <w:tcW w:w="9351" w:type="dxa"/>
            <w:tcBorders>
              <w:top w:val="nil"/>
              <w:left w:val="nil"/>
              <w:bottom w:val="single" w:sz="4" w:space="0" w:color="auto"/>
              <w:right w:val="nil"/>
            </w:tcBorders>
          </w:tcPr>
          <w:p w14:paraId="605DAD69" w14:textId="77777777" w:rsidR="00D83F9E" w:rsidRPr="00797EE3" w:rsidRDefault="00D83F9E" w:rsidP="00B71F2B">
            <w:pPr>
              <w:tabs>
                <w:tab w:val="left" w:pos="3300"/>
              </w:tabs>
              <w:jc w:val="both"/>
              <w:rPr>
                <w:b/>
              </w:rPr>
            </w:pPr>
          </w:p>
        </w:tc>
      </w:tr>
      <w:tr w:rsidR="00D83F9E" w:rsidRPr="00430909" w14:paraId="17C73EB4" w14:textId="77777777" w:rsidTr="00B71F2B">
        <w:tc>
          <w:tcPr>
            <w:tcW w:w="9351" w:type="dxa"/>
            <w:tcBorders>
              <w:top w:val="single" w:sz="4" w:space="0" w:color="auto"/>
            </w:tcBorders>
          </w:tcPr>
          <w:p w14:paraId="6C1C6122" w14:textId="1AC90AF6" w:rsidR="00D83F9E" w:rsidRDefault="00D83F9E" w:rsidP="00B71F2B">
            <w:pPr>
              <w:tabs>
                <w:tab w:val="left" w:pos="3300"/>
              </w:tabs>
              <w:spacing w:line="276" w:lineRule="auto"/>
              <w:jc w:val="both"/>
              <w:rPr>
                <w:rFonts w:ascii="Arial" w:hAnsi="Arial" w:cs="Arial"/>
              </w:rPr>
            </w:pPr>
            <w:r w:rsidRPr="00797EE3">
              <w:rPr>
                <w:rFonts w:ascii="Arial" w:hAnsi="Arial" w:cs="Arial"/>
                <w:b/>
              </w:rPr>
              <w:t>Gráfico 1.</w:t>
            </w:r>
            <w:r>
              <w:rPr>
                <w:rFonts w:ascii="Arial" w:hAnsi="Arial" w:cs="Arial"/>
              </w:rPr>
              <w:t xml:space="preserve"> Principales departamentos afectados de Copán</w:t>
            </w:r>
          </w:p>
        </w:tc>
      </w:tr>
      <w:tr w:rsidR="00D83F9E" w:rsidRPr="00430909" w14:paraId="64942674" w14:textId="77777777" w:rsidTr="00B71F2B">
        <w:trPr>
          <w:trHeight w:val="4527"/>
        </w:trPr>
        <w:tc>
          <w:tcPr>
            <w:tcW w:w="9351" w:type="dxa"/>
          </w:tcPr>
          <w:p w14:paraId="51BD41DA" w14:textId="77777777" w:rsidR="00D83F9E" w:rsidRDefault="00D83F9E" w:rsidP="00B71F2B">
            <w:pPr>
              <w:tabs>
                <w:tab w:val="left" w:pos="3300"/>
              </w:tabs>
              <w:spacing w:line="276" w:lineRule="auto"/>
              <w:jc w:val="both"/>
              <w:rPr>
                <w:rFonts w:ascii="Arial" w:hAnsi="Arial" w:cs="Arial"/>
              </w:rPr>
            </w:pPr>
            <w:r>
              <w:rPr>
                <w:noProof/>
                <w:lang w:val="es-CR" w:eastAsia="es-CR"/>
              </w:rPr>
              <w:drawing>
                <wp:anchor distT="0" distB="0" distL="114300" distR="114300" simplePos="0" relativeHeight="251668480" behindDoc="1" locked="0" layoutInCell="1" allowOverlap="1" wp14:anchorId="43AA69BD" wp14:editId="36313F7D">
                  <wp:simplePos x="0" y="0"/>
                  <wp:positionH relativeFrom="margin">
                    <wp:posOffset>140775</wp:posOffset>
                  </wp:positionH>
                  <wp:positionV relativeFrom="paragraph">
                    <wp:posOffset>126571</wp:posOffset>
                  </wp:positionV>
                  <wp:extent cx="5477510" cy="2743200"/>
                  <wp:effectExtent l="0" t="0" r="8890" b="0"/>
                  <wp:wrapSquare wrapText="bothSides"/>
                  <wp:docPr id="3" name="Gráfico 3">
                    <a:extLst xmlns:a="http://schemas.openxmlformats.org/drawingml/2006/main">
                      <a:ext uri="{FF2B5EF4-FFF2-40B4-BE49-F238E27FC236}">
                        <a16:creationId xmlns:a16="http://schemas.microsoft.com/office/drawing/2014/main" id="{E4023FE9-19A0-0F00-252C-339D846B81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tc>
      </w:tr>
      <w:tr w:rsidR="00D83F9E" w14:paraId="2735527E" w14:textId="77777777" w:rsidTr="00B71F2B">
        <w:tc>
          <w:tcPr>
            <w:tcW w:w="9351" w:type="dxa"/>
          </w:tcPr>
          <w:p w14:paraId="22941D50" w14:textId="0C685D1E" w:rsidR="00D83F9E" w:rsidRPr="00F34D4E" w:rsidRDefault="00D83F9E" w:rsidP="00B71F2B">
            <w:pPr>
              <w:tabs>
                <w:tab w:val="left" w:pos="3300"/>
              </w:tabs>
              <w:spacing w:line="276" w:lineRule="auto"/>
              <w:jc w:val="both"/>
              <w:rPr>
                <w:rFonts w:ascii="Arial" w:hAnsi="Arial" w:cs="Arial"/>
              </w:rPr>
            </w:pPr>
            <w:r w:rsidRPr="00797EE3">
              <w:rPr>
                <w:rFonts w:ascii="Arial" w:hAnsi="Arial" w:cs="Arial"/>
                <w:b/>
                <w:sz w:val="18"/>
              </w:rPr>
              <w:t>Fuente</w:t>
            </w:r>
            <w:r w:rsidR="001E1306">
              <w:rPr>
                <w:rFonts w:ascii="Arial" w:hAnsi="Arial" w:cs="Arial"/>
                <w:b/>
                <w:sz w:val="18"/>
              </w:rPr>
              <w:t>.</w:t>
            </w:r>
            <w:r w:rsidRPr="00797EE3">
              <w:rPr>
                <w:rFonts w:ascii="Arial" w:hAnsi="Arial" w:cs="Arial"/>
                <w:b/>
                <w:sz w:val="18"/>
              </w:rPr>
              <w:t xml:space="preserve"> </w:t>
            </w:r>
            <w:r w:rsidRPr="00797EE3">
              <w:rPr>
                <w:rFonts w:ascii="Arial" w:hAnsi="Arial" w:cs="Arial"/>
                <w:sz w:val="18"/>
              </w:rPr>
              <w:t>Elaboración propia, 2024.</w:t>
            </w:r>
          </w:p>
        </w:tc>
      </w:tr>
    </w:tbl>
    <w:p w14:paraId="759D49D0" w14:textId="77777777" w:rsidR="00D83F9E" w:rsidRPr="00D83F9E" w:rsidRDefault="00D83F9E" w:rsidP="00D83F9E">
      <w:pPr>
        <w:tabs>
          <w:tab w:val="left" w:pos="3300"/>
        </w:tabs>
        <w:jc w:val="both"/>
        <w:rPr>
          <w:lang w:val="es-CR"/>
        </w:rPr>
      </w:pPr>
      <w:r w:rsidRPr="00D83F9E">
        <w:rPr>
          <w:lang w:val="es-CR"/>
        </w:rPr>
        <w:t>Se identificaron y registraron las variables relevantes para el análisis, incluyendo características demográficas (edad, sexo, ubicación geográfica, etc.), fecha de vacunación, fecha de defunción y causa de la muerte. Estas variables se utilizaron para comparar la mortalidad antes y después de la vacunación.</w:t>
      </w:r>
    </w:p>
    <w:p w14:paraId="2E25B2B7" w14:textId="77777777" w:rsidR="00D83F9E" w:rsidRPr="00D83F9E" w:rsidRDefault="00D83F9E" w:rsidP="00D83F9E">
      <w:pPr>
        <w:tabs>
          <w:tab w:val="left" w:pos="3300"/>
        </w:tabs>
        <w:jc w:val="both"/>
        <w:rPr>
          <w:lang w:val="es-CR"/>
        </w:rPr>
      </w:pPr>
    </w:p>
    <w:p w14:paraId="7745DD96" w14:textId="77777777" w:rsidR="00D83F9E" w:rsidRPr="00B71F2B" w:rsidRDefault="00D83F9E" w:rsidP="00D83F9E">
      <w:pPr>
        <w:tabs>
          <w:tab w:val="left" w:pos="3300"/>
        </w:tabs>
        <w:jc w:val="both"/>
        <w:rPr>
          <w:b/>
          <w:lang w:val="es-CR"/>
        </w:rPr>
      </w:pPr>
      <w:r w:rsidRPr="00B71F2B">
        <w:rPr>
          <w:b/>
          <w:lang w:val="es-CR"/>
        </w:rPr>
        <w:t>Análisis de datos</w:t>
      </w:r>
    </w:p>
    <w:p w14:paraId="4E52ABCB" w14:textId="77777777" w:rsidR="00D83F9E" w:rsidRPr="00D83F9E" w:rsidRDefault="00D83F9E" w:rsidP="00D83F9E">
      <w:pPr>
        <w:tabs>
          <w:tab w:val="left" w:pos="3300"/>
        </w:tabs>
        <w:jc w:val="both"/>
        <w:rPr>
          <w:b/>
          <w:u w:val="single"/>
          <w:lang w:val="es-CR"/>
        </w:rPr>
      </w:pPr>
    </w:p>
    <w:p w14:paraId="54955E97" w14:textId="77777777" w:rsidR="00D83F9E" w:rsidRPr="00D83F9E" w:rsidRDefault="00D83F9E" w:rsidP="00D83F9E">
      <w:pPr>
        <w:tabs>
          <w:tab w:val="left" w:pos="3300"/>
        </w:tabs>
        <w:jc w:val="both"/>
        <w:rPr>
          <w:lang w:val="es-CR"/>
        </w:rPr>
      </w:pPr>
      <w:r w:rsidRPr="00D83F9E">
        <w:rPr>
          <w:lang w:val="es-CR"/>
        </w:rPr>
        <w:t>Se realizó un análisis estadístico para comparar la mortalidad antes y después de la vacunación. Se utilizaron medidas descriptivas como tasas de mortalidad, promedios y porcentajes.</w:t>
      </w:r>
    </w:p>
    <w:p w14:paraId="015AAA84" w14:textId="77777777" w:rsidR="00D83F9E" w:rsidRPr="00D83F9E" w:rsidRDefault="00D83F9E" w:rsidP="00D83F9E">
      <w:pPr>
        <w:tabs>
          <w:tab w:val="left" w:pos="3300"/>
        </w:tabs>
        <w:jc w:val="both"/>
        <w:rPr>
          <w:lang w:val="es-CR"/>
        </w:rPr>
      </w:pPr>
    </w:p>
    <w:p w14:paraId="0E4C2D66" w14:textId="77777777" w:rsidR="00D83F9E" w:rsidRPr="00B71F2B" w:rsidRDefault="00D83F9E" w:rsidP="00D83F9E">
      <w:pPr>
        <w:tabs>
          <w:tab w:val="left" w:pos="3300"/>
        </w:tabs>
        <w:jc w:val="both"/>
        <w:rPr>
          <w:b/>
          <w:lang w:val="es-CR"/>
        </w:rPr>
      </w:pPr>
      <w:r w:rsidRPr="00B71F2B">
        <w:rPr>
          <w:b/>
          <w:lang w:val="es-CR"/>
        </w:rPr>
        <w:t>Consideraciones éticas</w:t>
      </w:r>
    </w:p>
    <w:p w14:paraId="1B765250" w14:textId="77777777" w:rsidR="00D83F9E" w:rsidRPr="00D83F9E" w:rsidRDefault="00D83F9E" w:rsidP="00D83F9E">
      <w:pPr>
        <w:tabs>
          <w:tab w:val="left" w:pos="3300"/>
        </w:tabs>
        <w:jc w:val="both"/>
        <w:rPr>
          <w:b/>
          <w:u w:val="single"/>
          <w:lang w:val="es-CR"/>
        </w:rPr>
      </w:pPr>
    </w:p>
    <w:p w14:paraId="25408524" w14:textId="77777777" w:rsidR="00D83F9E" w:rsidRPr="00D83F9E" w:rsidRDefault="00D83F9E" w:rsidP="00D83F9E">
      <w:pPr>
        <w:tabs>
          <w:tab w:val="left" w:pos="3300"/>
        </w:tabs>
        <w:jc w:val="both"/>
        <w:rPr>
          <w:lang w:val="es-CR"/>
        </w:rPr>
      </w:pPr>
      <w:r w:rsidRPr="00D83F9E">
        <w:rPr>
          <w:lang w:val="es-CR"/>
        </w:rPr>
        <w:t>Se siguieron los principios éticos y las regulaciones de protección de datos vigentes. Se garantizaron la confidencialidad y el anonimato de los participantes al analizar y presentar los datos.</w:t>
      </w:r>
    </w:p>
    <w:p w14:paraId="37408F82" w14:textId="77777777" w:rsidR="00D83F9E" w:rsidRPr="00D83F9E" w:rsidRDefault="00D83F9E" w:rsidP="00D83F9E">
      <w:pPr>
        <w:tabs>
          <w:tab w:val="left" w:pos="3300"/>
        </w:tabs>
        <w:jc w:val="both"/>
        <w:rPr>
          <w:lang w:val="es-CR"/>
        </w:rPr>
      </w:pPr>
    </w:p>
    <w:p w14:paraId="42CE2CC1" w14:textId="77777777" w:rsidR="00D83F9E" w:rsidRPr="00B71F2B" w:rsidRDefault="00D83F9E" w:rsidP="00D83F9E">
      <w:pPr>
        <w:tabs>
          <w:tab w:val="left" w:pos="3300"/>
        </w:tabs>
        <w:jc w:val="both"/>
        <w:rPr>
          <w:b/>
          <w:lang w:val="es-CR"/>
        </w:rPr>
      </w:pPr>
      <w:r w:rsidRPr="00B71F2B">
        <w:rPr>
          <w:b/>
          <w:lang w:val="es-CR"/>
        </w:rPr>
        <w:t>Limitaciones del estudio</w:t>
      </w:r>
    </w:p>
    <w:p w14:paraId="7A97C505" w14:textId="77777777" w:rsidR="00D83F9E" w:rsidRPr="00D83F9E" w:rsidRDefault="00D83F9E" w:rsidP="00D83F9E">
      <w:pPr>
        <w:tabs>
          <w:tab w:val="left" w:pos="3300"/>
        </w:tabs>
        <w:jc w:val="both"/>
        <w:rPr>
          <w:b/>
          <w:u w:val="single"/>
          <w:lang w:val="es-CR"/>
        </w:rPr>
      </w:pPr>
    </w:p>
    <w:p w14:paraId="2B6E5A03" w14:textId="77777777" w:rsidR="00D83F9E" w:rsidRPr="00D83F9E" w:rsidRDefault="00D83F9E" w:rsidP="00D83F9E">
      <w:pPr>
        <w:tabs>
          <w:tab w:val="left" w:pos="3300"/>
        </w:tabs>
        <w:jc w:val="both"/>
        <w:rPr>
          <w:lang w:val="es-CR"/>
        </w:rPr>
      </w:pPr>
      <w:r w:rsidRPr="00D83F9E">
        <w:rPr>
          <w:lang w:val="es-CR"/>
        </w:rPr>
        <w:t>Se identificaron y discutieron las limitaciones del estudio, como posibles sesgos o errores en la recopilación de datos, limitaciones en la disponibilidad de datos históricos y la posibilidad de factores de confusión no controlados.</w:t>
      </w:r>
    </w:p>
    <w:p w14:paraId="437FEF0B" w14:textId="77777777" w:rsidR="00D83F9E" w:rsidRPr="00D83F9E" w:rsidRDefault="00D83F9E" w:rsidP="00D83F9E">
      <w:pPr>
        <w:tabs>
          <w:tab w:val="left" w:pos="3300"/>
        </w:tabs>
        <w:jc w:val="both"/>
        <w:rPr>
          <w:lang w:val="es-CR"/>
        </w:rPr>
      </w:pPr>
    </w:p>
    <w:p w14:paraId="1E025D8D" w14:textId="77777777" w:rsidR="00D83F9E" w:rsidRPr="00D83F9E" w:rsidRDefault="00D83F9E" w:rsidP="005E34CA">
      <w:pPr>
        <w:pStyle w:val="Ttulo"/>
      </w:pPr>
      <w:r w:rsidRPr="00D83F9E">
        <w:t>RESULTADOS</w:t>
      </w:r>
    </w:p>
    <w:p w14:paraId="5BCBBAEB" w14:textId="77777777" w:rsidR="00D83F9E" w:rsidRPr="00B71F2B" w:rsidRDefault="00D83F9E" w:rsidP="00D83F9E">
      <w:pPr>
        <w:tabs>
          <w:tab w:val="left" w:pos="3300"/>
        </w:tabs>
        <w:jc w:val="both"/>
        <w:rPr>
          <w:lang w:val="es-CR"/>
        </w:rPr>
      </w:pPr>
      <w:r w:rsidRPr="00B71F2B">
        <w:rPr>
          <w:b/>
          <w:lang w:val="es-CR"/>
        </w:rPr>
        <w:t xml:space="preserve">Caso </w:t>
      </w:r>
      <w:proofErr w:type="spellStart"/>
      <w:r w:rsidRPr="00B71F2B">
        <w:rPr>
          <w:b/>
          <w:lang w:val="es-CR"/>
        </w:rPr>
        <w:t>N°</w:t>
      </w:r>
      <w:proofErr w:type="spellEnd"/>
      <w:r w:rsidRPr="00B71F2B">
        <w:rPr>
          <w:b/>
          <w:lang w:val="es-CR"/>
        </w:rPr>
        <w:t xml:space="preserve"> 1. Casos positivos por municipio en el departamento de Copán</w:t>
      </w:r>
    </w:p>
    <w:p w14:paraId="31CEBB43" w14:textId="77777777" w:rsidR="00D83F9E" w:rsidRPr="00D83F9E" w:rsidRDefault="00D83F9E" w:rsidP="00D83F9E">
      <w:pPr>
        <w:tabs>
          <w:tab w:val="left" w:pos="3300"/>
        </w:tabs>
        <w:jc w:val="both"/>
        <w:rPr>
          <w:lang w:val="es-CR"/>
        </w:rPr>
      </w:pPr>
    </w:p>
    <w:p w14:paraId="3051902D" w14:textId="77777777" w:rsidR="005E34CA" w:rsidRPr="00D83F9E" w:rsidRDefault="00D83F9E" w:rsidP="00D83F9E">
      <w:pPr>
        <w:tabs>
          <w:tab w:val="left" w:pos="3300"/>
        </w:tabs>
        <w:jc w:val="both"/>
        <w:rPr>
          <w:lang w:val="es-CR"/>
        </w:rPr>
      </w:pPr>
      <w:r w:rsidRPr="00D83F9E">
        <w:rPr>
          <w:lang w:val="es-CR"/>
        </w:rPr>
        <w:t xml:space="preserve">De 32 688 muestras procesadas, dieron como positivas 8383, lo cual representa un 43.32% de positividad. Estas fueron tomadas de los distintos municipios de Copán, teniendo Santa Rosa de Copán el mayor número de casos registrados, con un total de 1398 casos positivos, los cuales son </w:t>
      </w:r>
    </w:p>
    <w:tbl>
      <w:tblPr>
        <w:tblStyle w:val="Tablaconcuadrcula"/>
        <w:tblpPr w:leftFromText="141" w:rightFromText="141" w:vertAnchor="text" w:horzAnchor="margin" w:tblpY="28"/>
        <w:tblOverlap w:val="never"/>
        <w:tblW w:w="9351" w:type="dxa"/>
        <w:tblLook w:val="04A0" w:firstRow="1" w:lastRow="0" w:firstColumn="1" w:lastColumn="0" w:noHBand="0" w:noVBand="1"/>
      </w:tblPr>
      <w:tblGrid>
        <w:gridCol w:w="9351"/>
      </w:tblGrid>
      <w:tr w:rsidR="005E34CA" w:rsidRPr="00430909" w14:paraId="6F1122A5" w14:textId="77777777" w:rsidTr="005E34CA">
        <w:tc>
          <w:tcPr>
            <w:tcW w:w="9351" w:type="dxa"/>
          </w:tcPr>
          <w:p w14:paraId="4414DA8D" w14:textId="2DB648A6" w:rsidR="005E34CA" w:rsidRDefault="005E34CA" w:rsidP="005E34CA">
            <w:pPr>
              <w:tabs>
                <w:tab w:val="left" w:pos="3300"/>
              </w:tabs>
              <w:spacing w:line="276" w:lineRule="auto"/>
              <w:jc w:val="both"/>
              <w:rPr>
                <w:rFonts w:ascii="Arial" w:hAnsi="Arial" w:cs="Arial"/>
              </w:rPr>
            </w:pPr>
            <w:r w:rsidRPr="002A7412">
              <w:rPr>
                <w:rFonts w:ascii="Arial" w:hAnsi="Arial" w:cs="Arial"/>
                <w:b/>
              </w:rPr>
              <w:lastRenderedPageBreak/>
              <w:t xml:space="preserve">Gráfico </w:t>
            </w:r>
            <w:r>
              <w:rPr>
                <w:rFonts w:ascii="Arial" w:hAnsi="Arial" w:cs="Arial"/>
                <w:b/>
              </w:rPr>
              <w:t>2</w:t>
            </w:r>
            <w:r w:rsidRPr="002A7412">
              <w:rPr>
                <w:rFonts w:ascii="Arial" w:hAnsi="Arial" w:cs="Arial"/>
                <w:b/>
              </w:rPr>
              <w:t>.</w:t>
            </w:r>
            <w:r>
              <w:rPr>
                <w:rFonts w:ascii="Arial" w:hAnsi="Arial" w:cs="Arial"/>
              </w:rPr>
              <w:t xml:space="preserve"> Casos positivos de la Región Metropolitana</w:t>
            </w:r>
          </w:p>
        </w:tc>
      </w:tr>
      <w:tr w:rsidR="005E34CA" w:rsidRPr="00430909" w14:paraId="474A3FB5" w14:textId="77777777" w:rsidTr="005E34CA">
        <w:tc>
          <w:tcPr>
            <w:tcW w:w="9351" w:type="dxa"/>
          </w:tcPr>
          <w:p w14:paraId="7F6B0275" w14:textId="77777777" w:rsidR="005E34CA" w:rsidRDefault="005E34CA" w:rsidP="005E34CA">
            <w:pPr>
              <w:tabs>
                <w:tab w:val="left" w:pos="3300"/>
              </w:tabs>
              <w:spacing w:line="276" w:lineRule="auto"/>
              <w:jc w:val="both"/>
              <w:rPr>
                <w:rFonts w:ascii="Arial" w:hAnsi="Arial" w:cs="Arial"/>
              </w:rPr>
            </w:pPr>
            <w:r>
              <w:rPr>
                <w:noProof/>
                <w:lang w:val="es-CR" w:eastAsia="es-CR"/>
              </w:rPr>
              <w:drawing>
                <wp:anchor distT="0" distB="0" distL="114300" distR="114300" simplePos="0" relativeHeight="251670528" behindDoc="0" locked="0" layoutInCell="1" allowOverlap="1" wp14:anchorId="68C505AE" wp14:editId="6528B944">
                  <wp:simplePos x="0" y="0"/>
                  <wp:positionH relativeFrom="margin">
                    <wp:posOffset>107117</wp:posOffset>
                  </wp:positionH>
                  <wp:positionV relativeFrom="paragraph">
                    <wp:posOffset>72589</wp:posOffset>
                  </wp:positionV>
                  <wp:extent cx="5520690" cy="2743200"/>
                  <wp:effectExtent l="0" t="0" r="3810" b="0"/>
                  <wp:wrapSquare wrapText="bothSides"/>
                  <wp:docPr id="4" name="Gráfico 1">
                    <a:extLst xmlns:a="http://schemas.openxmlformats.org/drawingml/2006/main">
                      <a:ext uri="{FF2B5EF4-FFF2-40B4-BE49-F238E27FC236}">
                        <a16:creationId xmlns:a16="http://schemas.microsoft.com/office/drawing/2014/main" id="{00ABB4D6-A635-0CA5-BCC8-D85EE33842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c>
      </w:tr>
      <w:tr w:rsidR="005E34CA" w14:paraId="356FE23B" w14:textId="77777777" w:rsidTr="005E34CA">
        <w:tc>
          <w:tcPr>
            <w:tcW w:w="9351" w:type="dxa"/>
            <w:tcBorders>
              <w:bottom w:val="single" w:sz="4" w:space="0" w:color="auto"/>
            </w:tcBorders>
          </w:tcPr>
          <w:p w14:paraId="067AF0AD" w14:textId="3E9E4EA7" w:rsidR="005E34CA" w:rsidRDefault="005E34CA" w:rsidP="005E34CA">
            <w:pPr>
              <w:tabs>
                <w:tab w:val="left" w:pos="3300"/>
              </w:tabs>
              <w:spacing w:line="276" w:lineRule="auto"/>
              <w:jc w:val="both"/>
              <w:rPr>
                <w:rFonts w:ascii="Arial" w:hAnsi="Arial" w:cs="Arial"/>
              </w:rPr>
            </w:pPr>
            <w:r w:rsidRPr="002A7412">
              <w:rPr>
                <w:rFonts w:ascii="Arial" w:hAnsi="Arial" w:cs="Arial"/>
                <w:b/>
                <w:sz w:val="18"/>
              </w:rPr>
              <w:t>Fuente</w:t>
            </w:r>
            <w:r w:rsidR="001E1306">
              <w:rPr>
                <w:rFonts w:ascii="Arial" w:hAnsi="Arial" w:cs="Arial"/>
                <w:b/>
                <w:sz w:val="18"/>
              </w:rPr>
              <w:t>.</w:t>
            </w:r>
            <w:r w:rsidRPr="002A7412">
              <w:rPr>
                <w:rFonts w:ascii="Arial" w:hAnsi="Arial" w:cs="Arial"/>
                <w:b/>
                <w:sz w:val="18"/>
              </w:rPr>
              <w:t xml:space="preserve"> </w:t>
            </w:r>
            <w:r w:rsidRPr="002A7412">
              <w:rPr>
                <w:rFonts w:ascii="Arial" w:hAnsi="Arial" w:cs="Arial"/>
                <w:sz w:val="18"/>
              </w:rPr>
              <w:t>Elaboración propia, 2024.</w:t>
            </w:r>
          </w:p>
        </w:tc>
      </w:tr>
      <w:tr w:rsidR="005E34CA" w:rsidRPr="005E34CA" w14:paraId="581640E9" w14:textId="77777777" w:rsidTr="005E34CA">
        <w:tc>
          <w:tcPr>
            <w:tcW w:w="9351" w:type="dxa"/>
            <w:tcBorders>
              <w:top w:val="single" w:sz="4" w:space="0" w:color="auto"/>
              <w:left w:val="nil"/>
              <w:bottom w:val="nil"/>
              <w:right w:val="nil"/>
            </w:tcBorders>
          </w:tcPr>
          <w:p w14:paraId="2046D2EB" w14:textId="77777777" w:rsidR="005E34CA" w:rsidRPr="005E34CA" w:rsidRDefault="005E34CA" w:rsidP="005E34CA">
            <w:pPr>
              <w:tabs>
                <w:tab w:val="left" w:pos="3300"/>
              </w:tabs>
              <w:jc w:val="both"/>
              <w:rPr>
                <w:b/>
              </w:rPr>
            </w:pPr>
          </w:p>
        </w:tc>
      </w:tr>
    </w:tbl>
    <w:p w14:paraId="0C322656" w14:textId="35BF3C7C" w:rsidR="005E34CA" w:rsidRPr="00D83F9E" w:rsidRDefault="005E34CA" w:rsidP="00D83F9E">
      <w:pPr>
        <w:tabs>
          <w:tab w:val="left" w:pos="3300"/>
        </w:tabs>
        <w:jc w:val="both"/>
        <w:rPr>
          <w:lang w:val="es-CR"/>
        </w:rPr>
      </w:pPr>
      <w:r w:rsidRPr="00D83F9E">
        <w:rPr>
          <w:lang w:val="es-CR"/>
        </w:rPr>
        <w:t xml:space="preserve"> </w:t>
      </w:r>
      <w:r w:rsidR="00D83F9E" w:rsidRPr="00D83F9E">
        <w:rPr>
          <w:lang w:val="es-CR"/>
        </w:rPr>
        <w:t xml:space="preserve">el 45.56% del gran total; y San Jerónimo el menor número de casos, reportando solo 25 </w:t>
      </w:r>
    </w:p>
    <w:p w14:paraId="1926572E" w14:textId="11EB5540" w:rsidR="00D83F9E" w:rsidRPr="00D83F9E" w:rsidRDefault="00D83F9E" w:rsidP="00D83F9E">
      <w:pPr>
        <w:tabs>
          <w:tab w:val="left" w:pos="3300"/>
        </w:tabs>
        <w:jc w:val="both"/>
        <w:rPr>
          <w:lang w:val="es-CR"/>
        </w:rPr>
      </w:pPr>
      <w:r w:rsidRPr="00D83F9E">
        <w:rPr>
          <w:lang w:val="es-CR"/>
        </w:rPr>
        <w:t>casos, siendo el 0.30%. Estas muestras fueron tomadas de marzo de 2020 al mes de noviembre de 2021</w:t>
      </w:r>
      <w:r>
        <w:rPr>
          <w:lang w:val="es-CR"/>
        </w:rPr>
        <w:t xml:space="preserve"> (ver gráfico 1)</w:t>
      </w:r>
      <w:r w:rsidRPr="00D83F9E">
        <w:rPr>
          <w:lang w:val="es-CR"/>
        </w:rPr>
        <w:t>.</w:t>
      </w:r>
    </w:p>
    <w:p w14:paraId="19597AA7" w14:textId="77777777" w:rsidR="00D83F9E" w:rsidRPr="00D83F9E" w:rsidRDefault="00D83F9E" w:rsidP="00D83F9E">
      <w:pPr>
        <w:tabs>
          <w:tab w:val="left" w:pos="3300"/>
        </w:tabs>
        <w:jc w:val="both"/>
        <w:rPr>
          <w:lang w:val="es-CR"/>
        </w:rPr>
      </w:pPr>
    </w:p>
    <w:p w14:paraId="18C31909" w14:textId="77777777" w:rsidR="00D83F9E" w:rsidRPr="001E1306" w:rsidRDefault="00D83F9E" w:rsidP="00D83F9E">
      <w:pPr>
        <w:tabs>
          <w:tab w:val="left" w:pos="3300"/>
        </w:tabs>
        <w:jc w:val="both"/>
        <w:rPr>
          <w:b/>
          <w:lang w:val="es-CR"/>
        </w:rPr>
      </w:pPr>
      <w:r w:rsidRPr="001E1306">
        <w:rPr>
          <w:b/>
          <w:lang w:val="es-CR"/>
        </w:rPr>
        <w:t xml:space="preserve">Caso </w:t>
      </w:r>
      <w:proofErr w:type="spellStart"/>
      <w:r w:rsidRPr="001E1306">
        <w:rPr>
          <w:b/>
          <w:lang w:val="es-CR"/>
        </w:rPr>
        <w:t>N°</w:t>
      </w:r>
      <w:proofErr w:type="spellEnd"/>
      <w:r w:rsidRPr="001E1306">
        <w:rPr>
          <w:b/>
          <w:lang w:val="es-CR"/>
        </w:rPr>
        <w:t xml:space="preserve"> 2. Casos positivos de los establecimientos de salud de la región metropolitana de San Pedro Sula</w:t>
      </w:r>
    </w:p>
    <w:p w14:paraId="0FA422DF" w14:textId="77777777" w:rsidR="00D83F9E" w:rsidRPr="00D83F9E" w:rsidRDefault="00D83F9E" w:rsidP="00D83F9E">
      <w:pPr>
        <w:tabs>
          <w:tab w:val="left" w:pos="3300"/>
        </w:tabs>
        <w:jc w:val="both"/>
        <w:rPr>
          <w:lang w:val="es-CR"/>
        </w:rPr>
      </w:pPr>
    </w:p>
    <w:p w14:paraId="293E4333" w14:textId="198965CC" w:rsidR="00D83F9E" w:rsidRPr="00D83F9E" w:rsidRDefault="00D83F9E" w:rsidP="00D83F9E">
      <w:pPr>
        <w:tabs>
          <w:tab w:val="left" w:pos="3300"/>
        </w:tabs>
        <w:jc w:val="both"/>
        <w:rPr>
          <w:lang w:val="es-CR"/>
        </w:rPr>
      </w:pPr>
      <w:r w:rsidRPr="00D83F9E">
        <w:rPr>
          <w:lang w:val="es-CR"/>
        </w:rPr>
        <w:t>Según datos acumulados del 17 de marzo 2020 al 20 de noviembre 2021, se tiene un total de casos positivos de 21 290. El establecimiento de MPB presenta el mayor número de casos positivos, con un total de 8205, que corresponde a un 38.54% del gran total, y Tomalá el menor reporte, de un solo caso, con 0.001%</w:t>
      </w:r>
      <w:r>
        <w:rPr>
          <w:lang w:val="es-CR"/>
        </w:rPr>
        <w:t xml:space="preserve"> (ver gráfico 2)</w:t>
      </w:r>
      <w:r w:rsidR="005E34CA">
        <w:rPr>
          <w:lang w:val="es-CR"/>
        </w:rPr>
        <w:t>.</w:t>
      </w:r>
    </w:p>
    <w:p w14:paraId="28A23D92" w14:textId="77777777" w:rsidR="00D83F9E" w:rsidRPr="005E34CA" w:rsidRDefault="00D83F9E" w:rsidP="00D83F9E">
      <w:pPr>
        <w:tabs>
          <w:tab w:val="left" w:pos="3300"/>
        </w:tabs>
        <w:jc w:val="both"/>
        <w:rPr>
          <w:lang w:val="es-CR"/>
        </w:rPr>
      </w:pPr>
    </w:p>
    <w:p w14:paraId="7320E26A" w14:textId="77777777" w:rsidR="00D83F9E" w:rsidRPr="001E1306" w:rsidRDefault="00D83F9E" w:rsidP="00D83F9E">
      <w:pPr>
        <w:tabs>
          <w:tab w:val="left" w:pos="3300"/>
        </w:tabs>
        <w:jc w:val="both"/>
        <w:rPr>
          <w:b/>
          <w:lang w:val="es-CR"/>
        </w:rPr>
      </w:pPr>
      <w:r w:rsidRPr="001E1306">
        <w:rPr>
          <w:b/>
          <w:lang w:val="es-CR"/>
        </w:rPr>
        <w:t xml:space="preserve">Caso </w:t>
      </w:r>
      <w:proofErr w:type="spellStart"/>
      <w:r w:rsidRPr="001E1306">
        <w:rPr>
          <w:b/>
          <w:lang w:val="es-CR"/>
        </w:rPr>
        <w:t>N°</w:t>
      </w:r>
      <w:proofErr w:type="spellEnd"/>
      <w:r w:rsidRPr="001E1306">
        <w:rPr>
          <w:b/>
          <w:lang w:val="es-CR"/>
        </w:rPr>
        <w:t xml:space="preserve"> 3. Fallecimientos de los diferentes hospitales de San Pedro Sula</w:t>
      </w:r>
    </w:p>
    <w:p w14:paraId="4F9AF2EE" w14:textId="77777777" w:rsidR="00D83F9E" w:rsidRPr="00D83F9E" w:rsidRDefault="00D83F9E" w:rsidP="00D83F9E">
      <w:pPr>
        <w:tabs>
          <w:tab w:val="left" w:pos="3300"/>
        </w:tabs>
        <w:jc w:val="both"/>
        <w:rPr>
          <w:b/>
          <w:u w:val="single"/>
          <w:lang w:val="es-CR"/>
        </w:rPr>
      </w:pPr>
    </w:p>
    <w:p w14:paraId="066684C8" w14:textId="098196DE" w:rsidR="00D83F9E" w:rsidRPr="00D83F9E" w:rsidRDefault="00D83F9E" w:rsidP="00D83F9E">
      <w:pPr>
        <w:tabs>
          <w:tab w:val="left" w:pos="3300"/>
        </w:tabs>
        <w:jc w:val="both"/>
        <w:rPr>
          <w:lang w:val="es-CR"/>
        </w:rPr>
      </w:pPr>
      <w:r w:rsidRPr="00D83F9E">
        <w:rPr>
          <w:lang w:val="es-CR"/>
        </w:rPr>
        <w:t>Del 1º de enero al 20 de noviembre de 2021 se tomaron 54 211 muestras, de las cuales fueron positivas 21 290, habiendo un 39.27% de positividad; por lo tanto, son 32 921 muestras negativas. Se recuperaron 4294 personas, pero fallecieron 818 personas entre todos los hospitales. Un 0.83% fue el porcentaje de personas que murieron entre los casos que salieron positivos. En el Hospital Mario Catarino Rivas se presentó el mayor número de fallecidos, 332 el 42.67%, y el menor número entre la Clínica Privada Hospital Escuela Universitario y el Hospital de Progreso, donde hay una muerte en cada uno de estos, el 0.12% del total</w:t>
      </w:r>
      <w:r>
        <w:rPr>
          <w:lang w:val="es-CR"/>
        </w:rPr>
        <w:t xml:space="preserve"> (ver gráfico 3)</w:t>
      </w:r>
      <w:r w:rsidRPr="00D83F9E">
        <w:rPr>
          <w:lang w:val="es-CR"/>
        </w:rPr>
        <w:t>.</w:t>
      </w:r>
    </w:p>
    <w:p w14:paraId="531B6289" w14:textId="77777777" w:rsidR="005E34CA" w:rsidRPr="00D83F9E" w:rsidRDefault="005E34CA" w:rsidP="005E34CA">
      <w:pPr>
        <w:tabs>
          <w:tab w:val="left" w:pos="3300"/>
        </w:tabs>
        <w:jc w:val="both"/>
        <w:rPr>
          <w:lang w:val="es-CR"/>
        </w:rPr>
      </w:pPr>
      <w:r w:rsidRPr="00D83F9E">
        <w:rPr>
          <w:lang w:val="es-CR"/>
        </w:rPr>
        <w:t>También se tomaron en cuenta datos estadísticos de otros sitios como: Hospital María, donde se reportan dos fallecimientos; Hospital Regional Occidente, con dos fallecidos; Hospital Santa Bárbara Integrado, con dos fallecidos; Hospital Escuela Universitario, con un fallecido; y Hospital Progreso, con un fallecido</w:t>
      </w:r>
      <w:r>
        <w:rPr>
          <w:lang w:val="es-CR"/>
        </w:rPr>
        <w:t xml:space="preserve"> (ver gráfico 4)</w:t>
      </w:r>
      <w:r w:rsidRPr="00D83F9E">
        <w:rPr>
          <w:lang w:val="es-CR"/>
        </w:rPr>
        <w:t>.</w:t>
      </w:r>
    </w:p>
    <w:p w14:paraId="2600AAD9" w14:textId="77777777" w:rsidR="00D83F9E" w:rsidRPr="00D83F9E" w:rsidRDefault="00D83F9E" w:rsidP="00D83F9E">
      <w:pPr>
        <w:tabs>
          <w:tab w:val="left" w:pos="3300"/>
        </w:tabs>
        <w:jc w:val="both"/>
        <w:rPr>
          <w:lang w:val="es-CR"/>
        </w:rPr>
      </w:pPr>
    </w:p>
    <w:tbl>
      <w:tblPr>
        <w:tblStyle w:val="Tablaconcuadrcula"/>
        <w:tblpPr w:leftFromText="141" w:rightFromText="141" w:vertAnchor="text" w:tblpY="1"/>
        <w:tblOverlap w:val="never"/>
        <w:tblW w:w="9351" w:type="dxa"/>
        <w:tblLook w:val="04A0" w:firstRow="1" w:lastRow="0" w:firstColumn="1" w:lastColumn="0" w:noHBand="0" w:noVBand="1"/>
      </w:tblPr>
      <w:tblGrid>
        <w:gridCol w:w="9351"/>
      </w:tblGrid>
      <w:tr w:rsidR="00D83F9E" w:rsidRPr="00430909" w14:paraId="5F3E87EF" w14:textId="77777777" w:rsidTr="005E34CA">
        <w:tc>
          <w:tcPr>
            <w:tcW w:w="9351" w:type="dxa"/>
          </w:tcPr>
          <w:p w14:paraId="02A71789" w14:textId="22AE911D" w:rsidR="00D83F9E" w:rsidRDefault="00D83F9E" w:rsidP="005E34CA">
            <w:pPr>
              <w:tabs>
                <w:tab w:val="left" w:pos="3300"/>
              </w:tabs>
              <w:spacing w:line="276" w:lineRule="auto"/>
              <w:jc w:val="both"/>
              <w:rPr>
                <w:rFonts w:ascii="Arial" w:hAnsi="Arial" w:cs="Arial"/>
              </w:rPr>
            </w:pPr>
            <w:r w:rsidRPr="002A7412">
              <w:rPr>
                <w:rFonts w:ascii="Arial" w:hAnsi="Arial" w:cs="Arial"/>
                <w:b/>
              </w:rPr>
              <w:lastRenderedPageBreak/>
              <w:t xml:space="preserve">Gráfico </w:t>
            </w:r>
            <w:r>
              <w:rPr>
                <w:rFonts w:ascii="Arial" w:hAnsi="Arial" w:cs="Arial"/>
                <w:b/>
              </w:rPr>
              <w:t>3</w:t>
            </w:r>
            <w:r w:rsidRPr="002A7412">
              <w:rPr>
                <w:rFonts w:ascii="Arial" w:hAnsi="Arial" w:cs="Arial"/>
                <w:b/>
              </w:rPr>
              <w:t>.</w:t>
            </w:r>
            <w:r>
              <w:rPr>
                <w:rFonts w:ascii="Arial" w:hAnsi="Arial" w:cs="Arial"/>
              </w:rPr>
              <w:t xml:space="preserve"> Porcentaje de fallecimiento por institución hospitalaria</w:t>
            </w:r>
          </w:p>
        </w:tc>
      </w:tr>
      <w:tr w:rsidR="00D83F9E" w14:paraId="605D1D39" w14:textId="77777777" w:rsidTr="005E34CA">
        <w:tc>
          <w:tcPr>
            <w:tcW w:w="9351" w:type="dxa"/>
          </w:tcPr>
          <w:p w14:paraId="7CF1B942" w14:textId="77777777" w:rsidR="00D83F9E" w:rsidRDefault="00D83F9E" w:rsidP="005E34CA">
            <w:pPr>
              <w:tabs>
                <w:tab w:val="left" w:pos="3300"/>
              </w:tabs>
              <w:spacing w:line="276" w:lineRule="auto"/>
              <w:jc w:val="both"/>
              <w:rPr>
                <w:rFonts w:ascii="Arial" w:hAnsi="Arial" w:cs="Arial"/>
              </w:rPr>
            </w:pPr>
            <w:r>
              <w:rPr>
                <w:noProof/>
                <w:lang w:val="es-CR" w:eastAsia="es-CR"/>
              </w:rPr>
              <w:drawing>
                <wp:inline distT="0" distB="0" distL="0" distR="0" wp14:anchorId="2468E492" wp14:editId="5D37BD23">
                  <wp:extent cx="5512279" cy="2999740"/>
                  <wp:effectExtent l="0" t="0" r="0" b="0"/>
                  <wp:docPr id="5" name="Gráfico 1">
                    <a:extLst xmlns:a="http://schemas.openxmlformats.org/drawingml/2006/main">
                      <a:ext uri="{FF2B5EF4-FFF2-40B4-BE49-F238E27FC236}">
                        <a16:creationId xmlns:a16="http://schemas.microsoft.com/office/drawing/2014/main" id="{68F4C0F7-99E6-ED10-FF68-58D7D9E395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D83F9E" w14:paraId="2CB37DF6" w14:textId="77777777" w:rsidTr="005E34CA">
        <w:tc>
          <w:tcPr>
            <w:tcW w:w="9351" w:type="dxa"/>
            <w:tcBorders>
              <w:bottom w:val="single" w:sz="4" w:space="0" w:color="auto"/>
            </w:tcBorders>
          </w:tcPr>
          <w:p w14:paraId="6F370479" w14:textId="7AC7BAF3" w:rsidR="00D83F9E" w:rsidRDefault="00D83F9E" w:rsidP="005E34CA">
            <w:pPr>
              <w:tabs>
                <w:tab w:val="left" w:pos="3300"/>
              </w:tabs>
              <w:spacing w:line="276" w:lineRule="auto"/>
              <w:jc w:val="both"/>
              <w:rPr>
                <w:rFonts w:ascii="Arial" w:hAnsi="Arial" w:cs="Arial"/>
              </w:rPr>
            </w:pPr>
            <w:r w:rsidRPr="002A7412">
              <w:rPr>
                <w:rFonts w:ascii="Arial" w:hAnsi="Arial" w:cs="Arial"/>
                <w:b/>
                <w:sz w:val="18"/>
              </w:rPr>
              <w:t>Fuente</w:t>
            </w:r>
            <w:r w:rsidR="00252C9C">
              <w:rPr>
                <w:rFonts w:ascii="Arial" w:hAnsi="Arial" w:cs="Arial"/>
                <w:b/>
                <w:sz w:val="18"/>
              </w:rPr>
              <w:t>.</w:t>
            </w:r>
            <w:r w:rsidRPr="002A7412">
              <w:rPr>
                <w:rFonts w:ascii="Arial" w:hAnsi="Arial" w:cs="Arial"/>
                <w:b/>
                <w:sz w:val="18"/>
              </w:rPr>
              <w:t xml:space="preserve"> </w:t>
            </w:r>
            <w:r w:rsidRPr="002A7412">
              <w:rPr>
                <w:rFonts w:ascii="Arial" w:hAnsi="Arial" w:cs="Arial"/>
                <w:sz w:val="18"/>
              </w:rPr>
              <w:t>Elaboración propia, 2024.</w:t>
            </w:r>
          </w:p>
        </w:tc>
      </w:tr>
      <w:tr w:rsidR="005E34CA" w:rsidRPr="005E34CA" w14:paraId="1B310745" w14:textId="77777777" w:rsidTr="005E34CA">
        <w:tc>
          <w:tcPr>
            <w:tcW w:w="9351" w:type="dxa"/>
            <w:tcBorders>
              <w:top w:val="single" w:sz="4" w:space="0" w:color="auto"/>
              <w:left w:val="nil"/>
              <w:bottom w:val="nil"/>
              <w:right w:val="nil"/>
            </w:tcBorders>
          </w:tcPr>
          <w:p w14:paraId="0100EA81" w14:textId="77777777" w:rsidR="005E34CA" w:rsidRPr="005E34CA" w:rsidRDefault="005E34CA" w:rsidP="005E34CA">
            <w:pPr>
              <w:tabs>
                <w:tab w:val="left" w:pos="3300"/>
              </w:tabs>
              <w:jc w:val="both"/>
              <w:rPr>
                <w:b/>
              </w:rPr>
            </w:pPr>
          </w:p>
        </w:tc>
      </w:tr>
    </w:tbl>
    <w:tbl>
      <w:tblPr>
        <w:tblStyle w:val="Tablaconcuadrcula"/>
        <w:tblpPr w:leftFromText="141" w:rightFromText="141" w:vertAnchor="text" w:horzAnchor="margin" w:tblpY="18"/>
        <w:tblOverlap w:val="never"/>
        <w:tblW w:w="9351" w:type="dxa"/>
        <w:tblLook w:val="04A0" w:firstRow="1" w:lastRow="0" w:firstColumn="1" w:lastColumn="0" w:noHBand="0" w:noVBand="1"/>
      </w:tblPr>
      <w:tblGrid>
        <w:gridCol w:w="9351"/>
      </w:tblGrid>
      <w:tr w:rsidR="00252C9C" w:rsidRPr="00430909" w14:paraId="7417DE6B" w14:textId="77777777" w:rsidTr="00252C9C">
        <w:tc>
          <w:tcPr>
            <w:tcW w:w="9351" w:type="dxa"/>
            <w:tcBorders>
              <w:top w:val="single" w:sz="4" w:space="0" w:color="auto"/>
            </w:tcBorders>
          </w:tcPr>
          <w:p w14:paraId="1A957E38" w14:textId="77777777" w:rsidR="00252C9C" w:rsidRDefault="00252C9C" w:rsidP="00252C9C">
            <w:pPr>
              <w:tabs>
                <w:tab w:val="left" w:pos="3300"/>
              </w:tabs>
              <w:spacing w:line="276" w:lineRule="auto"/>
              <w:jc w:val="both"/>
              <w:rPr>
                <w:rFonts w:ascii="Arial" w:hAnsi="Arial" w:cs="Arial"/>
              </w:rPr>
            </w:pPr>
            <w:r w:rsidRPr="002A7412">
              <w:rPr>
                <w:rFonts w:ascii="Arial" w:hAnsi="Arial" w:cs="Arial"/>
                <w:b/>
              </w:rPr>
              <w:t xml:space="preserve">Gráfico </w:t>
            </w:r>
            <w:r>
              <w:rPr>
                <w:rFonts w:ascii="Arial" w:hAnsi="Arial" w:cs="Arial"/>
                <w:b/>
              </w:rPr>
              <w:t>4</w:t>
            </w:r>
            <w:r w:rsidRPr="002A7412">
              <w:rPr>
                <w:rFonts w:ascii="Arial" w:hAnsi="Arial" w:cs="Arial"/>
                <w:b/>
              </w:rPr>
              <w:t>.</w:t>
            </w:r>
            <w:r>
              <w:rPr>
                <w:rFonts w:ascii="Arial" w:hAnsi="Arial" w:cs="Arial"/>
              </w:rPr>
              <w:t xml:space="preserve"> Mortalidad en otros hospitales</w:t>
            </w:r>
          </w:p>
        </w:tc>
      </w:tr>
      <w:tr w:rsidR="00252C9C" w14:paraId="27371009" w14:textId="77777777" w:rsidTr="00252C9C">
        <w:tc>
          <w:tcPr>
            <w:tcW w:w="9351" w:type="dxa"/>
            <w:tcBorders>
              <w:bottom w:val="single" w:sz="4" w:space="0" w:color="auto"/>
            </w:tcBorders>
          </w:tcPr>
          <w:p w14:paraId="52BC91ED" w14:textId="77777777" w:rsidR="00252C9C" w:rsidRDefault="00252C9C" w:rsidP="00252C9C">
            <w:pPr>
              <w:tabs>
                <w:tab w:val="left" w:pos="3300"/>
              </w:tabs>
              <w:spacing w:line="276" w:lineRule="auto"/>
              <w:jc w:val="center"/>
              <w:rPr>
                <w:rFonts w:ascii="Arial" w:hAnsi="Arial" w:cs="Arial"/>
              </w:rPr>
            </w:pPr>
            <w:r>
              <w:rPr>
                <w:noProof/>
                <w:lang w:val="es-CR" w:eastAsia="es-CR"/>
              </w:rPr>
              <w:drawing>
                <wp:inline distT="0" distB="0" distL="0" distR="0" wp14:anchorId="3EE14013" wp14:editId="3F4A1854">
                  <wp:extent cx="5495026" cy="280035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252C9C" w14:paraId="66E373E0" w14:textId="77777777" w:rsidTr="00252C9C">
        <w:tc>
          <w:tcPr>
            <w:tcW w:w="9351" w:type="dxa"/>
            <w:tcBorders>
              <w:top w:val="single" w:sz="4" w:space="0" w:color="auto"/>
              <w:left w:val="single" w:sz="4" w:space="0" w:color="auto"/>
              <w:bottom w:val="single" w:sz="4" w:space="0" w:color="auto"/>
              <w:right w:val="single" w:sz="4" w:space="0" w:color="auto"/>
            </w:tcBorders>
          </w:tcPr>
          <w:p w14:paraId="066EE212" w14:textId="77777777" w:rsidR="00252C9C" w:rsidRDefault="00252C9C" w:rsidP="00252C9C">
            <w:pPr>
              <w:tabs>
                <w:tab w:val="left" w:pos="3300"/>
              </w:tabs>
              <w:spacing w:line="276" w:lineRule="auto"/>
              <w:jc w:val="both"/>
              <w:rPr>
                <w:rFonts w:ascii="Arial" w:hAnsi="Arial" w:cs="Arial"/>
              </w:rPr>
            </w:pPr>
            <w:r w:rsidRPr="002A7412">
              <w:rPr>
                <w:rFonts w:ascii="Arial" w:hAnsi="Arial" w:cs="Arial"/>
                <w:b/>
                <w:sz w:val="18"/>
              </w:rPr>
              <w:t>Fuente</w:t>
            </w:r>
            <w:r>
              <w:rPr>
                <w:rFonts w:ascii="Arial" w:hAnsi="Arial" w:cs="Arial"/>
                <w:b/>
                <w:sz w:val="18"/>
              </w:rPr>
              <w:t>.</w:t>
            </w:r>
            <w:r w:rsidRPr="002A7412">
              <w:rPr>
                <w:rFonts w:ascii="Arial" w:hAnsi="Arial" w:cs="Arial"/>
                <w:b/>
                <w:sz w:val="18"/>
              </w:rPr>
              <w:t xml:space="preserve"> </w:t>
            </w:r>
            <w:r w:rsidRPr="002A7412">
              <w:rPr>
                <w:rFonts w:ascii="Arial" w:hAnsi="Arial" w:cs="Arial"/>
                <w:sz w:val="18"/>
              </w:rPr>
              <w:t>Elaboración propia, 2024.</w:t>
            </w:r>
          </w:p>
        </w:tc>
      </w:tr>
      <w:tr w:rsidR="00252C9C" w14:paraId="727EFDA8" w14:textId="77777777" w:rsidTr="00252C9C">
        <w:tc>
          <w:tcPr>
            <w:tcW w:w="9351" w:type="dxa"/>
            <w:tcBorders>
              <w:top w:val="single" w:sz="4" w:space="0" w:color="auto"/>
              <w:left w:val="nil"/>
              <w:bottom w:val="nil"/>
              <w:right w:val="nil"/>
            </w:tcBorders>
          </w:tcPr>
          <w:p w14:paraId="33B644ED" w14:textId="77777777" w:rsidR="00252C9C" w:rsidRPr="002A7412" w:rsidRDefault="00252C9C" w:rsidP="00252C9C">
            <w:pPr>
              <w:tabs>
                <w:tab w:val="left" w:pos="3300"/>
              </w:tabs>
              <w:jc w:val="both"/>
              <w:rPr>
                <w:b/>
                <w:sz w:val="18"/>
              </w:rPr>
            </w:pPr>
          </w:p>
        </w:tc>
      </w:tr>
    </w:tbl>
    <w:p w14:paraId="0C8DA552" w14:textId="77777777" w:rsidR="005E34CA" w:rsidRPr="00252C9C" w:rsidRDefault="005E34CA" w:rsidP="005E34CA">
      <w:pPr>
        <w:tabs>
          <w:tab w:val="left" w:pos="3300"/>
        </w:tabs>
        <w:jc w:val="both"/>
        <w:rPr>
          <w:b/>
          <w:lang w:val="es-CR"/>
        </w:rPr>
      </w:pPr>
      <w:r w:rsidRPr="00252C9C">
        <w:rPr>
          <w:b/>
          <w:lang w:val="es-CR"/>
        </w:rPr>
        <w:t xml:space="preserve">Caso </w:t>
      </w:r>
      <w:proofErr w:type="spellStart"/>
      <w:r w:rsidRPr="00252C9C">
        <w:rPr>
          <w:b/>
          <w:lang w:val="es-CR"/>
        </w:rPr>
        <w:t>N°</w:t>
      </w:r>
      <w:proofErr w:type="spellEnd"/>
      <w:r w:rsidRPr="00252C9C">
        <w:rPr>
          <w:b/>
          <w:lang w:val="es-CR"/>
        </w:rPr>
        <w:t xml:space="preserve"> 4. Casos positivos de COVID-19 por mes en la región de Copán</w:t>
      </w:r>
    </w:p>
    <w:p w14:paraId="09810110" w14:textId="77777777" w:rsidR="00D83F9E" w:rsidRPr="00D83F9E" w:rsidRDefault="00D83F9E" w:rsidP="00D83F9E">
      <w:pPr>
        <w:tabs>
          <w:tab w:val="left" w:pos="3300"/>
        </w:tabs>
        <w:jc w:val="both"/>
        <w:rPr>
          <w:lang w:val="es-CR"/>
        </w:rPr>
      </w:pPr>
    </w:p>
    <w:p w14:paraId="212A6416" w14:textId="61E9F8F1" w:rsidR="005E34CA" w:rsidRPr="00D83F9E" w:rsidRDefault="00D83F9E" w:rsidP="00D83F9E">
      <w:pPr>
        <w:tabs>
          <w:tab w:val="left" w:pos="3300"/>
        </w:tabs>
        <w:jc w:val="both"/>
        <w:rPr>
          <w:lang w:val="es-CR"/>
        </w:rPr>
      </w:pPr>
      <w:r w:rsidRPr="000A6B6A">
        <w:rPr>
          <w:noProof/>
          <w:lang w:val="es-CR" w:eastAsia="es-CR"/>
        </w:rPr>
        <w:drawing>
          <wp:anchor distT="0" distB="0" distL="0" distR="0" simplePos="0" relativeHeight="251664384" behindDoc="0" locked="0" layoutInCell="1" allowOverlap="1" wp14:anchorId="3EE0C29A" wp14:editId="4F96726D">
            <wp:simplePos x="0" y="0"/>
            <wp:positionH relativeFrom="margin">
              <wp:posOffset>-508635</wp:posOffset>
            </wp:positionH>
            <wp:positionV relativeFrom="paragraph">
              <wp:posOffset>43830240</wp:posOffset>
            </wp:positionV>
            <wp:extent cx="5612130" cy="3680460"/>
            <wp:effectExtent l="0" t="0" r="7620" b="0"/>
            <wp:wrapNone/>
            <wp:docPr id="19052032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368046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D83F9E">
        <w:rPr>
          <w:lang w:val="es-CR"/>
        </w:rPr>
        <w:t xml:space="preserve">De marzo de 2020 al mes de noviembre de 2021 se tomaron 32 668 muestras, de las cuales salieron positivas 8 383 muestras, siendo la sumatoria de cada municipio de Copán dividida entre cada mes. El mayor número de casos positivos se registró en el mes de octubre de 2020, con un total de 1128 casos positivos registrados, siendo el 13.46% de los casos; y el menor número de </w:t>
      </w:r>
      <w:r w:rsidR="00117EFC" w:rsidRPr="00D83F9E">
        <w:rPr>
          <w:lang w:val="es-CR"/>
        </w:rPr>
        <w:t>casos fue en marzo de 2020, un caso, el 0.01%.</w:t>
      </w:r>
    </w:p>
    <w:tbl>
      <w:tblPr>
        <w:tblStyle w:val="Tablaconcuadrcula"/>
        <w:tblpPr w:leftFromText="141" w:rightFromText="141" w:vertAnchor="text" w:horzAnchor="margin" w:tblpY="2632"/>
        <w:tblOverlap w:val="never"/>
        <w:tblW w:w="9351" w:type="dxa"/>
        <w:tblLayout w:type="fixed"/>
        <w:tblCellMar>
          <w:top w:w="57" w:type="dxa"/>
          <w:bottom w:w="57" w:type="dxa"/>
        </w:tblCellMar>
        <w:tblLook w:val="0000" w:firstRow="0" w:lastRow="0" w:firstColumn="0" w:lastColumn="0" w:noHBand="0" w:noVBand="0"/>
      </w:tblPr>
      <w:tblGrid>
        <w:gridCol w:w="2830"/>
        <w:gridCol w:w="3119"/>
        <w:gridCol w:w="3402"/>
      </w:tblGrid>
      <w:tr w:rsidR="00996839" w:rsidRPr="00430909" w14:paraId="01EBE93F" w14:textId="77777777" w:rsidTr="00996839">
        <w:trPr>
          <w:trHeight w:val="262"/>
        </w:trPr>
        <w:tc>
          <w:tcPr>
            <w:tcW w:w="9351" w:type="dxa"/>
            <w:gridSpan w:val="3"/>
            <w:tcBorders>
              <w:top w:val="nil"/>
              <w:left w:val="nil"/>
              <w:bottom w:val="single" w:sz="4" w:space="0" w:color="auto"/>
              <w:right w:val="nil"/>
            </w:tcBorders>
          </w:tcPr>
          <w:p w14:paraId="0FDBE4F9" w14:textId="77777777" w:rsidR="00996839" w:rsidRPr="00797EE3" w:rsidRDefault="00996839" w:rsidP="00996839">
            <w:pPr>
              <w:tabs>
                <w:tab w:val="left" w:pos="3300"/>
              </w:tabs>
              <w:jc w:val="both"/>
              <w:rPr>
                <w:b/>
                <w:bCs/>
              </w:rPr>
            </w:pPr>
          </w:p>
        </w:tc>
      </w:tr>
      <w:tr w:rsidR="005E34CA" w:rsidRPr="00430909" w14:paraId="44BC338C" w14:textId="77777777" w:rsidTr="00996839">
        <w:trPr>
          <w:trHeight w:val="262"/>
        </w:trPr>
        <w:tc>
          <w:tcPr>
            <w:tcW w:w="9351" w:type="dxa"/>
            <w:gridSpan w:val="3"/>
            <w:tcBorders>
              <w:top w:val="single" w:sz="4" w:space="0" w:color="auto"/>
            </w:tcBorders>
          </w:tcPr>
          <w:p w14:paraId="724E666C" w14:textId="4B87D544" w:rsidR="005E34CA" w:rsidRPr="00797EE3" w:rsidRDefault="005E34CA" w:rsidP="00996839">
            <w:pPr>
              <w:tabs>
                <w:tab w:val="left" w:pos="3300"/>
              </w:tabs>
              <w:spacing w:line="276" w:lineRule="auto"/>
              <w:jc w:val="both"/>
              <w:rPr>
                <w:rFonts w:ascii="Arial" w:hAnsi="Arial" w:cs="Arial"/>
                <w:bCs/>
                <w:sz w:val="24"/>
              </w:rPr>
            </w:pPr>
            <w:r w:rsidRPr="00797EE3">
              <w:rPr>
                <w:rFonts w:ascii="Arial" w:hAnsi="Arial" w:cs="Arial"/>
                <w:b/>
                <w:bCs/>
              </w:rPr>
              <w:t xml:space="preserve">Tabla 1. </w:t>
            </w:r>
            <w:r w:rsidRPr="00797EE3">
              <w:rPr>
                <w:rFonts w:ascii="Arial" w:hAnsi="Arial" w:cs="Arial"/>
                <w:bCs/>
              </w:rPr>
              <w:t>Casos positivos por mes</w:t>
            </w:r>
          </w:p>
        </w:tc>
      </w:tr>
      <w:tr w:rsidR="005E34CA" w:rsidRPr="000A6B6A" w14:paraId="7917E1A1" w14:textId="77777777" w:rsidTr="00996839">
        <w:trPr>
          <w:trHeight w:val="262"/>
        </w:trPr>
        <w:tc>
          <w:tcPr>
            <w:tcW w:w="2830" w:type="dxa"/>
          </w:tcPr>
          <w:p w14:paraId="03125482" w14:textId="7134BF08"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M</w:t>
            </w:r>
            <w:r w:rsidR="00BF1DC2">
              <w:rPr>
                <w:rFonts w:ascii="Arial" w:hAnsi="Arial" w:cs="Arial"/>
                <w:b/>
                <w:bCs/>
                <w:sz w:val="20"/>
              </w:rPr>
              <w:t>es</w:t>
            </w:r>
          </w:p>
        </w:tc>
        <w:tc>
          <w:tcPr>
            <w:tcW w:w="3119" w:type="dxa"/>
          </w:tcPr>
          <w:p w14:paraId="7140C01D" w14:textId="56B01488"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b/>
                <w:bCs/>
                <w:sz w:val="20"/>
              </w:rPr>
              <w:t>P</w:t>
            </w:r>
            <w:r w:rsidR="00A83D0A">
              <w:rPr>
                <w:rFonts w:ascii="Arial" w:hAnsi="Arial" w:cs="Arial"/>
                <w:b/>
                <w:bCs/>
                <w:sz w:val="20"/>
              </w:rPr>
              <w:t>ositivos</w:t>
            </w:r>
          </w:p>
        </w:tc>
        <w:tc>
          <w:tcPr>
            <w:tcW w:w="3402" w:type="dxa"/>
          </w:tcPr>
          <w:p w14:paraId="5C16FDEA" w14:textId="547299EC" w:rsidR="005E34CA" w:rsidRPr="00DA3028" w:rsidRDefault="00BF3AAB" w:rsidP="00996839">
            <w:pPr>
              <w:tabs>
                <w:tab w:val="left" w:pos="3300"/>
              </w:tabs>
              <w:spacing w:line="276" w:lineRule="auto"/>
              <w:jc w:val="center"/>
              <w:rPr>
                <w:rFonts w:ascii="Arial" w:hAnsi="Arial" w:cs="Arial"/>
                <w:sz w:val="20"/>
              </w:rPr>
            </w:pPr>
            <w:r>
              <w:rPr>
                <w:rFonts w:ascii="Arial" w:hAnsi="Arial" w:cs="Arial"/>
                <w:b/>
                <w:bCs/>
                <w:sz w:val="20"/>
              </w:rPr>
              <w:t>Porcentaje</w:t>
            </w:r>
          </w:p>
        </w:tc>
      </w:tr>
      <w:tr w:rsidR="005E34CA" w:rsidRPr="000A6B6A" w14:paraId="72CC3188" w14:textId="77777777" w:rsidTr="00996839">
        <w:trPr>
          <w:trHeight w:val="262"/>
        </w:trPr>
        <w:tc>
          <w:tcPr>
            <w:tcW w:w="2830" w:type="dxa"/>
          </w:tcPr>
          <w:p w14:paraId="2437E5B6"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mar-20</w:t>
            </w:r>
          </w:p>
        </w:tc>
        <w:tc>
          <w:tcPr>
            <w:tcW w:w="3119" w:type="dxa"/>
          </w:tcPr>
          <w:p w14:paraId="0F74334A"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1</w:t>
            </w:r>
          </w:p>
        </w:tc>
        <w:tc>
          <w:tcPr>
            <w:tcW w:w="3402" w:type="dxa"/>
          </w:tcPr>
          <w:p w14:paraId="77E04BE3"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0.01</w:t>
            </w:r>
          </w:p>
        </w:tc>
      </w:tr>
      <w:tr w:rsidR="005E34CA" w:rsidRPr="000A6B6A" w14:paraId="08B87D1A" w14:textId="77777777" w:rsidTr="00996839">
        <w:trPr>
          <w:trHeight w:val="174"/>
        </w:trPr>
        <w:tc>
          <w:tcPr>
            <w:tcW w:w="2830" w:type="dxa"/>
          </w:tcPr>
          <w:p w14:paraId="1E95282B"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abr-20</w:t>
            </w:r>
          </w:p>
        </w:tc>
        <w:tc>
          <w:tcPr>
            <w:tcW w:w="3119" w:type="dxa"/>
          </w:tcPr>
          <w:p w14:paraId="5B32B38A"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3</w:t>
            </w:r>
          </w:p>
        </w:tc>
        <w:tc>
          <w:tcPr>
            <w:tcW w:w="3402" w:type="dxa"/>
          </w:tcPr>
          <w:p w14:paraId="431E9EA2"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0.04</w:t>
            </w:r>
          </w:p>
        </w:tc>
      </w:tr>
      <w:tr w:rsidR="005E34CA" w:rsidRPr="000A6B6A" w14:paraId="735FCCF8" w14:textId="77777777" w:rsidTr="00996839">
        <w:trPr>
          <w:trHeight w:val="174"/>
        </w:trPr>
        <w:tc>
          <w:tcPr>
            <w:tcW w:w="2830" w:type="dxa"/>
          </w:tcPr>
          <w:p w14:paraId="28A41687"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may-20</w:t>
            </w:r>
          </w:p>
        </w:tc>
        <w:tc>
          <w:tcPr>
            <w:tcW w:w="3119" w:type="dxa"/>
          </w:tcPr>
          <w:p w14:paraId="3A0108D8"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35</w:t>
            </w:r>
          </w:p>
        </w:tc>
        <w:tc>
          <w:tcPr>
            <w:tcW w:w="3402" w:type="dxa"/>
          </w:tcPr>
          <w:p w14:paraId="54BD0B1A"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0.42</w:t>
            </w:r>
          </w:p>
        </w:tc>
      </w:tr>
      <w:tr w:rsidR="005E34CA" w:rsidRPr="000A6B6A" w14:paraId="0C5FBF8E" w14:textId="77777777" w:rsidTr="00996839">
        <w:trPr>
          <w:trHeight w:val="174"/>
        </w:trPr>
        <w:tc>
          <w:tcPr>
            <w:tcW w:w="2830" w:type="dxa"/>
          </w:tcPr>
          <w:p w14:paraId="3D472ED8"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jun-20</w:t>
            </w:r>
          </w:p>
        </w:tc>
        <w:tc>
          <w:tcPr>
            <w:tcW w:w="3119" w:type="dxa"/>
          </w:tcPr>
          <w:p w14:paraId="6EDCEBE8"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170</w:t>
            </w:r>
          </w:p>
        </w:tc>
        <w:tc>
          <w:tcPr>
            <w:tcW w:w="3402" w:type="dxa"/>
          </w:tcPr>
          <w:p w14:paraId="2C532283"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2.03</w:t>
            </w:r>
          </w:p>
        </w:tc>
      </w:tr>
      <w:tr w:rsidR="005E34CA" w:rsidRPr="000A6B6A" w14:paraId="6EBB27C1" w14:textId="77777777" w:rsidTr="00996839">
        <w:trPr>
          <w:trHeight w:val="174"/>
        </w:trPr>
        <w:tc>
          <w:tcPr>
            <w:tcW w:w="2830" w:type="dxa"/>
          </w:tcPr>
          <w:p w14:paraId="50445465"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jul-20</w:t>
            </w:r>
          </w:p>
        </w:tc>
        <w:tc>
          <w:tcPr>
            <w:tcW w:w="3119" w:type="dxa"/>
          </w:tcPr>
          <w:p w14:paraId="68668E2A"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296</w:t>
            </w:r>
          </w:p>
        </w:tc>
        <w:tc>
          <w:tcPr>
            <w:tcW w:w="3402" w:type="dxa"/>
          </w:tcPr>
          <w:p w14:paraId="4168DB8B"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3.53</w:t>
            </w:r>
          </w:p>
        </w:tc>
      </w:tr>
      <w:tr w:rsidR="005E34CA" w:rsidRPr="000A6B6A" w14:paraId="2A39856C" w14:textId="77777777" w:rsidTr="00996839">
        <w:trPr>
          <w:trHeight w:val="174"/>
        </w:trPr>
        <w:tc>
          <w:tcPr>
            <w:tcW w:w="2830" w:type="dxa"/>
          </w:tcPr>
          <w:p w14:paraId="1CF1032A"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ago-20</w:t>
            </w:r>
          </w:p>
        </w:tc>
        <w:tc>
          <w:tcPr>
            <w:tcW w:w="3119" w:type="dxa"/>
          </w:tcPr>
          <w:p w14:paraId="65131309"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260</w:t>
            </w:r>
          </w:p>
        </w:tc>
        <w:tc>
          <w:tcPr>
            <w:tcW w:w="3402" w:type="dxa"/>
          </w:tcPr>
          <w:p w14:paraId="27CE23A0"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3.10</w:t>
            </w:r>
          </w:p>
        </w:tc>
      </w:tr>
      <w:tr w:rsidR="005E34CA" w:rsidRPr="000A6B6A" w14:paraId="581CC1EA" w14:textId="77777777" w:rsidTr="00996839">
        <w:trPr>
          <w:trHeight w:val="174"/>
        </w:trPr>
        <w:tc>
          <w:tcPr>
            <w:tcW w:w="2830" w:type="dxa"/>
          </w:tcPr>
          <w:p w14:paraId="7BC040F8"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sep-20</w:t>
            </w:r>
          </w:p>
        </w:tc>
        <w:tc>
          <w:tcPr>
            <w:tcW w:w="3119" w:type="dxa"/>
          </w:tcPr>
          <w:p w14:paraId="198967E7"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708</w:t>
            </w:r>
          </w:p>
        </w:tc>
        <w:tc>
          <w:tcPr>
            <w:tcW w:w="3402" w:type="dxa"/>
          </w:tcPr>
          <w:p w14:paraId="4763BB7F"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8.45</w:t>
            </w:r>
          </w:p>
        </w:tc>
      </w:tr>
      <w:tr w:rsidR="005E34CA" w:rsidRPr="000A6B6A" w14:paraId="7FE667A1" w14:textId="77777777" w:rsidTr="00996839">
        <w:trPr>
          <w:trHeight w:val="174"/>
        </w:trPr>
        <w:tc>
          <w:tcPr>
            <w:tcW w:w="2830" w:type="dxa"/>
          </w:tcPr>
          <w:p w14:paraId="6248127C"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oct-20</w:t>
            </w:r>
          </w:p>
        </w:tc>
        <w:tc>
          <w:tcPr>
            <w:tcW w:w="3119" w:type="dxa"/>
          </w:tcPr>
          <w:p w14:paraId="01FA0F25"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1128</w:t>
            </w:r>
          </w:p>
        </w:tc>
        <w:tc>
          <w:tcPr>
            <w:tcW w:w="3402" w:type="dxa"/>
          </w:tcPr>
          <w:p w14:paraId="7123A7B9"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13.46</w:t>
            </w:r>
          </w:p>
        </w:tc>
      </w:tr>
      <w:tr w:rsidR="005E34CA" w:rsidRPr="000A6B6A" w14:paraId="5A8D9CA1" w14:textId="77777777" w:rsidTr="00996839">
        <w:trPr>
          <w:trHeight w:val="174"/>
        </w:trPr>
        <w:tc>
          <w:tcPr>
            <w:tcW w:w="2830" w:type="dxa"/>
          </w:tcPr>
          <w:p w14:paraId="45229355"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nov-20</w:t>
            </w:r>
          </w:p>
        </w:tc>
        <w:tc>
          <w:tcPr>
            <w:tcW w:w="3119" w:type="dxa"/>
          </w:tcPr>
          <w:p w14:paraId="5A7B09DB"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375</w:t>
            </w:r>
          </w:p>
        </w:tc>
        <w:tc>
          <w:tcPr>
            <w:tcW w:w="3402" w:type="dxa"/>
          </w:tcPr>
          <w:p w14:paraId="3D35F891"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4.47</w:t>
            </w:r>
          </w:p>
        </w:tc>
      </w:tr>
      <w:tr w:rsidR="005E34CA" w:rsidRPr="000A6B6A" w14:paraId="43B4E83D" w14:textId="77777777" w:rsidTr="00996839">
        <w:trPr>
          <w:trHeight w:val="174"/>
        </w:trPr>
        <w:tc>
          <w:tcPr>
            <w:tcW w:w="2830" w:type="dxa"/>
          </w:tcPr>
          <w:p w14:paraId="05BEB10C"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dic-20</w:t>
            </w:r>
          </w:p>
        </w:tc>
        <w:tc>
          <w:tcPr>
            <w:tcW w:w="3119" w:type="dxa"/>
          </w:tcPr>
          <w:p w14:paraId="7F9AC3B1"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198</w:t>
            </w:r>
          </w:p>
        </w:tc>
        <w:tc>
          <w:tcPr>
            <w:tcW w:w="3402" w:type="dxa"/>
          </w:tcPr>
          <w:p w14:paraId="6F524F30"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2.36</w:t>
            </w:r>
          </w:p>
        </w:tc>
      </w:tr>
      <w:tr w:rsidR="005E34CA" w:rsidRPr="000A6B6A" w14:paraId="36F5A682" w14:textId="77777777" w:rsidTr="00996839">
        <w:trPr>
          <w:trHeight w:val="174"/>
        </w:trPr>
        <w:tc>
          <w:tcPr>
            <w:tcW w:w="2830" w:type="dxa"/>
          </w:tcPr>
          <w:p w14:paraId="0E3E331F"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ene-21</w:t>
            </w:r>
          </w:p>
        </w:tc>
        <w:tc>
          <w:tcPr>
            <w:tcW w:w="3119" w:type="dxa"/>
          </w:tcPr>
          <w:p w14:paraId="033BE044"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567</w:t>
            </w:r>
          </w:p>
        </w:tc>
        <w:tc>
          <w:tcPr>
            <w:tcW w:w="3402" w:type="dxa"/>
          </w:tcPr>
          <w:p w14:paraId="2B17466E"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6.76</w:t>
            </w:r>
          </w:p>
        </w:tc>
      </w:tr>
      <w:tr w:rsidR="005E34CA" w:rsidRPr="000A6B6A" w14:paraId="4DBBE108" w14:textId="77777777" w:rsidTr="00996839">
        <w:trPr>
          <w:trHeight w:val="174"/>
        </w:trPr>
        <w:tc>
          <w:tcPr>
            <w:tcW w:w="2830" w:type="dxa"/>
          </w:tcPr>
          <w:p w14:paraId="09018AB8"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feb-21</w:t>
            </w:r>
          </w:p>
        </w:tc>
        <w:tc>
          <w:tcPr>
            <w:tcW w:w="3119" w:type="dxa"/>
          </w:tcPr>
          <w:p w14:paraId="1B335EE2"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304</w:t>
            </w:r>
          </w:p>
        </w:tc>
        <w:tc>
          <w:tcPr>
            <w:tcW w:w="3402" w:type="dxa"/>
          </w:tcPr>
          <w:p w14:paraId="1CCBB3C2"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3.63</w:t>
            </w:r>
          </w:p>
        </w:tc>
      </w:tr>
      <w:tr w:rsidR="005E34CA" w:rsidRPr="000A6B6A" w14:paraId="0EFE44CC" w14:textId="77777777" w:rsidTr="00996839">
        <w:trPr>
          <w:trHeight w:val="174"/>
        </w:trPr>
        <w:tc>
          <w:tcPr>
            <w:tcW w:w="2830" w:type="dxa"/>
          </w:tcPr>
          <w:p w14:paraId="3BB4DBA7"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mar-21</w:t>
            </w:r>
          </w:p>
        </w:tc>
        <w:tc>
          <w:tcPr>
            <w:tcW w:w="3119" w:type="dxa"/>
          </w:tcPr>
          <w:p w14:paraId="245B7727"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208</w:t>
            </w:r>
          </w:p>
        </w:tc>
        <w:tc>
          <w:tcPr>
            <w:tcW w:w="3402" w:type="dxa"/>
          </w:tcPr>
          <w:p w14:paraId="63F6D2B5"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2.48</w:t>
            </w:r>
          </w:p>
        </w:tc>
      </w:tr>
      <w:tr w:rsidR="005E34CA" w:rsidRPr="000A6B6A" w14:paraId="14291BB3" w14:textId="77777777" w:rsidTr="00996839">
        <w:trPr>
          <w:trHeight w:val="174"/>
        </w:trPr>
        <w:tc>
          <w:tcPr>
            <w:tcW w:w="2830" w:type="dxa"/>
          </w:tcPr>
          <w:p w14:paraId="4BA1EDD2"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abr-21</w:t>
            </w:r>
          </w:p>
        </w:tc>
        <w:tc>
          <w:tcPr>
            <w:tcW w:w="3119" w:type="dxa"/>
          </w:tcPr>
          <w:p w14:paraId="1E2D7578"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550</w:t>
            </w:r>
          </w:p>
        </w:tc>
        <w:tc>
          <w:tcPr>
            <w:tcW w:w="3402" w:type="dxa"/>
          </w:tcPr>
          <w:p w14:paraId="510050D0"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6.56</w:t>
            </w:r>
          </w:p>
        </w:tc>
      </w:tr>
      <w:tr w:rsidR="005E34CA" w:rsidRPr="000A6B6A" w14:paraId="52A1E3C8" w14:textId="77777777" w:rsidTr="00996839">
        <w:trPr>
          <w:trHeight w:val="174"/>
        </w:trPr>
        <w:tc>
          <w:tcPr>
            <w:tcW w:w="2830" w:type="dxa"/>
          </w:tcPr>
          <w:p w14:paraId="0818573B"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may-21</w:t>
            </w:r>
          </w:p>
        </w:tc>
        <w:tc>
          <w:tcPr>
            <w:tcW w:w="3119" w:type="dxa"/>
          </w:tcPr>
          <w:p w14:paraId="28D72490"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634</w:t>
            </w:r>
          </w:p>
        </w:tc>
        <w:tc>
          <w:tcPr>
            <w:tcW w:w="3402" w:type="dxa"/>
          </w:tcPr>
          <w:p w14:paraId="60A26FA4"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7.56</w:t>
            </w:r>
          </w:p>
        </w:tc>
      </w:tr>
      <w:tr w:rsidR="005E34CA" w:rsidRPr="000A6B6A" w14:paraId="2E3A8938" w14:textId="77777777" w:rsidTr="00996839">
        <w:trPr>
          <w:trHeight w:val="174"/>
        </w:trPr>
        <w:tc>
          <w:tcPr>
            <w:tcW w:w="2830" w:type="dxa"/>
          </w:tcPr>
          <w:p w14:paraId="27AC5D81"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jun-21</w:t>
            </w:r>
          </w:p>
        </w:tc>
        <w:tc>
          <w:tcPr>
            <w:tcW w:w="3119" w:type="dxa"/>
          </w:tcPr>
          <w:p w14:paraId="1A8BDC48"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592</w:t>
            </w:r>
          </w:p>
        </w:tc>
        <w:tc>
          <w:tcPr>
            <w:tcW w:w="3402" w:type="dxa"/>
          </w:tcPr>
          <w:p w14:paraId="028E7566"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7.06</w:t>
            </w:r>
          </w:p>
        </w:tc>
      </w:tr>
      <w:tr w:rsidR="005E34CA" w:rsidRPr="000A6B6A" w14:paraId="640ABCB9" w14:textId="77777777" w:rsidTr="00996839">
        <w:trPr>
          <w:trHeight w:val="174"/>
        </w:trPr>
        <w:tc>
          <w:tcPr>
            <w:tcW w:w="2830" w:type="dxa"/>
          </w:tcPr>
          <w:p w14:paraId="16AF07E9"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jul-21</w:t>
            </w:r>
          </w:p>
        </w:tc>
        <w:tc>
          <w:tcPr>
            <w:tcW w:w="3119" w:type="dxa"/>
          </w:tcPr>
          <w:p w14:paraId="53CF229A"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459</w:t>
            </w:r>
          </w:p>
        </w:tc>
        <w:tc>
          <w:tcPr>
            <w:tcW w:w="3402" w:type="dxa"/>
          </w:tcPr>
          <w:p w14:paraId="4C6F472F"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5.48</w:t>
            </w:r>
          </w:p>
        </w:tc>
      </w:tr>
      <w:tr w:rsidR="005E34CA" w:rsidRPr="000A6B6A" w14:paraId="6984EED5" w14:textId="77777777" w:rsidTr="00996839">
        <w:trPr>
          <w:trHeight w:val="174"/>
        </w:trPr>
        <w:tc>
          <w:tcPr>
            <w:tcW w:w="2830" w:type="dxa"/>
          </w:tcPr>
          <w:p w14:paraId="0AF6FF92"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ago-21</w:t>
            </w:r>
          </w:p>
        </w:tc>
        <w:tc>
          <w:tcPr>
            <w:tcW w:w="3119" w:type="dxa"/>
          </w:tcPr>
          <w:p w14:paraId="40B728E7"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836</w:t>
            </w:r>
          </w:p>
        </w:tc>
        <w:tc>
          <w:tcPr>
            <w:tcW w:w="3402" w:type="dxa"/>
          </w:tcPr>
          <w:p w14:paraId="4DA90DD8"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9.97</w:t>
            </w:r>
          </w:p>
        </w:tc>
      </w:tr>
      <w:tr w:rsidR="005E34CA" w:rsidRPr="000A6B6A" w14:paraId="21985605" w14:textId="77777777" w:rsidTr="00996839">
        <w:trPr>
          <w:trHeight w:val="174"/>
        </w:trPr>
        <w:tc>
          <w:tcPr>
            <w:tcW w:w="2830" w:type="dxa"/>
          </w:tcPr>
          <w:p w14:paraId="2BCB59A4"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sep-21</w:t>
            </w:r>
          </w:p>
        </w:tc>
        <w:tc>
          <w:tcPr>
            <w:tcW w:w="3119" w:type="dxa"/>
          </w:tcPr>
          <w:p w14:paraId="333AB083"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749</w:t>
            </w:r>
          </w:p>
        </w:tc>
        <w:tc>
          <w:tcPr>
            <w:tcW w:w="3402" w:type="dxa"/>
          </w:tcPr>
          <w:p w14:paraId="6D925373"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8.93</w:t>
            </w:r>
          </w:p>
        </w:tc>
      </w:tr>
      <w:tr w:rsidR="005E34CA" w:rsidRPr="000A6B6A" w14:paraId="4E5CF000" w14:textId="77777777" w:rsidTr="00996839">
        <w:trPr>
          <w:trHeight w:val="174"/>
        </w:trPr>
        <w:tc>
          <w:tcPr>
            <w:tcW w:w="2830" w:type="dxa"/>
          </w:tcPr>
          <w:p w14:paraId="6C28BF60"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oct-21</w:t>
            </w:r>
          </w:p>
        </w:tc>
        <w:tc>
          <w:tcPr>
            <w:tcW w:w="3119" w:type="dxa"/>
          </w:tcPr>
          <w:p w14:paraId="7242C39A"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181</w:t>
            </w:r>
          </w:p>
        </w:tc>
        <w:tc>
          <w:tcPr>
            <w:tcW w:w="3402" w:type="dxa"/>
          </w:tcPr>
          <w:p w14:paraId="0656E35C"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2.16</w:t>
            </w:r>
          </w:p>
        </w:tc>
      </w:tr>
      <w:tr w:rsidR="005E34CA" w:rsidRPr="000A6B6A" w14:paraId="276D3849" w14:textId="77777777" w:rsidTr="00996839">
        <w:trPr>
          <w:trHeight w:val="174"/>
        </w:trPr>
        <w:tc>
          <w:tcPr>
            <w:tcW w:w="2830" w:type="dxa"/>
          </w:tcPr>
          <w:p w14:paraId="5E7016F3" w14:textId="77777777" w:rsidR="005E34CA" w:rsidRPr="00DA3028" w:rsidRDefault="005E34CA" w:rsidP="00996839">
            <w:pPr>
              <w:tabs>
                <w:tab w:val="left" w:pos="3300"/>
              </w:tabs>
              <w:spacing w:line="276" w:lineRule="auto"/>
              <w:jc w:val="both"/>
              <w:rPr>
                <w:rFonts w:ascii="Arial" w:hAnsi="Arial" w:cs="Arial"/>
                <w:sz w:val="20"/>
              </w:rPr>
            </w:pPr>
            <w:r w:rsidRPr="00DA3028">
              <w:rPr>
                <w:rFonts w:ascii="Arial" w:hAnsi="Arial" w:cs="Arial"/>
                <w:b/>
                <w:bCs/>
                <w:sz w:val="20"/>
              </w:rPr>
              <w:t>nov-21</w:t>
            </w:r>
          </w:p>
        </w:tc>
        <w:tc>
          <w:tcPr>
            <w:tcW w:w="3119" w:type="dxa"/>
          </w:tcPr>
          <w:p w14:paraId="0D2D5826"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129</w:t>
            </w:r>
          </w:p>
        </w:tc>
        <w:tc>
          <w:tcPr>
            <w:tcW w:w="3402" w:type="dxa"/>
          </w:tcPr>
          <w:p w14:paraId="1F9B648D" w14:textId="77777777" w:rsidR="005E34CA" w:rsidRPr="00DA3028" w:rsidRDefault="005E34CA" w:rsidP="00996839">
            <w:pPr>
              <w:tabs>
                <w:tab w:val="left" w:pos="3300"/>
              </w:tabs>
              <w:spacing w:line="276" w:lineRule="auto"/>
              <w:jc w:val="center"/>
              <w:rPr>
                <w:rFonts w:ascii="Arial" w:hAnsi="Arial" w:cs="Arial"/>
                <w:sz w:val="20"/>
              </w:rPr>
            </w:pPr>
            <w:r w:rsidRPr="00DA3028">
              <w:rPr>
                <w:rFonts w:ascii="Arial" w:hAnsi="Arial" w:cs="Arial"/>
                <w:sz w:val="20"/>
              </w:rPr>
              <w:t>1.54</w:t>
            </w:r>
          </w:p>
        </w:tc>
      </w:tr>
      <w:tr w:rsidR="005E34CA" w:rsidRPr="000A6B6A" w14:paraId="56618A96" w14:textId="77777777" w:rsidTr="00996839">
        <w:trPr>
          <w:trHeight w:val="174"/>
        </w:trPr>
        <w:tc>
          <w:tcPr>
            <w:tcW w:w="2830" w:type="dxa"/>
          </w:tcPr>
          <w:p w14:paraId="241511CD" w14:textId="77777777" w:rsidR="005E34CA" w:rsidRPr="00655AFB" w:rsidRDefault="005E34CA" w:rsidP="00996839">
            <w:pPr>
              <w:tabs>
                <w:tab w:val="left" w:pos="3300"/>
              </w:tabs>
              <w:spacing w:line="276" w:lineRule="auto"/>
              <w:jc w:val="both"/>
              <w:rPr>
                <w:rFonts w:ascii="Arial" w:hAnsi="Arial" w:cs="Arial"/>
                <w:b/>
                <w:bCs/>
                <w:sz w:val="20"/>
              </w:rPr>
            </w:pPr>
            <w:r w:rsidRPr="00655AFB">
              <w:rPr>
                <w:rFonts w:ascii="Arial" w:hAnsi="Arial" w:cs="Arial"/>
                <w:b/>
                <w:bCs/>
                <w:sz w:val="20"/>
              </w:rPr>
              <w:t>Total</w:t>
            </w:r>
          </w:p>
        </w:tc>
        <w:tc>
          <w:tcPr>
            <w:tcW w:w="3119" w:type="dxa"/>
          </w:tcPr>
          <w:p w14:paraId="5758B1AC" w14:textId="77777777" w:rsidR="005E34CA" w:rsidRPr="00655AFB" w:rsidRDefault="005E34CA" w:rsidP="00996839">
            <w:pPr>
              <w:tabs>
                <w:tab w:val="left" w:pos="3300"/>
              </w:tabs>
              <w:spacing w:line="276" w:lineRule="auto"/>
              <w:jc w:val="center"/>
              <w:rPr>
                <w:rFonts w:ascii="Arial" w:hAnsi="Arial" w:cs="Arial"/>
                <w:b/>
                <w:bCs/>
                <w:sz w:val="20"/>
              </w:rPr>
            </w:pPr>
            <w:r w:rsidRPr="00655AFB">
              <w:rPr>
                <w:rFonts w:ascii="Arial" w:hAnsi="Arial" w:cs="Arial"/>
                <w:b/>
                <w:bCs/>
                <w:sz w:val="20"/>
              </w:rPr>
              <w:t>8383</w:t>
            </w:r>
          </w:p>
        </w:tc>
        <w:tc>
          <w:tcPr>
            <w:tcW w:w="3402" w:type="dxa"/>
          </w:tcPr>
          <w:p w14:paraId="00A50947" w14:textId="77777777" w:rsidR="005E34CA" w:rsidRPr="00655AFB" w:rsidRDefault="005E34CA" w:rsidP="00996839">
            <w:pPr>
              <w:tabs>
                <w:tab w:val="left" w:pos="3300"/>
              </w:tabs>
              <w:spacing w:line="276" w:lineRule="auto"/>
              <w:jc w:val="center"/>
              <w:rPr>
                <w:rFonts w:ascii="Arial" w:hAnsi="Arial" w:cs="Arial"/>
                <w:b/>
                <w:bCs/>
                <w:sz w:val="20"/>
              </w:rPr>
            </w:pPr>
            <w:r w:rsidRPr="00655AFB">
              <w:rPr>
                <w:rFonts w:ascii="Arial" w:hAnsi="Arial" w:cs="Arial"/>
                <w:b/>
                <w:bCs/>
                <w:sz w:val="20"/>
              </w:rPr>
              <w:t>100.00</w:t>
            </w:r>
          </w:p>
        </w:tc>
      </w:tr>
      <w:tr w:rsidR="005E34CA" w:rsidRPr="000A6B6A" w14:paraId="00689D52" w14:textId="77777777" w:rsidTr="00996839">
        <w:trPr>
          <w:trHeight w:val="174"/>
        </w:trPr>
        <w:tc>
          <w:tcPr>
            <w:tcW w:w="9351" w:type="dxa"/>
            <w:gridSpan w:val="3"/>
            <w:tcBorders>
              <w:bottom w:val="single" w:sz="4" w:space="0" w:color="auto"/>
            </w:tcBorders>
          </w:tcPr>
          <w:p w14:paraId="770E7342" w14:textId="77777777" w:rsidR="005E34CA" w:rsidRPr="00DA3028" w:rsidRDefault="005E34CA" w:rsidP="00996839">
            <w:pPr>
              <w:tabs>
                <w:tab w:val="left" w:pos="3300"/>
              </w:tabs>
              <w:spacing w:line="276" w:lineRule="auto"/>
              <w:jc w:val="both"/>
              <w:rPr>
                <w:rFonts w:ascii="Arial" w:hAnsi="Arial" w:cs="Arial"/>
                <w:sz w:val="20"/>
              </w:rPr>
            </w:pPr>
            <w:r w:rsidRPr="002A7412">
              <w:rPr>
                <w:rFonts w:ascii="Arial" w:hAnsi="Arial" w:cs="Arial"/>
                <w:b/>
                <w:sz w:val="18"/>
              </w:rPr>
              <w:t xml:space="preserve">Fuente: </w:t>
            </w:r>
            <w:r w:rsidRPr="002A7412">
              <w:rPr>
                <w:rFonts w:ascii="Arial" w:hAnsi="Arial" w:cs="Arial"/>
                <w:sz w:val="18"/>
              </w:rPr>
              <w:t>Elaboración propia, 2024.</w:t>
            </w:r>
          </w:p>
        </w:tc>
      </w:tr>
    </w:tbl>
    <w:p w14:paraId="3F464172" w14:textId="468D6616" w:rsidR="00D83F9E" w:rsidRPr="005E34CA" w:rsidRDefault="00D83F9E" w:rsidP="00D83F9E">
      <w:pPr>
        <w:tabs>
          <w:tab w:val="left" w:pos="3300"/>
        </w:tabs>
        <w:jc w:val="both"/>
        <w:rPr>
          <w:lang w:val="es-CR"/>
        </w:rPr>
      </w:pPr>
      <w:r w:rsidRPr="00D83F9E">
        <w:rPr>
          <w:lang w:val="es-CR"/>
        </w:rPr>
        <w:t>Se tomó como rango de junio a noviembre para comparar los casos de estos dos años de pandemia. En el 2020 hubo un total de 2937(49.92%), y en el 2021 un total de 2946 (50.08%), dando un estimado similar de casos en ambos años</w:t>
      </w:r>
      <w:r>
        <w:rPr>
          <w:lang w:val="es-CR"/>
        </w:rPr>
        <w:t xml:space="preserve"> (ver tabla 1)</w:t>
      </w:r>
      <w:r w:rsidR="005E34CA">
        <w:rPr>
          <w:lang w:val="es-CR"/>
        </w:rPr>
        <w:t xml:space="preserve">. </w:t>
      </w:r>
    </w:p>
    <w:p w14:paraId="05497B19" w14:textId="09943E5D" w:rsidR="00D83F9E" w:rsidRPr="00D83F9E" w:rsidRDefault="00D83F9E" w:rsidP="00D83F9E">
      <w:pPr>
        <w:tabs>
          <w:tab w:val="left" w:pos="3300"/>
        </w:tabs>
        <w:jc w:val="both"/>
        <w:rPr>
          <w:lang w:val="es-CR"/>
        </w:rPr>
      </w:pPr>
      <w:r w:rsidRPr="00D83F9E">
        <w:rPr>
          <w:lang w:val="es-CR"/>
        </w:rPr>
        <w:t xml:space="preserve">Se comparó también en cada mes el número de casos entre 2020 y 2021, y este fue el resultado: en 2020 hubo un total de 3174 </w:t>
      </w:r>
      <w:r w:rsidRPr="00D83F9E">
        <w:rPr>
          <w:lang w:val="es-CR"/>
        </w:rPr>
        <w:t>casos, y en el 2021 se reportaron 5209, encontrándose mayormente en 2021</w:t>
      </w:r>
      <w:r>
        <w:rPr>
          <w:lang w:val="es-CR"/>
        </w:rPr>
        <w:t xml:space="preserve"> (ver gráfico 5)</w:t>
      </w:r>
      <w:r w:rsidRPr="00D83F9E">
        <w:rPr>
          <w:lang w:val="es-CR"/>
        </w:rPr>
        <w:t>.</w:t>
      </w:r>
    </w:p>
    <w:p w14:paraId="2622419B" w14:textId="7980EA5D" w:rsidR="00D83F9E" w:rsidRDefault="00D83F9E" w:rsidP="00D83F9E">
      <w:pPr>
        <w:tabs>
          <w:tab w:val="left" w:pos="3300"/>
        </w:tabs>
        <w:jc w:val="both"/>
        <w:rPr>
          <w:lang w:val="es-CR"/>
        </w:rPr>
      </w:pPr>
    </w:p>
    <w:p w14:paraId="0B3B968D" w14:textId="457758E2" w:rsidR="00D83F9E" w:rsidRPr="006F3090" w:rsidRDefault="00D83F9E" w:rsidP="00D83F9E">
      <w:pPr>
        <w:tabs>
          <w:tab w:val="left" w:pos="3300"/>
        </w:tabs>
        <w:jc w:val="both"/>
        <w:rPr>
          <w:b/>
          <w:lang w:val="es-CR"/>
        </w:rPr>
      </w:pPr>
      <w:r w:rsidRPr="006F3090">
        <w:rPr>
          <w:b/>
          <w:lang w:val="es-CR"/>
        </w:rPr>
        <w:t xml:space="preserve">Caso </w:t>
      </w:r>
      <w:proofErr w:type="spellStart"/>
      <w:r w:rsidRPr="006F3090">
        <w:rPr>
          <w:b/>
          <w:lang w:val="es-CR"/>
        </w:rPr>
        <w:t>N°</w:t>
      </w:r>
      <w:proofErr w:type="spellEnd"/>
      <w:r w:rsidRPr="006F3090">
        <w:rPr>
          <w:b/>
          <w:lang w:val="es-CR"/>
        </w:rPr>
        <w:t xml:space="preserve"> 5. Casos positivos y fallecimientos por mes en SPS</w:t>
      </w:r>
    </w:p>
    <w:p w14:paraId="0E99AF7F" w14:textId="77777777" w:rsidR="005E34CA" w:rsidRPr="00D83F9E" w:rsidRDefault="005E34CA" w:rsidP="00D83F9E">
      <w:pPr>
        <w:tabs>
          <w:tab w:val="left" w:pos="3300"/>
        </w:tabs>
        <w:jc w:val="both"/>
        <w:rPr>
          <w:b/>
          <w:u w:val="single"/>
          <w:lang w:val="es-CR"/>
        </w:rPr>
      </w:pPr>
    </w:p>
    <w:tbl>
      <w:tblPr>
        <w:tblStyle w:val="Tablaconcuadrcula"/>
        <w:tblpPr w:leftFromText="141" w:rightFromText="141" w:vertAnchor="text" w:horzAnchor="margin" w:tblpY="-149"/>
        <w:tblOverlap w:val="never"/>
        <w:tblW w:w="9351" w:type="dxa"/>
        <w:tblLook w:val="04A0" w:firstRow="1" w:lastRow="0" w:firstColumn="1" w:lastColumn="0" w:noHBand="0" w:noVBand="1"/>
      </w:tblPr>
      <w:tblGrid>
        <w:gridCol w:w="9351"/>
      </w:tblGrid>
      <w:tr w:rsidR="00602580" w:rsidRPr="00430909" w14:paraId="20D8D8A2" w14:textId="77777777" w:rsidTr="00602580">
        <w:tc>
          <w:tcPr>
            <w:tcW w:w="9351" w:type="dxa"/>
          </w:tcPr>
          <w:p w14:paraId="3659748B" w14:textId="2737E92F" w:rsidR="00602580" w:rsidRPr="00797EE3" w:rsidRDefault="00602580" w:rsidP="00602580">
            <w:pPr>
              <w:tabs>
                <w:tab w:val="left" w:pos="3300"/>
              </w:tabs>
              <w:spacing w:line="276" w:lineRule="auto"/>
              <w:jc w:val="both"/>
              <w:rPr>
                <w:rFonts w:ascii="Arial" w:hAnsi="Arial" w:cs="Arial"/>
                <w:b/>
              </w:rPr>
            </w:pPr>
            <w:r>
              <w:rPr>
                <w:rFonts w:ascii="Arial" w:hAnsi="Arial" w:cs="Arial"/>
                <w:b/>
              </w:rPr>
              <w:lastRenderedPageBreak/>
              <w:t xml:space="preserve">Gráfico 5. </w:t>
            </w:r>
            <w:r w:rsidRPr="00797EE3">
              <w:rPr>
                <w:rFonts w:ascii="Arial" w:hAnsi="Arial" w:cs="Arial"/>
              </w:rPr>
              <w:t>Total de casos reportados en 2020-2021</w:t>
            </w:r>
          </w:p>
        </w:tc>
      </w:tr>
      <w:tr w:rsidR="00602580" w14:paraId="7E9FEF36" w14:textId="77777777" w:rsidTr="00602580">
        <w:tc>
          <w:tcPr>
            <w:tcW w:w="9351" w:type="dxa"/>
          </w:tcPr>
          <w:p w14:paraId="39FB740D" w14:textId="77777777" w:rsidR="00602580" w:rsidRDefault="00602580" w:rsidP="00602580">
            <w:pPr>
              <w:tabs>
                <w:tab w:val="left" w:pos="3300"/>
              </w:tabs>
              <w:spacing w:line="276" w:lineRule="auto"/>
              <w:jc w:val="center"/>
              <w:rPr>
                <w:rFonts w:ascii="Arial" w:hAnsi="Arial" w:cs="Arial"/>
              </w:rPr>
            </w:pPr>
            <w:r>
              <w:rPr>
                <w:noProof/>
                <w:lang w:val="es-CR" w:eastAsia="es-CR"/>
              </w:rPr>
              <w:drawing>
                <wp:inline distT="0" distB="0" distL="0" distR="0" wp14:anchorId="06C6B601" wp14:editId="360C30D3">
                  <wp:extent cx="5181600" cy="2295525"/>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602580" w14:paraId="607F4BE7" w14:textId="77777777" w:rsidTr="00602580">
        <w:tc>
          <w:tcPr>
            <w:tcW w:w="9351" w:type="dxa"/>
            <w:tcBorders>
              <w:bottom w:val="single" w:sz="4" w:space="0" w:color="auto"/>
            </w:tcBorders>
          </w:tcPr>
          <w:p w14:paraId="58A8D850" w14:textId="4B1BEAFC" w:rsidR="00602580" w:rsidRDefault="00602580" w:rsidP="00602580">
            <w:pPr>
              <w:tabs>
                <w:tab w:val="left" w:pos="3300"/>
              </w:tabs>
              <w:spacing w:line="276" w:lineRule="auto"/>
              <w:jc w:val="both"/>
              <w:rPr>
                <w:rFonts w:ascii="Arial" w:hAnsi="Arial" w:cs="Arial"/>
              </w:rPr>
            </w:pPr>
            <w:r w:rsidRPr="002A7412">
              <w:rPr>
                <w:rFonts w:ascii="Arial" w:hAnsi="Arial" w:cs="Arial"/>
                <w:b/>
                <w:sz w:val="18"/>
              </w:rPr>
              <w:t>Fuente</w:t>
            </w:r>
            <w:r w:rsidR="001D25E9">
              <w:rPr>
                <w:rFonts w:ascii="Arial" w:hAnsi="Arial" w:cs="Arial"/>
                <w:b/>
                <w:sz w:val="18"/>
              </w:rPr>
              <w:t>.</w:t>
            </w:r>
            <w:r w:rsidRPr="002A7412">
              <w:rPr>
                <w:rFonts w:ascii="Arial" w:hAnsi="Arial" w:cs="Arial"/>
                <w:b/>
                <w:sz w:val="18"/>
              </w:rPr>
              <w:t xml:space="preserve"> </w:t>
            </w:r>
            <w:r w:rsidRPr="002A7412">
              <w:rPr>
                <w:rFonts w:ascii="Arial" w:hAnsi="Arial" w:cs="Arial"/>
                <w:sz w:val="18"/>
              </w:rPr>
              <w:t>Elaboración propia, 2024.</w:t>
            </w:r>
          </w:p>
        </w:tc>
      </w:tr>
      <w:tr w:rsidR="00602580" w:rsidRPr="005E34CA" w14:paraId="3D627F9E" w14:textId="77777777" w:rsidTr="00602580">
        <w:tc>
          <w:tcPr>
            <w:tcW w:w="9351" w:type="dxa"/>
            <w:tcBorders>
              <w:top w:val="single" w:sz="4" w:space="0" w:color="auto"/>
              <w:left w:val="nil"/>
              <w:bottom w:val="nil"/>
              <w:right w:val="nil"/>
            </w:tcBorders>
          </w:tcPr>
          <w:p w14:paraId="0E8FCAC4" w14:textId="77777777" w:rsidR="00602580" w:rsidRPr="005E34CA" w:rsidRDefault="00602580" w:rsidP="00602580">
            <w:pPr>
              <w:tabs>
                <w:tab w:val="left" w:pos="3300"/>
              </w:tabs>
              <w:jc w:val="both"/>
              <w:rPr>
                <w:b/>
              </w:rPr>
            </w:pPr>
          </w:p>
        </w:tc>
      </w:tr>
    </w:tbl>
    <w:p w14:paraId="365E3C2B" w14:textId="77777777" w:rsidR="00602580" w:rsidRPr="00D83F9E" w:rsidRDefault="005E34CA" w:rsidP="005E34CA">
      <w:pPr>
        <w:tabs>
          <w:tab w:val="left" w:pos="3300"/>
        </w:tabs>
        <w:jc w:val="both"/>
        <w:rPr>
          <w:lang w:val="es-CR"/>
        </w:rPr>
      </w:pPr>
      <w:r w:rsidRPr="00D83F9E">
        <w:rPr>
          <w:lang w:val="es-CR"/>
        </w:rPr>
        <w:t xml:space="preserve">Modelo y cuadro representativo de los casos positivos y número de fallecidos por semana y meses con su debido porcentaje desde la </w:t>
      </w:r>
    </w:p>
    <w:p w14:paraId="30481B25" w14:textId="0D0FE8AF" w:rsidR="00602580" w:rsidRPr="00D83F9E" w:rsidRDefault="005E34CA" w:rsidP="005E34CA">
      <w:pPr>
        <w:tabs>
          <w:tab w:val="left" w:pos="3300"/>
        </w:tabs>
        <w:jc w:val="both"/>
        <w:rPr>
          <w:lang w:val="es-CR"/>
        </w:rPr>
      </w:pPr>
      <w:r w:rsidRPr="00D83F9E">
        <w:rPr>
          <w:lang w:val="es-CR"/>
        </w:rPr>
        <w:t xml:space="preserve">primera semana de enero 2021, hasta la semana 46 del mes de noviembre del año </w:t>
      </w:r>
    </w:p>
    <w:p w14:paraId="4C607C53" w14:textId="0579E4B8" w:rsidR="005E34CA" w:rsidRPr="00D83F9E" w:rsidRDefault="005E34CA" w:rsidP="005E34CA">
      <w:pPr>
        <w:tabs>
          <w:tab w:val="left" w:pos="3300"/>
        </w:tabs>
        <w:jc w:val="both"/>
        <w:rPr>
          <w:lang w:val="es-CR"/>
        </w:rPr>
      </w:pPr>
      <w:r w:rsidRPr="00D83F9E">
        <w:rPr>
          <w:lang w:val="es-CR"/>
        </w:rPr>
        <w:t>2021, en San Pedro Sula.</w:t>
      </w:r>
    </w:p>
    <w:p w14:paraId="2C8E5FF5" w14:textId="77777777" w:rsidR="005E34CA" w:rsidRPr="00D83F9E" w:rsidRDefault="005E34CA" w:rsidP="005E34CA">
      <w:pPr>
        <w:tabs>
          <w:tab w:val="left" w:pos="3300"/>
        </w:tabs>
        <w:jc w:val="both"/>
        <w:rPr>
          <w:lang w:val="es-CR"/>
        </w:rPr>
      </w:pPr>
      <w:r w:rsidRPr="00D83F9E">
        <w:rPr>
          <w:lang w:val="es-CR"/>
        </w:rPr>
        <w:t>Se presenta, con un número mayor de casos positivos de 818, la cuarta semana del mes de enero, y un número de 44 fallecidos.</w:t>
      </w:r>
    </w:p>
    <w:tbl>
      <w:tblPr>
        <w:tblpPr w:leftFromText="141" w:rightFromText="141" w:vertAnchor="text" w:horzAnchor="margin" w:tblpY="517"/>
        <w:tblOverlap w:val="never"/>
        <w:tblW w:w="9351" w:type="dxa"/>
        <w:tblLayout w:type="fixed"/>
        <w:tblCellMar>
          <w:top w:w="57" w:type="dxa"/>
          <w:bottom w:w="57" w:type="dxa"/>
        </w:tblCellMar>
        <w:tblLook w:val="0000" w:firstRow="0" w:lastRow="0" w:firstColumn="0" w:lastColumn="0" w:noHBand="0" w:noVBand="0"/>
      </w:tblPr>
      <w:tblGrid>
        <w:gridCol w:w="1985"/>
        <w:gridCol w:w="2126"/>
        <w:gridCol w:w="2126"/>
        <w:gridCol w:w="3114"/>
      </w:tblGrid>
      <w:tr w:rsidR="001075C8" w:rsidRPr="00430909" w14:paraId="1A750468" w14:textId="77777777" w:rsidTr="00715936">
        <w:trPr>
          <w:trHeight w:val="310"/>
        </w:trPr>
        <w:tc>
          <w:tcPr>
            <w:tcW w:w="9351" w:type="dxa"/>
            <w:gridSpan w:val="4"/>
            <w:tcBorders>
              <w:top w:val="single" w:sz="4" w:space="0" w:color="auto"/>
              <w:left w:val="single" w:sz="4" w:space="0" w:color="000000"/>
              <w:bottom w:val="single" w:sz="4" w:space="0" w:color="000000"/>
              <w:right w:val="single" w:sz="4" w:space="0" w:color="000000"/>
            </w:tcBorders>
            <w:shd w:val="clear" w:color="auto" w:fill="auto"/>
          </w:tcPr>
          <w:p w14:paraId="37282736" w14:textId="77777777" w:rsidR="001075C8" w:rsidRPr="00797EE3" w:rsidRDefault="001075C8" w:rsidP="001075C8">
            <w:pPr>
              <w:tabs>
                <w:tab w:val="left" w:pos="3300"/>
              </w:tabs>
              <w:jc w:val="both"/>
              <w:rPr>
                <w:lang w:val="es-CR"/>
              </w:rPr>
            </w:pPr>
            <w:r w:rsidRPr="00797EE3">
              <w:rPr>
                <w:b/>
                <w:lang w:val="es-CR"/>
              </w:rPr>
              <w:t xml:space="preserve">Tabla 2. </w:t>
            </w:r>
            <w:r>
              <w:rPr>
                <w:lang w:val="es-CR"/>
              </w:rPr>
              <w:t>Casos positivos y fallecimientos por mes en SPS</w:t>
            </w:r>
          </w:p>
        </w:tc>
      </w:tr>
      <w:tr w:rsidR="001075C8" w:rsidRPr="000A6B6A" w14:paraId="20F9545B" w14:textId="77777777" w:rsidTr="00715936">
        <w:trPr>
          <w:trHeight w:val="31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636CFB1" w14:textId="77777777" w:rsidR="001075C8" w:rsidRPr="00A83D0A" w:rsidRDefault="001075C8" w:rsidP="001075C8">
            <w:pPr>
              <w:tabs>
                <w:tab w:val="left" w:pos="3300"/>
              </w:tabs>
              <w:jc w:val="both"/>
              <w:rPr>
                <w:b/>
                <w:bCs/>
                <w:sz w:val="20"/>
                <w:szCs w:val="20"/>
              </w:rPr>
            </w:pPr>
            <w:r w:rsidRPr="00A83D0A">
              <w:rPr>
                <w:b/>
                <w:bCs/>
                <w:sz w:val="20"/>
                <w:szCs w:val="20"/>
                <w:lang w:val="es-CR"/>
              </w:rPr>
              <w:t>Meses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FCA7ED5" w14:textId="77777777" w:rsidR="001075C8" w:rsidRPr="00A83D0A" w:rsidRDefault="001075C8" w:rsidP="001075C8">
            <w:pPr>
              <w:tabs>
                <w:tab w:val="left" w:pos="3300"/>
              </w:tabs>
              <w:jc w:val="center"/>
              <w:rPr>
                <w:b/>
                <w:bCs/>
                <w:sz w:val="20"/>
                <w:szCs w:val="20"/>
              </w:rPr>
            </w:pPr>
            <w:r w:rsidRPr="00A83D0A">
              <w:rPr>
                <w:b/>
                <w:bCs/>
                <w:sz w:val="20"/>
                <w:szCs w:val="20"/>
                <w:lang w:val="es-CR"/>
              </w:rPr>
              <w:t>Casos positivos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670A0CD" w14:textId="77777777" w:rsidR="001075C8" w:rsidRPr="00A83D0A" w:rsidRDefault="001075C8" w:rsidP="001075C8">
            <w:pPr>
              <w:tabs>
                <w:tab w:val="left" w:pos="3300"/>
              </w:tabs>
              <w:jc w:val="center"/>
              <w:rPr>
                <w:b/>
                <w:bCs/>
                <w:sz w:val="20"/>
                <w:szCs w:val="20"/>
              </w:rPr>
            </w:pPr>
            <w:r w:rsidRPr="00A83D0A">
              <w:rPr>
                <w:b/>
                <w:bCs/>
                <w:sz w:val="20"/>
                <w:szCs w:val="20"/>
                <w:lang w:val="es-CR"/>
              </w:rPr>
              <w:t>Fallecidos</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49D58FC5" w14:textId="77777777" w:rsidR="001075C8" w:rsidRPr="00A83D0A" w:rsidRDefault="001075C8" w:rsidP="001075C8">
            <w:pPr>
              <w:tabs>
                <w:tab w:val="left" w:pos="3300"/>
              </w:tabs>
              <w:jc w:val="center"/>
              <w:rPr>
                <w:b/>
                <w:bCs/>
                <w:sz w:val="20"/>
                <w:szCs w:val="20"/>
              </w:rPr>
            </w:pPr>
            <w:r w:rsidRPr="00A83D0A">
              <w:rPr>
                <w:b/>
                <w:bCs/>
                <w:sz w:val="20"/>
                <w:szCs w:val="20"/>
                <w:lang w:val="es-CR"/>
              </w:rPr>
              <w:t>Mortalidad %</w:t>
            </w:r>
          </w:p>
        </w:tc>
      </w:tr>
      <w:tr w:rsidR="001075C8" w:rsidRPr="000A6B6A" w14:paraId="41C481DB" w14:textId="77777777" w:rsidTr="00715936">
        <w:trPr>
          <w:trHeight w:val="31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825EE18" w14:textId="77777777" w:rsidR="001075C8" w:rsidRPr="00A83D0A" w:rsidRDefault="001075C8" w:rsidP="001075C8">
            <w:pPr>
              <w:tabs>
                <w:tab w:val="left" w:pos="3300"/>
              </w:tabs>
              <w:jc w:val="both"/>
              <w:rPr>
                <w:sz w:val="20"/>
                <w:szCs w:val="20"/>
              </w:rPr>
            </w:pPr>
            <w:r w:rsidRPr="00A83D0A">
              <w:rPr>
                <w:sz w:val="20"/>
                <w:szCs w:val="20"/>
                <w:lang w:val="es-CR"/>
              </w:rPr>
              <w:t>Enero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22BC9B1" w14:textId="77777777" w:rsidR="001075C8" w:rsidRPr="00A83D0A" w:rsidRDefault="001075C8" w:rsidP="001075C8">
            <w:pPr>
              <w:tabs>
                <w:tab w:val="left" w:pos="3300"/>
              </w:tabs>
              <w:jc w:val="center"/>
              <w:rPr>
                <w:sz w:val="20"/>
                <w:szCs w:val="20"/>
              </w:rPr>
            </w:pPr>
            <w:r w:rsidRPr="00A83D0A">
              <w:rPr>
                <w:sz w:val="20"/>
                <w:szCs w:val="20"/>
                <w:lang w:val="es-CR"/>
              </w:rPr>
              <w:t>2033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E53CE7" w14:textId="77777777" w:rsidR="001075C8" w:rsidRPr="00A83D0A" w:rsidRDefault="001075C8" w:rsidP="001075C8">
            <w:pPr>
              <w:tabs>
                <w:tab w:val="left" w:pos="3300"/>
              </w:tabs>
              <w:jc w:val="center"/>
              <w:rPr>
                <w:sz w:val="20"/>
                <w:szCs w:val="20"/>
              </w:rPr>
            </w:pPr>
            <w:r w:rsidRPr="00A83D0A">
              <w:rPr>
                <w:sz w:val="20"/>
                <w:szCs w:val="20"/>
                <w:lang w:val="es-CR"/>
              </w:rPr>
              <w:t>197</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495E4D33" w14:textId="77777777" w:rsidR="001075C8" w:rsidRPr="00A83D0A" w:rsidRDefault="001075C8" w:rsidP="001075C8">
            <w:pPr>
              <w:tabs>
                <w:tab w:val="left" w:pos="3300"/>
              </w:tabs>
              <w:jc w:val="center"/>
              <w:rPr>
                <w:sz w:val="20"/>
                <w:szCs w:val="20"/>
              </w:rPr>
            </w:pPr>
            <w:r w:rsidRPr="00A83D0A">
              <w:rPr>
                <w:sz w:val="20"/>
                <w:szCs w:val="20"/>
                <w:lang w:val="es-CR"/>
              </w:rPr>
              <w:t>0.96%</w:t>
            </w:r>
          </w:p>
        </w:tc>
      </w:tr>
      <w:tr w:rsidR="001075C8" w:rsidRPr="000A6B6A" w14:paraId="1FB815EF" w14:textId="77777777" w:rsidTr="00715936">
        <w:trPr>
          <w:trHeight w:val="31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B690B7" w14:textId="77777777" w:rsidR="001075C8" w:rsidRPr="00A83D0A" w:rsidRDefault="001075C8" w:rsidP="001075C8">
            <w:pPr>
              <w:tabs>
                <w:tab w:val="left" w:pos="3300"/>
              </w:tabs>
              <w:jc w:val="both"/>
              <w:rPr>
                <w:sz w:val="20"/>
                <w:szCs w:val="20"/>
              </w:rPr>
            </w:pPr>
            <w:r w:rsidRPr="00A83D0A">
              <w:rPr>
                <w:sz w:val="20"/>
                <w:szCs w:val="20"/>
                <w:lang w:val="es-CR"/>
              </w:rPr>
              <w:t>Febrero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DA945F" w14:textId="77777777" w:rsidR="001075C8" w:rsidRPr="00A83D0A" w:rsidRDefault="001075C8" w:rsidP="001075C8">
            <w:pPr>
              <w:tabs>
                <w:tab w:val="left" w:pos="3300"/>
              </w:tabs>
              <w:jc w:val="center"/>
              <w:rPr>
                <w:sz w:val="20"/>
                <w:szCs w:val="20"/>
              </w:rPr>
            </w:pPr>
            <w:r w:rsidRPr="00A83D0A">
              <w:rPr>
                <w:sz w:val="20"/>
                <w:szCs w:val="20"/>
                <w:lang w:val="es-CR"/>
              </w:rPr>
              <w:t>1255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47ADCD3" w14:textId="77777777" w:rsidR="001075C8" w:rsidRPr="00A83D0A" w:rsidRDefault="001075C8" w:rsidP="001075C8">
            <w:pPr>
              <w:tabs>
                <w:tab w:val="left" w:pos="3300"/>
              </w:tabs>
              <w:jc w:val="center"/>
              <w:rPr>
                <w:sz w:val="20"/>
                <w:szCs w:val="20"/>
              </w:rPr>
            </w:pPr>
            <w:r w:rsidRPr="00A83D0A">
              <w:rPr>
                <w:sz w:val="20"/>
                <w:szCs w:val="20"/>
                <w:lang w:val="es-CR"/>
              </w:rPr>
              <w:t>109</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68765C19" w14:textId="77777777" w:rsidR="001075C8" w:rsidRPr="00A83D0A" w:rsidRDefault="001075C8" w:rsidP="001075C8">
            <w:pPr>
              <w:tabs>
                <w:tab w:val="left" w:pos="3300"/>
              </w:tabs>
              <w:jc w:val="center"/>
              <w:rPr>
                <w:sz w:val="20"/>
                <w:szCs w:val="20"/>
              </w:rPr>
            </w:pPr>
            <w:r w:rsidRPr="00A83D0A">
              <w:rPr>
                <w:sz w:val="20"/>
                <w:szCs w:val="20"/>
                <w:lang w:val="es-CR"/>
              </w:rPr>
              <w:t>8.69%</w:t>
            </w:r>
          </w:p>
        </w:tc>
      </w:tr>
      <w:tr w:rsidR="001075C8" w:rsidRPr="000A6B6A" w14:paraId="556B2740" w14:textId="77777777" w:rsidTr="00715936">
        <w:trPr>
          <w:trHeight w:val="31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42E260C" w14:textId="77777777" w:rsidR="001075C8" w:rsidRPr="00A83D0A" w:rsidRDefault="001075C8" w:rsidP="001075C8">
            <w:pPr>
              <w:tabs>
                <w:tab w:val="left" w:pos="3300"/>
              </w:tabs>
              <w:jc w:val="both"/>
              <w:rPr>
                <w:sz w:val="20"/>
                <w:szCs w:val="20"/>
              </w:rPr>
            </w:pPr>
            <w:r w:rsidRPr="00A83D0A">
              <w:rPr>
                <w:sz w:val="20"/>
                <w:szCs w:val="20"/>
                <w:lang w:val="es-CR"/>
              </w:rPr>
              <w:t>Marzo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768B5A" w14:textId="77777777" w:rsidR="001075C8" w:rsidRPr="00A83D0A" w:rsidRDefault="001075C8" w:rsidP="001075C8">
            <w:pPr>
              <w:tabs>
                <w:tab w:val="left" w:pos="3300"/>
              </w:tabs>
              <w:jc w:val="center"/>
              <w:rPr>
                <w:sz w:val="20"/>
                <w:szCs w:val="20"/>
              </w:rPr>
            </w:pPr>
            <w:r w:rsidRPr="00A83D0A">
              <w:rPr>
                <w:sz w:val="20"/>
                <w:szCs w:val="20"/>
                <w:lang w:val="es-CR"/>
              </w:rPr>
              <w:t>1696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3CCD23D" w14:textId="77777777" w:rsidR="001075C8" w:rsidRPr="00A83D0A" w:rsidRDefault="001075C8" w:rsidP="001075C8">
            <w:pPr>
              <w:tabs>
                <w:tab w:val="left" w:pos="3300"/>
              </w:tabs>
              <w:jc w:val="center"/>
              <w:rPr>
                <w:sz w:val="20"/>
                <w:szCs w:val="20"/>
              </w:rPr>
            </w:pPr>
            <w:r w:rsidRPr="00A83D0A">
              <w:rPr>
                <w:sz w:val="20"/>
                <w:szCs w:val="20"/>
                <w:lang w:val="es-CR"/>
              </w:rPr>
              <w:t>179</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3AA4022" w14:textId="77777777" w:rsidR="001075C8" w:rsidRPr="00A83D0A" w:rsidRDefault="001075C8" w:rsidP="001075C8">
            <w:pPr>
              <w:tabs>
                <w:tab w:val="left" w:pos="3300"/>
              </w:tabs>
              <w:jc w:val="center"/>
              <w:rPr>
                <w:sz w:val="20"/>
                <w:szCs w:val="20"/>
              </w:rPr>
            </w:pPr>
            <w:r w:rsidRPr="00A83D0A">
              <w:rPr>
                <w:sz w:val="20"/>
                <w:szCs w:val="20"/>
                <w:lang w:val="es-CR"/>
              </w:rPr>
              <w:t>10.55%</w:t>
            </w:r>
          </w:p>
        </w:tc>
      </w:tr>
      <w:tr w:rsidR="001075C8" w:rsidRPr="000A6B6A" w14:paraId="6E714006" w14:textId="77777777" w:rsidTr="00715936">
        <w:trPr>
          <w:trHeight w:val="31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ACDA65C" w14:textId="77777777" w:rsidR="001075C8" w:rsidRPr="00A83D0A" w:rsidRDefault="001075C8" w:rsidP="001075C8">
            <w:pPr>
              <w:tabs>
                <w:tab w:val="left" w:pos="3300"/>
              </w:tabs>
              <w:jc w:val="both"/>
              <w:rPr>
                <w:sz w:val="20"/>
                <w:szCs w:val="20"/>
              </w:rPr>
            </w:pPr>
            <w:r w:rsidRPr="00A83D0A">
              <w:rPr>
                <w:sz w:val="20"/>
                <w:szCs w:val="20"/>
                <w:lang w:val="es-CR"/>
              </w:rPr>
              <w:t>Abril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E73BE50" w14:textId="77777777" w:rsidR="001075C8" w:rsidRPr="00A83D0A" w:rsidRDefault="001075C8" w:rsidP="001075C8">
            <w:pPr>
              <w:tabs>
                <w:tab w:val="left" w:pos="3300"/>
              </w:tabs>
              <w:jc w:val="center"/>
              <w:rPr>
                <w:sz w:val="20"/>
                <w:szCs w:val="20"/>
              </w:rPr>
            </w:pPr>
            <w:r w:rsidRPr="00A83D0A">
              <w:rPr>
                <w:sz w:val="20"/>
                <w:szCs w:val="20"/>
                <w:lang w:val="en-US"/>
              </w:rPr>
              <w:t>1209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58C0F5" w14:textId="77777777" w:rsidR="001075C8" w:rsidRPr="00A83D0A" w:rsidRDefault="001075C8" w:rsidP="001075C8">
            <w:pPr>
              <w:tabs>
                <w:tab w:val="left" w:pos="3300"/>
              </w:tabs>
              <w:jc w:val="center"/>
              <w:rPr>
                <w:sz w:val="20"/>
                <w:szCs w:val="20"/>
              </w:rPr>
            </w:pPr>
            <w:r w:rsidRPr="00A83D0A">
              <w:rPr>
                <w:sz w:val="20"/>
                <w:szCs w:val="20"/>
                <w:lang w:val="en-US"/>
              </w:rPr>
              <w:t>45</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2CEF2BD4" w14:textId="77777777" w:rsidR="001075C8" w:rsidRPr="00A83D0A" w:rsidRDefault="001075C8" w:rsidP="001075C8">
            <w:pPr>
              <w:tabs>
                <w:tab w:val="left" w:pos="3300"/>
              </w:tabs>
              <w:jc w:val="center"/>
              <w:rPr>
                <w:sz w:val="20"/>
                <w:szCs w:val="20"/>
              </w:rPr>
            </w:pPr>
            <w:r w:rsidRPr="00A83D0A">
              <w:rPr>
                <w:sz w:val="20"/>
                <w:szCs w:val="20"/>
                <w:lang w:val="en-US"/>
              </w:rPr>
              <w:t>3.72%</w:t>
            </w:r>
          </w:p>
        </w:tc>
      </w:tr>
      <w:tr w:rsidR="001075C8" w:rsidRPr="000A6B6A" w14:paraId="225AF13E" w14:textId="77777777" w:rsidTr="00715936">
        <w:trPr>
          <w:trHeight w:val="31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9B2287C" w14:textId="77777777" w:rsidR="001075C8" w:rsidRPr="00A83D0A" w:rsidRDefault="001075C8" w:rsidP="001075C8">
            <w:pPr>
              <w:tabs>
                <w:tab w:val="left" w:pos="3300"/>
              </w:tabs>
              <w:jc w:val="both"/>
              <w:rPr>
                <w:sz w:val="20"/>
                <w:szCs w:val="20"/>
              </w:rPr>
            </w:pPr>
            <w:r w:rsidRPr="00A83D0A">
              <w:rPr>
                <w:sz w:val="20"/>
                <w:szCs w:val="20"/>
                <w:lang w:val="en-US"/>
              </w:rPr>
              <w:t>Mayo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2C7CBBB" w14:textId="77777777" w:rsidR="001075C8" w:rsidRPr="00A83D0A" w:rsidRDefault="001075C8" w:rsidP="001075C8">
            <w:pPr>
              <w:tabs>
                <w:tab w:val="left" w:pos="3300"/>
              </w:tabs>
              <w:jc w:val="center"/>
              <w:rPr>
                <w:sz w:val="20"/>
                <w:szCs w:val="20"/>
              </w:rPr>
            </w:pPr>
            <w:r w:rsidRPr="00A83D0A">
              <w:rPr>
                <w:sz w:val="20"/>
                <w:szCs w:val="20"/>
                <w:lang w:val="en-US"/>
              </w:rPr>
              <w:t>783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5DF7EA2" w14:textId="77777777" w:rsidR="001075C8" w:rsidRPr="00A83D0A" w:rsidRDefault="001075C8" w:rsidP="001075C8">
            <w:pPr>
              <w:tabs>
                <w:tab w:val="left" w:pos="3300"/>
              </w:tabs>
              <w:jc w:val="center"/>
              <w:rPr>
                <w:sz w:val="20"/>
                <w:szCs w:val="20"/>
              </w:rPr>
            </w:pPr>
            <w:r w:rsidRPr="00A83D0A">
              <w:rPr>
                <w:sz w:val="20"/>
                <w:szCs w:val="20"/>
                <w:lang w:val="en-US"/>
              </w:rPr>
              <w:t>47</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3A09BB15" w14:textId="77777777" w:rsidR="001075C8" w:rsidRPr="00A83D0A" w:rsidRDefault="001075C8" w:rsidP="001075C8">
            <w:pPr>
              <w:tabs>
                <w:tab w:val="left" w:pos="3300"/>
              </w:tabs>
              <w:jc w:val="center"/>
              <w:rPr>
                <w:sz w:val="20"/>
                <w:szCs w:val="20"/>
              </w:rPr>
            </w:pPr>
            <w:r w:rsidRPr="00A83D0A">
              <w:rPr>
                <w:sz w:val="20"/>
                <w:szCs w:val="20"/>
                <w:lang w:val="en-US"/>
              </w:rPr>
              <w:t>6%</w:t>
            </w:r>
          </w:p>
        </w:tc>
      </w:tr>
      <w:tr w:rsidR="001075C8" w:rsidRPr="000A6B6A" w14:paraId="770285A2" w14:textId="77777777" w:rsidTr="00715936">
        <w:trPr>
          <w:trHeight w:val="31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5E59E7C" w14:textId="77777777" w:rsidR="001075C8" w:rsidRPr="00A83D0A" w:rsidRDefault="001075C8" w:rsidP="001075C8">
            <w:pPr>
              <w:tabs>
                <w:tab w:val="left" w:pos="3300"/>
              </w:tabs>
              <w:jc w:val="both"/>
              <w:rPr>
                <w:sz w:val="20"/>
                <w:szCs w:val="20"/>
              </w:rPr>
            </w:pPr>
            <w:r w:rsidRPr="00A83D0A">
              <w:rPr>
                <w:sz w:val="20"/>
                <w:szCs w:val="20"/>
                <w:lang w:val="en-US"/>
              </w:rPr>
              <w:t>Junio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FDAF0D" w14:textId="77777777" w:rsidR="001075C8" w:rsidRPr="00A83D0A" w:rsidRDefault="001075C8" w:rsidP="001075C8">
            <w:pPr>
              <w:tabs>
                <w:tab w:val="left" w:pos="3300"/>
              </w:tabs>
              <w:jc w:val="center"/>
              <w:rPr>
                <w:sz w:val="20"/>
                <w:szCs w:val="20"/>
              </w:rPr>
            </w:pPr>
            <w:r w:rsidRPr="00A83D0A">
              <w:rPr>
                <w:sz w:val="20"/>
                <w:szCs w:val="20"/>
                <w:lang w:val="en-US"/>
              </w:rPr>
              <w:t>767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313B73" w14:textId="77777777" w:rsidR="001075C8" w:rsidRPr="00A83D0A" w:rsidRDefault="001075C8" w:rsidP="001075C8">
            <w:pPr>
              <w:tabs>
                <w:tab w:val="left" w:pos="3300"/>
              </w:tabs>
              <w:jc w:val="center"/>
              <w:rPr>
                <w:sz w:val="20"/>
                <w:szCs w:val="20"/>
              </w:rPr>
            </w:pPr>
            <w:r w:rsidRPr="00A83D0A">
              <w:rPr>
                <w:sz w:val="20"/>
                <w:szCs w:val="20"/>
                <w:lang w:val="en-US"/>
              </w:rPr>
              <w:t>54</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02C26753" w14:textId="77777777" w:rsidR="001075C8" w:rsidRPr="00A83D0A" w:rsidRDefault="001075C8" w:rsidP="001075C8">
            <w:pPr>
              <w:tabs>
                <w:tab w:val="left" w:pos="3300"/>
              </w:tabs>
              <w:jc w:val="center"/>
              <w:rPr>
                <w:sz w:val="20"/>
                <w:szCs w:val="20"/>
              </w:rPr>
            </w:pPr>
            <w:r w:rsidRPr="00A83D0A">
              <w:rPr>
                <w:sz w:val="20"/>
                <w:szCs w:val="20"/>
                <w:lang w:val="en-US"/>
              </w:rPr>
              <w:t>7.04%</w:t>
            </w:r>
          </w:p>
        </w:tc>
      </w:tr>
      <w:tr w:rsidR="001075C8" w:rsidRPr="000A6B6A" w14:paraId="45C75DBC" w14:textId="77777777" w:rsidTr="00715936">
        <w:trPr>
          <w:trHeight w:val="31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6CD97AF" w14:textId="77777777" w:rsidR="001075C8" w:rsidRPr="00A83D0A" w:rsidRDefault="001075C8" w:rsidP="001075C8">
            <w:pPr>
              <w:tabs>
                <w:tab w:val="left" w:pos="3300"/>
              </w:tabs>
              <w:jc w:val="both"/>
              <w:rPr>
                <w:sz w:val="20"/>
                <w:szCs w:val="20"/>
              </w:rPr>
            </w:pPr>
            <w:r w:rsidRPr="00A83D0A">
              <w:rPr>
                <w:sz w:val="20"/>
                <w:szCs w:val="20"/>
                <w:lang w:val="en-US"/>
              </w:rPr>
              <w:t>Julio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840DA7C" w14:textId="77777777" w:rsidR="001075C8" w:rsidRPr="00A83D0A" w:rsidRDefault="001075C8" w:rsidP="001075C8">
            <w:pPr>
              <w:tabs>
                <w:tab w:val="left" w:pos="3300"/>
              </w:tabs>
              <w:jc w:val="center"/>
              <w:rPr>
                <w:sz w:val="20"/>
                <w:szCs w:val="20"/>
              </w:rPr>
            </w:pPr>
            <w:r w:rsidRPr="00A83D0A">
              <w:rPr>
                <w:sz w:val="20"/>
                <w:szCs w:val="20"/>
                <w:lang w:val="en-US"/>
              </w:rPr>
              <w:t>1129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0A8C95" w14:textId="77777777" w:rsidR="001075C8" w:rsidRPr="00A83D0A" w:rsidRDefault="001075C8" w:rsidP="001075C8">
            <w:pPr>
              <w:tabs>
                <w:tab w:val="left" w:pos="3300"/>
              </w:tabs>
              <w:jc w:val="center"/>
              <w:rPr>
                <w:sz w:val="20"/>
                <w:szCs w:val="20"/>
              </w:rPr>
            </w:pPr>
            <w:r w:rsidRPr="00A83D0A">
              <w:rPr>
                <w:sz w:val="20"/>
                <w:szCs w:val="20"/>
                <w:lang w:val="en-US"/>
              </w:rPr>
              <w:t>69</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1EBFF930" w14:textId="77777777" w:rsidR="001075C8" w:rsidRPr="00A83D0A" w:rsidRDefault="001075C8" w:rsidP="001075C8">
            <w:pPr>
              <w:tabs>
                <w:tab w:val="left" w:pos="3300"/>
              </w:tabs>
              <w:jc w:val="center"/>
              <w:rPr>
                <w:sz w:val="20"/>
                <w:szCs w:val="20"/>
              </w:rPr>
            </w:pPr>
            <w:r w:rsidRPr="00A83D0A">
              <w:rPr>
                <w:sz w:val="20"/>
                <w:szCs w:val="20"/>
                <w:lang w:val="en-US"/>
              </w:rPr>
              <w:t>6.11%</w:t>
            </w:r>
          </w:p>
        </w:tc>
      </w:tr>
      <w:tr w:rsidR="001075C8" w:rsidRPr="000A6B6A" w14:paraId="50603EBC" w14:textId="77777777" w:rsidTr="00715936">
        <w:trPr>
          <w:trHeight w:val="31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C63D116" w14:textId="77777777" w:rsidR="001075C8" w:rsidRPr="00A83D0A" w:rsidRDefault="001075C8" w:rsidP="001075C8">
            <w:pPr>
              <w:tabs>
                <w:tab w:val="left" w:pos="3300"/>
              </w:tabs>
              <w:jc w:val="both"/>
              <w:rPr>
                <w:sz w:val="20"/>
                <w:szCs w:val="20"/>
              </w:rPr>
            </w:pPr>
            <w:r w:rsidRPr="00A83D0A">
              <w:rPr>
                <w:sz w:val="20"/>
                <w:szCs w:val="20"/>
                <w:lang w:val="en-US"/>
              </w:rPr>
              <w:t>Agosto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590006" w14:textId="77777777" w:rsidR="001075C8" w:rsidRPr="00A83D0A" w:rsidRDefault="001075C8" w:rsidP="001075C8">
            <w:pPr>
              <w:tabs>
                <w:tab w:val="left" w:pos="3300"/>
              </w:tabs>
              <w:jc w:val="center"/>
              <w:rPr>
                <w:sz w:val="20"/>
                <w:szCs w:val="20"/>
              </w:rPr>
            </w:pPr>
            <w:r w:rsidRPr="00A83D0A">
              <w:rPr>
                <w:sz w:val="20"/>
                <w:szCs w:val="20"/>
                <w:lang w:val="en-US"/>
              </w:rPr>
              <w:t>2125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62C783" w14:textId="77777777" w:rsidR="001075C8" w:rsidRPr="00A83D0A" w:rsidRDefault="001075C8" w:rsidP="001075C8">
            <w:pPr>
              <w:tabs>
                <w:tab w:val="left" w:pos="3300"/>
              </w:tabs>
              <w:jc w:val="center"/>
              <w:rPr>
                <w:sz w:val="20"/>
                <w:szCs w:val="20"/>
              </w:rPr>
            </w:pPr>
            <w:r w:rsidRPr="00A83D0A">
              <w:rPr>
                <w:sz w:val="20"/>
                <w:szCs w:val="20"/>
                <w:lang w:val="en-US"/>
              </w:rPr>
              <w:t>108</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418CC4A1" w14:textId="77777777" w:rsidR="001075C8" w:rsidRPr="00A83D0A" w:rsidRDefault="001075C8" w:rsidP="001075C8">
            <w:pPr>
              <w:tabs>
                <w:tab w:val="left" w:pos="3300"/>
              </w:tabs>
              <w:jc w:val="center"/>
              <w:rPr>
                <w:sz w:val="20"/>
                <w:szCs w:val="20"/>
              </w:rPr>
            </w:pPr>
            <w:r w:rsidRPr="00A83D0A">
              <w:rPr>
                <w:sz w:val="20"/>
                <w:szCs w:val="20"/>
                <w:lang w:val="en-US"/>
              </w:rPr>
              <w:t>5.08%</w:t>
            </w:r>
          </w:p>
        </w:tc>
      </w:tr>
      <w:tr w:rsidR="001075C8" w:rsidRPr="000A6B6A" w14:paraId="2902A53A" w14:textId="77777777" w:rsidTr="00715936">
        <w:trPr>
          <w:trHeight w:val="31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753A1DE" w14:textId="77777777" w:rsidR="001075C8" w:rsidRPr="00A83D0A" w:rsidRDefault="001075C8" w:rsidP="001075C8">
            <w:pPr>
              <w:tabs>
                <w:tab w:val="left" w:pos="3300"/>
              </w:tabs>
              <w:jc w:val="both"/>
              <w:rPr>
                <w:sz w:val="20"/>
                <w:szCs w:val="20"/>
              </w:rPr>
            </w:pPr>
            <w:proofErr w:type="spellStart"/>
            <w:r w:rsidRPr="00A83D0A">
              <w:rPr>
                <w:sz w:val="20"/>
                <w:szCs w:val="20"/>
                <w:lang w:val="en-US"/>
              </w:rPr>
              <w:t>Septiembre</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E7586E1" w14:textId="77777777" w:rsidR="001075C8" w:rsidRPr="00A83D0A" w:rsidRDefault="001075C8" w:rsidP="001075C8">
            <w:pPr>
              <w:tabs>
                <w:tab w:val="left" w:pos="3300"/>
              </w:tabs>
              <w:jc w:val="center"/>
              <w:rPr>
                <w:sz w:val="20"/>
                <w:szCs w:val="20"/>
              </w:rPr>
            </w:pPr>
            <w:r w:rsidRPr="00A83D0A">
              <w:rPr>
                <w:sz w:val="20"/>
                <w:szCs w:val="20"/>
                <w:lang w:val="en-US"/>
              </w:rPr>
              <w:t>2201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C45FA5" w14:textId="77777777" w:rsidR="001075C8" w:rsidRPr="00A83D0A" w:rsidRDefault="001075C8" w:rsidP="001075C8">
            <w:pPr>
              <w:tabs>
                <w:tab w:val="left" w:pos="3300"/>
              </w:tabs>
              <w:jc w:val="center"/>
              <w:rPr>
                <w:sz w:val="20"/>
                <w:szCs w:val="20"/>
              </w:rPr>
            </w:pPr>
            <w:r w:rsidRPr="00A83D0A">
              <w:rPr>
                <w:sz w:val="20"/>
                <w:szCs w:val="20"/>
                <w:lang w:val="en-US"/>
              </w:rPr>
              <w:t>76</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1962B29" w14:textId="77777777" w:rsidR="001075C8" w:rsidRPr="00A83D0A" w:rsidRDefault="001075C8" w:rsidP="001075C8">
            <w:pPr>
              <w:tabs>
                <w:tab w:val="left" w:pos="3300"/>
              </w:tabs>
              <w:jc w:val="center"/>
              <w:rPr>
                <w:sz w:val="20"/>
                <w:szCs w:val="20"/>
              </w:rPr>
            </w:pPr>
            <w:r w:rsidRPr="00A83D0A">
              <w:rPr>
                <w:sz w:val="20"/>
                <w:szCs w:val="20"/>
                <w:lang w:val="en-US"/>
              </w:rPr>
              <w:t>3.45%</w:t>
            </w:r>
          </w:p>
        </w:tc>
      </w:tr>
      <w:tr w:rsidR="001075C8" w:rsidRPr="000A6B6A" w14:paraId="00F90612" w14:textId="77777777" w:rsidTr="00715936">
        <w:trPr>
          <w:trHeight w:val="31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5897A1C" w14:textId="77777777" w:rsidR="001075C8" w:rsidRPr="00A83D0A" w:rsidRDefault="001075C8" w:rsidP="001075C8">
            <w:pPr>
              <w:tabs>
                <w:tab w:val="left" w:pos="3300"/>
              </w:tabs>
              <w:jc w:val="both"/>
              <w:rPr>
                <w:sz w:val="20"/>
                <w:szCs w:val="20"/>
              </w:rPr>
            </w:pPr>
            <w:proofErr w:type="spellStart"/>
            <w:r w:rsidRPr="00A83D0A">
              <w:rPr>
                <w:sz w:val="20"/>
                <w:szCs w:val="20"/>
                <w:lang w:val="en-US"/>
              </w:rPr>
              <w:t>Octubre</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1E6E6B" w14:textId="77777777" w:rsidR="001075C8" w:rsidRPr="00A83D0A" w:rsidRDefault="001075C8" w:rsidP="001075C8">
            <w:pPr>
              <w:tabs>
                <w:tab w:val="left" w:pos="3300"/>
              </w:tabs>
              <w:jc w:val="center"/>
              <w:rPr>
                <w:sz w:val="20"/>
                <w:szCs w:val="20"/>
              </w:rPr>
            </w:pPr>
            <w:r w:rsidRPr="00A83D0A">
              <w:rPr>
                <w:sz w:val="20"/>
                <w:szCs w:val="20"/>
                <w:lang w:val="en-US"/>
              </w:rPr>
              <w:t>599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7EEE71" w14:textId="77777777" w:rsidR="001075C8" w:rsidRPr="00A83D0A" w:rsidRDefault="001075C8" w:rsidP="001075C8">
            <w:pPr>
              <w:tabs>
                <w:tab w:val="left" w:pos="3300"/>
              </w:tabs>
              <w:jc w:val="center"/>
              <w:rPr>
                <w:sz w:val="20"/>
                <w:szCs w:val="20"/>
              </w:rPr>
            </w:pPr>
            <w:r w:rsidRPr="00A83D0A">
              <w:rPr>
                <w:sz w:val="20"/>
                <w:szCs w:val="20"/>
                <w:lang w:val="en-US"/>
              </w:rPr>
              <w:t>21</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788E2A48" w14:textId="77777777" w:rsidR="001075C8" w:rsidRPr="00A83D0A" w:rsidRDefault="001075C8" w:rsidP="001075C8">
            <w:pPr>
              <w:tabs>
                <w:tab w:val="left" w:pos="3300"/>
              </w:tabs>
              <w:jc w:val="center"/>
              <w:rPr>
                <w:sz w:val="20"/>
                <w:szCs w:val="20"/>
              </w:rPr>
            </w:pPr>
            <w:r w:rsidRPr="00A83D0A">
              <w:rPr>
                <w:sz w:val="20"/>
                <w:szCs w:val="20"/>
                <w:lang w:val="en-US"/>
              </w:rPr>
              <w:t>3.51%</w:t>
            </w:r>
          </w:p>
        </w:tc>
      </w:tr>
      <w:tr w:rsidR="001075C8" w:rsidRPr="000A6B6A" w14:paraId="06F68C92" w14:textId="77777777" w:rsidTr="00715936">
        <w:trPr>
          <w:trHeight w:val="31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C6A8208" w14:textId="77777777" w:rsidR="001075C8" w:rsidRPr="00A83D0A" w:rsidRDefault="001075C8" w:rsidP="001075C8">
            <w:pPr>
              <w:tabs>
                <w:tab w:val="left" w:pos="3300"/>
              </w:tabs>
              <w:jc w:val="both"/>
              <w:rPr>
                <w:sz w:val="20"/>
                <w:szCs w:val="20"/>
              </w:rPr>
            </w:pPr>
            <w:proofErr w:type="spellStart"/>
            <w:r w:rsidRPr="00A83D0A">
              <w:rPr>
                <w:sz w:val="20"/>
                <w:szCs w:val="20"/>
                <w:lang w:val="en-US"/>
              </w:rPr>
              <w:t>Noviembre</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0B4E2A" w14:textId="77777777" w:rsidR="001075C8" w:rsidRPr="00A83D0A" w:rsidRDefault="001075C8" w:rsidP="001075C8">
            <w:pPr>
              <w:tabs>
                <w:tab w:val="left" w:pos="3300"/>
              </w:tabs>
              <w:jc w:val="center"/>
              <w:rPr>
                <w:sz w:val="20"/>
                <w:szCs w:val="20"/>
              </w:rPr>
            </w:pPr>
            <w:r w:rsidRPr="00A83D0A">
              <w:rPr>
                <w:sz w:val="20"/>
                <w:szCs w:val="20"/>
                <w:lang w:val="en-US"/>
              </w:rPr>
              <w:t>74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5C27DCB" w14:textId="77777777" w:rsidR="001075C8" w:rsidRPr="00A83D0A" w:rsidRDefault="001075C8" w:rsidP="001075C8">
            <w:pPr>
              <w:tabs>
                <w:tab w:val="left" w:pos="3300"/>
              </w:tabs>
              <w:jc w:val="center"/>
              <w:rPr>
                <w:sz w:val="20"/>
                <w:szCs w:val="20"/>
              </w:rPr>
            </w:pPr>
            <w:r w:rsidRPr="00A83D0A">
              <w:rPr>
                <w:sz w:val="20"/>
                <w:szCs w:val="20"/>
                <w:lang w:val="en-US"/>
              </w:rPr>
              <w:t>2</w:t>
            </w:r>
          </w:p>
        </w:tc>
        <w:tc>
          <w:tcPr>
            <w:tcW w:w="3114" w:type="dxa"/>
            <w:tcBorders>
              <w:top w:val="single" w:sz="4" w:space="0" w:color="000000"/>
              <w:left w:val="single" w:sz="4" w:space="0" w:color="000000"/>
              <w:bottom w:val="single" w:sz="4" w:space="0" w:color="000000"/>
              <w:right w:val="single" w:sz="4" w:space="0" w:color="000000"/>
            </w:tcBorders>
            <w:shd w:val="clear" w:color="auto" w:fill="auto"/>
          </w:tcPr>
          <w:p w14:paraId="5160BB19" w14:textId="77777777" w:rsidR="001075C8" w:rsidRPr="00A83D0A" w:rsidRDefault="001075C8" w:rsidP="001075C8">
            <w:pPr>
              <w:tabs>
                <w:tab w:val="left" w:pos="3300"/>
              </w:tabs>
              <w:jc w:val="center"/>
              <w:rPr>
                <w:sz w:val="20"/>
                <w:szCs w:val="20"/>
              </w:rPr>
            </w:pPr>
            <w:r w:rsidRPr="00A83D0A">
              <w:rPr>
                <w:sz w:val="20"/>
                <w:szCs w:val="20"/>
                <w:lang w:val="en-US"/>
              </w:rPr>
              <w:t>2.70%</w:t>
            </w:r>
          </w:p>
        </w:tc>
      </w:tr>
      <w:tr w:rsidR="001075C8" w:rsidRPr="000A6B6A" w14:paraId="32954EC4" w14:textId="77777777" w:rsidTr="00715936">
        <w:trPr>
          <w:trHeight w:val="310"/>
        </w:trPr>
        <w:tc>
          <w:tcPr>
            <w:tcW w:w="1985" w:type="dxa"/>
            <w:tcBorders>
              <w:top w:val="single" w:sz="4" w:space="0" w:color="000000"/>
              <w:left w:val="single" w:sz="4" w:space="0" w:color="000000"/>
              <w:bottom w:val="single" w:sz="4" w:space="0" w:color="auto"/>
              <w:right w:val="single" w:sz="4" w:space="0" w:color="000000"/>
            </w:tcBorders>
            <w:shd w:val="clear" w:color="auto" w:fill="auto"/>
          </w:tcPr>
          <w:p w14:paraId="3B7B7263" w14:textId="77777777" w:rsidR="001075C8" w:rsidRPr="00A83D0A" w:rsidRDefault="001075C8" w:rsidP="001075C8">
            <w:pPr>
              <w:tabs>
                <w:tab w:val="left" w:pos="3300"/>
              </w:tabs>
              <w:jc w:val="both"/>
              <w:rPr>
                <w:sz w:val="20"/>
                <w:szCs w:val="20"/>
              </w:rPr>
            </w:pPr>
            <w:r w:rsidRPr="00A83D0A">
              <w:rPr>
                <w:sz w:val="20"/>
                <w:szCs w:val="20"/>
                <w:lang w:val="en-US"/>
              </w:rPr>
              <w:t>Total</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14:paraId="09E02665" w14:textId="77777777" w:rsidR="001075C8" w:rsidRPr="00A83D0A" w:rsidRDefault="001075C8" w:rsidP="001075C8">
            <w:pPr>
              <w:tabs>
                <w:tab w:val="left" w:pos="3300"/>
              </w:tabs>
              <w:jc w:val="center"/>
              <w:rPr>
                <w:sz w:val="20"/>
                <w:szCs w:val="20"/>
              </w:rPr>
            </w:pPr>
            <w:r w:rsidRPr="00A83D0A">
              <w:rPr>
                <w:sz w:val="20"/>
                <w:szCs w:val="20"/>
                <w:lang w:val="en-US"/>
              </w:rPr>
              <w:t>13871</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14:paraId="772DAFC7" w14:textId="77777777" w:rsidR="001075C8" w:rsidRPr="00A83D0A" w:rsidRDefault="001075C8" w:rsidP="001075C8">
            <w:pPr>
              <w:tabs>
                <w:tab w:val="left" w:pos="3300"/>
              </w:tabs>
              <w:jc w:val="center"/>
              <w:rPr>
                <w:sz w:val="20"/>
                <w:szCs w:val="20"/>
              </w:rPr>
            </w:pPr>
            <w:r w:rsidRPr="00A83D0A">
              <w:rPr>
                <w:sz w:val="20"/>
                <w:szCs w:val="20"/>
                <w:lang w:val="en-US"/>
              </w:rPr>
              <w:t>907</w:t>
            </w:r>
          </w:p>
        </w:tc>
        <w:tc>
          <w:tcPr>
            <w:tcW w:w="3114" w:type="dxa"/>
            <w:tcBorders>
              <w:top w:val="single" w:sz="4" w:space="0" w:color="000000"/>
              <w:left w:val="single" w:sz="4" w:space="0" w:color="000000"/>
              <w:bottom w:val="single" w:sz="4" w:space="0" w:color="auto"/>
              <w:right w:val="single" w:sz="4" w:space="0" w:color="000000"/>
            </w:tcBorders>
            <w:shd w:val="clear" w:color="auto" w:fill="auto"/>
          </w:tcPr>
          <w:p w14:paraId="2EBD6340" w14:textId="77777777" w:rsidR="001075C8" w:rsidRPr="00A83D0A" w:rsidRDefault="001075C8" w:rsidP="001075C8">
            <w:pPr>
              <w:tabs>
                <w:tab w:val="left" w:pos="3300"/>
              </w:tabs>
              <w:jc w:val="center"/>
              <w:rPr>
                <w:sz w:val="20"/>
                <w:szCs w:val="20"/>
              </w:rPr>
            </w:pPr>
            <w:r w:rsidRPr="00A83D0A">
              <w:rPr>
                <w:sz w:val="20"/>
                <w:szCs w:val="20"/>
                <w:lang w:val="en-US"/>
              </w:rPr>
              <w:t>6.54%</w:t>
            </w:r>
          </w:p>
        </w:tc>
      </w:tr>
      <w:tr w:rsidR="001075C8" w:rsidRPr="000A6B6A" w14:paraId="5E2D72E3" w14:textId="77777777" w:rsidTr="00715936">
        <w:trPr>
          <w:trHeight w:val="310"/>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14:paraId="24FB77BE" w14:textId="77777777" w:rsidR="001075C8" w:rsidRPr="000A6B6A" w:rsidRDefault="001075C8" w:rsidP="001075C8">
            <w:pPr>
              <w:tabs>
                <w:tab w:val="left" w:pos="3300"/>
              </w:tabs>
              <w:jc w:val="both"/>
              <w:rPr>
                <w:lang w:val="en-US"/>
              </w:rPr>
            </w:pPr>
            <w:r w:rsidRPr="002A7412">
              <w:rPr>
                <w:b/>
                <w:sz w:val="18"/>
              </w:rPr>
              <w:t xml:space="preserve">Fuente: </w:t>
            </w:r>
            <w:proofErr w:type="spellStart"/>
            <w:r w:rsidRPr="002A7412">
              <w:rPr>
                <w:sz w:val="18"/>
              </w:rPr>
              <w:t>Elaboración</w:t>
            </w:r>
            <w:proofErr w:type="spellEnd"/>
            <w:r w:rsidRPr="002A7412">
              <w:rPr>
                <w:sz w:val="18"/>
              </w:rPr>
              <w:t xml:space="preserve"> </w:t>
            </w:r>
            <w:proofErr w:type="spellStart"/>
            <w:r w:rsidRPr="002A7412">
              <w:rPr>
                <w:sz w:val="18"/>
              </w:rPr>
              <w:t>propia</w:t>
            </w:r>
            <w:proofErr w:type="spellEnd"/>
            <w:r w:rsidRPr="002A7412">
              <w:rPr>
                <w:sz w:val="18"/>
              </w:rPr>
              <w:t>, 2024.</w:t>
            </w:r>
          </w:p>
        </w:tc>
      </w:tr>
      <w:tr w:rsidR="00715936" w:rsidRPr="000A6B6A" w14:paraId="793D56B3" w14:textId="77777777" w:rsidTr="00715936">
        <w:trPr>
          <w:trHeight w:val="310"/>
        </w:trPr>
        <w:tc>
          <w:tcPr>
            <w:tcW w:w="9351" w:type="dxa"/>
            <w:gridSpan w:val="4"/>
            <w:tcBorders>
              <w:top w:val="single" w:sz="4" w:space="0" w:color="auto"/>
            </w:tcBorders>
            <w:shd w:val="clear" w:color="auto" w:fill="auto"/>
          </w:tcPr>
          <w:p w14:paraId="52E6BF14" w14:textId="77777777" w:rsidR="00715936" w:rsidRPr="002A7412" w:rsidRDefault="00715936" w:rsidP="001075C8">
            <w:pPr>
              <w:tabs>
                <w:tab w:val="left" w:pos="3300"/>
              </w:tabs>
              <w:jc w:val="both"/>
              <w:rPr>
                <w:b/>
                <w:sz w:val="18"/>
              </w:rPr>
            </w:pPr>
          </w:p>
        </w:tc>
      </w:tr>
    </w:tbl>
    <w:p w14:paraId="6D0411BE" w14:textId="77777777" w:rsidR="005E34CA" w:rsidRDefault="005E34CA" w:rsidP="005E34CA">
      <w:pPr>
        <w:tabs>
          <w:tab w:val="left" w:pos="3300"/>
        </w:tabs>
        <w:jc w:val="both"/>
        <w:rPr>
          <w:lang w:val="es-CR"/>
        </w:rPr>
      </w:pPr>
      <w:r w:rsidRPr="00D83F9E">
        <w:rPr>
          <w:lang w:val="es-CR"/>
        </w:rPr>
        <w:lastRenderedPageBreak/>
        <w:t>Al paso de los meses, en la doceava semana del mes de marzo, se registraron 530 casos positivos, y lamentablemente se reportaron 122 muertes por COVID-19.</w:t>
      </w:r>
    </w:p>
    <w:p w14:paraId="4AB47A28" w14:textId="77777777" w:rsidR="001075C8" w:rsidRPr="00D83F9E" w:rsidRDefault="001075C8" w:rsidP="001075C8">
      <w:pPr>
        <w:tabs>
          <w:tab w:val="left" w:pos="3300"/>
        </w:tabs>
        <w:jc w:val="both"/>
        <w:rPr>
          <w:lang w:val="es-CR"/>
        </w:rPr>
      </w:pPr>
      <w:r w:rsidRPr="00D83F9E">
        <w:rPr>
          <w:lang w:val="es-CR"/>
        </w:rPr>
        <w:t>El reporte final de la semana 46 indica que el número de casos positivos fue de 23 personas, y una sola defunción.</w:t>
      </w:r>
    </w:p>
    <w:p w14:paraId="08BF2940" w14:textId="77777777" w:rsidR="001075C8" w:rsidRPr="00D83F9E" w:rsidRDefault="001075C8" w:rsidP="001075C8">
      <w:pPr>
        <w:tabs>
          <w:tab w:val="left" w:pos="3300"/>
        </w:tabs>
        <w:jc w:val="both"/>
        <w:rPr>
          <w:lang w:val="es-CR"/>
        </w:rPr>
      </w:pPr>
      <w:r w:rsidRPr="00D83F9E">
        <w:rPr>
          <w:lang w:val="es-CR"/>
        </w:rPr>
        <w:t xml:space="preserve">Ahora bien, según el estudio de la primera semana del mes de enero 2021 a la semana 46 de noviembre 2021, se tiene un total 13 781 casos positivos y un total de 907 muertes </w:t>
      </w:r>
      <w:r>
        <w:rPr>
          <w:lang w:val="es-CR"/>
        </w:rPr>
        <w:t>(ver tabla 2).</w:t>
      </w:r>
    </w:p>
    <w:p w14:paraId="289E3220" w14:textId="77777777" w:rsidR="001075C8" w:rsidRPr="00D83F9E" w:rsidRDefault="001075C8" w:rsidP="001075C8">
      <w:pPr>
        <w:tabs>
          <w:tab w:val="left" w:pos="3300"/>
        </w:tabs>
        <w:jc w:val="both"/>
        <w:rPr>
          <w:lang w:val="es-CR"/>
        </w:rPr>
      </w:pPr>
    </w:p>
    <w:p w14:paraId="57F5C01A" w14:textId="77777777" w:rsidR="001075C8" w:rsidRPr="00797EE3" w:rsidRDefault="001075C8" w:rsidP="001075C8">
      <w:pPr>
        <w:pStyle w:val="Ttulo"/>
      </w:pPr>
      <w:r w:rsidRPr="003527E0">
        <w:t>CONCLUSIONES</w:t>
      </w:r>
    </w:p>
    <w:p w14:paraId="09D7946B" w14:textId="77777777" w:rsidR="001075C8" w:rsidRPr="00D83F9E" w:rsidRDefault="001075C8" w:rsidP="001075C8">
      <w:pPr>
        <w:tabs>
          <w:tab w:val="left" w:pos="3300"/>
        </w:tabs>
        <w:jc w:val="both"/>
        <w:rPr>
          <w:lang w:val="es-CR"/>
        </w:rPr>
      </w:pPr>
      <w:r w:rsidRPr="00D83F9E">
        <w:rPr>
          <w:lang w:val="es-CR"/>
        </w:rPr>
        <w:t xml:space="preserve">En cuanto a las muestras procesadas en ambas regiones, tanto de Copán, Hospitales y centros de salud de San Pedro Sula, se procesaron 123 148 muestras, de las cuales 47 578 fueron positivas, dando una positividad del 38.63%; y 75 570 casos fueron negativos, dando una negatividad del </w:t>
      </w:r>
      <w:r w:rsidRPr="00D83F9E">
        <w:rPr>
          <w:lang w:val="es-CR"/>
        </w:rPr>
        <w:t>61.37%. Hay un total de 1827 fallecidos entre ambos lugares.</w:t>
      </w:r>
    </w:p>
    <w:tbl>
      <w:tblPr>
        <w:tblStyle w:val="Tablaconcuadrcula"/>
        <w:tblpPr w:leftFromText="141" w:rightFromText="141" w:vertAnchor="text" w:horzAnchor="margin" w:tblpY="6721"/>
        <w:tblOverlap w:val="never"/>
        <w:tblW w:w="9209" w:type="dxa"/>
        <w:tblLayout w:type="fixed"/>
        <w:tblCellMar>
          <w:top w:w="57" w:type="dxa"/>
          <w:bottom w:w="57" w:type="dxa"/>
        </w:tblCellMar>
        <w:tblLook w:val="0000" w:firstRow="0" w:lastRow="0" w:firstColumn="0" w:lastColumn="0" w:noHBand="0" w:noVBand="0"/>
      </w:tblPr>
      <w:tblGrid>
        <w:gridCol w:w="4390"/>
        <w:gridCol w:w="4819"/>
      </w:tblGrid>
      <w:tr w:rsidR="00715936" w:rsidRPr="000A6B6A" w14:paraId="4470650A" w14:textId="77777777" w:rsidTr="00715936">
        <w:trPr>
          <w:trHeight w:val="246"/>
        </w:trPr>
        <w:tc>
          <w:tcPr>
            <w:tcW w:w="9209" w:type="dxa"/>
            <w:gridSpan w:val="2"/>
            <w:tcBorders>
              <w:top w:val="nil"/>
              <w:left w:val="nil"/>
              <w:bottom w:val="single" w:sz="4" w:space="0" w:color="auto"/>
              <w:right w:val="nil"/>
            </w:tcBorders>
          </w:tcPr>
          <w:p w14:paraId="58475ABA" w14:textId="77777777" w:rsidR="00715936" w:rsidRDefault="00715936" w:rsidP="00715936">
            <w:pPr>
              <w:tabs>
                <w:tab w:val="left" w:pos="3300"/>
              </w:tabs>
              <w:jc w:val="both"/>
              <w:rPr>
                <w:b/>
                <w:bCs/>
              </w:rPr>
            </w:pPr>
          </w:p>
        </w:tc>
      </w:tr>
      <w:tr w:rsidR="00715936" w:rsidRPr="000A6B6A" w14:paraId="5CD0543C" w14:textId="77777777" w:rsidTr="00715936">
        <w:trPr>
          <w:trHeight w:val="246"/>
        </w:trPr>
        <w:tc>
          <w:tcPr>
            <w:tcW w:w="9209" w:type="dxa"/>
            <w:gridSpan w:val="2"/>
            <w:tcBorders>
              <w:top w:val="single" w:sz="4" w:space="0" w:color="auto"/>
            </w:tcBorders>
          </w:tcPr>
          <w:p w14:paraId="177ACB27" w14:textId="64A0D6AA" w:rsidR="00715936" w:rsidRPr="00797EE3" w:rsidRDefault="00715936" w:rsidP="00715936">
            <w:pPr>
              <w:tabs>
                <w:tab w:val="left" w:pos="3300"/>
              </w:tabs>
              <w:spacing w:line="276" w:lineRule="auto"/>
              <w:jc w:val="both"/>
              <w:rPr>
                <w:rFonts w:ascii="Arial" w:hAnsi="Arial" w:cs="Arial"/>
                <w:bCs/>
              </w:rPr>
            </w:pPr>
            <w:r>
              <w:rPr>
                <w:rFonts w:ascii="Arial" w:hAnsi="Arial" w:cs="Arial"/>
                <w:b/>
                <w:bCs/>
              </w:rPr>
              <w:t xml:space="preserve">Tabla 3. </w:t>
            </w:r>
            <w:r>
              <w:rPr>
                <w:rFonts w:ascii="Arial" w:hAnsi="Arial" w:cs="Arial"/>
                <w:bCs/>
              </w:rPr>
              <w:t>Cantidad de fallecidos</w:t>
            </w:r>
          </w:p>
        </w:tc>
      </w:tr>
      <w:tr w:rsidR="00715936" w:rsidRPr="000A6B6A" w14:paraId="48B6B2C7" w14:textId="77777777" w:rsidTr="00715936">
        <w:trPr>
          <w:trHeight w:val="246"/>
        </w:trPr>
        <w:tc>
          <w:tcPr>
            <w:tcW w:w="4390" w:type="dxa"/>
          </w:tcPr>
          <w:p w14:paraId="3F3C5D0F" w14:textId="77777777" w:rsidR="00715936" w:rsidRPr="000A6B6A" w:rsidRDefault="00715936" w:rsidP="00715936">
            <w:pPr>
              <w:tabs>
                <w:tab w:val="left" w:pos="3300"/>
              </w:tabs>
              <w:jc w:val="both"/>
              <w:rPr>
                <w:b/>
                <w:bCs/>
              </w:rPr>
            </w:pPr>
            <w:r>
              <w:rPr>
                <w:b/>
                <w:bCs/>
              </w:rPr>
              <w:t xml:space="preserve">Mes </w:t>
            </w:r>
          </w:p>
        </w:tc>
        <w:tc>
          <w:tcPr>
            <w:tcW w:w="4819" w:type="dxa"/>
          </w:tcPr>
          <w:p w14:paraId="09CAEB6F" w14:textId="77777777" w:rsidR="00715936" w:rsidRPr="00253425" w:rsidRDefault="00715936" w:rsidP="00715936">
            <w:pPr>
              <w:tabs>
                <w:tab w:val="left" w:pos="3300"/>
              </w:tabs>
              <w:jc w:val="center"/>
              <w:rPr>
                <w:b/>
              </w:rPr>
            </w:pPr>
            <w:r w:rsidRPr="00253425">
              <w:rPr>
                <w:b/>
              </w:rPr>
              <w:t>Cantidad</w:t>
            </w:r>
          </w:p>
        </w:tc>
      </w:tr>
      <w:tr w:rsidR="00715936" w:rsidRPr="000A6B6A" w14:paraId="46E97621" w14:textId="77777777" w:rsidTr="00715936">
        <w:trPr>
          <w:trHeight w:val="246"/>
        </w:trPr>
        <w:tc>
          <w:tcPr>
            <w:tcW w:w="4390" w:type="dxa"/>
          </w:tcPr>
          <w:p w14:paraId="23F551A3" w14:textId="77777777" w:rsidR="00715936" w:rsidRPr="000A6B6A" w:rsidRDefault="00715936" w:rsidP="00715936">
            <w:pPr>
              <w:tabs>
                <w:tab w:val="left" w:pos="3300"/>
              </w:tabs>
              <w:spacing w:line="276" w:lineRule="auto"/>
              <w:jc w:val="both"/>
              <w:rPr>
                <w:rFonts w:ascii="Arial" w:hAnsi="Arial" w:cs="Arial"/>
              </w:rPr>
            </w:pPr>
            <w:r w:rsidRPr="000A6B6A">
              <w:rPr>
                <w:rFonts w:ascii="Arial" w:hAnsi="Arial" w:cs="Arial"/>
                <w:b/>
                <w:bCs/>
              </w:rPr>
              <w:t>Enero</w:t>
            </w:r>
          </w:p>
        </w:tc>
        <w:tc>
          <w:tcPr>
            <w:tcW w:w="4819" w:type="dxa"/>
          </w:tcPr>
          <w:p w14:paraId="1549AFC9" w14:textId="77777777" w:rsidR="00715936" w:rsidRPr="00FF14F9" w:rsidRDefault="00715936" w:rsidP="00715936">
            <w:pPr>
              <w:tabs>
                <w:tab w:val="left" w:pos="3300"/>
              </w:tabs>
              <w:spacing w:line="276" w:lineRule="auto"/>
              <w:jc w:val="center"/>
              <w:rPr>
                <w:rFonts w:ascii="Arial" w:hAnsi="Arial" w:cs="Arial"/>
              </w:rPr>
            </w:pPr>
            <w:r w:rsidRPr="00797EE3">
              <w:rPr>
                <w:rFonts w:ascii="Arial" w:hAnsi="Arial" w:cs="Arial"/>
                <w:bCs/>
              </w:rPr>
              <w:t>1203</w:t>
            </w:r>
          </w:p>
        </w:tc>
      </w:tr>
      <w:tr w:rsidR="00715936" w:rsidRPr="000A6B6A" w14:paraId="07E1FC19" w14:textId="77777777" w:rsidTr="00715936">
        <w:trPr>
          <w:trHeight w:val="246"/>
        </w:trPr>
        <w:tc>
          <w:tcPr>
            <w:tcW w:w="4390" w:type="dxa"/>
          </w:tcPr>
          <w:p w14:paraId="0565AE1A" w14:textId="77777777" w:rsidR="00715936" w:rsidRPr="000A6B6A" w:rsidRDefault="00715936" w:rsidP="00715936">
            <w:pPr>
              <w:tabs>
                <w:tab w:val="left" w:pos="3300"/>
              </w:tabs>
              <w:spacing w:line="276" w:lineRule="auto"/>
              <w:jc w:val="both"/>
              <w:rPr>
                <w:rFonts w:ascii="Arial" w:hAnsi="Arial" w:cs="Arial"/>
              </w:rPr>
            </w:pPr>
            <w:r w:rsidRPr="000A6B6A">
              <w:rPr>
                <w:rFonts w:ascii="Arial" w:hAnsi="Arial" w:cs="Arial"/>
                <w:b/>
                <w:bCs/>
              </w:rPr>
              <w:t>Febrero</w:t>
            </w:r>
          </w:p>
        </w:tc>
        <w:tc>
          <w:tcPr>
            <w:tcW w:w="4819" w:type="dxa"/>
          </w:tcPr>
          <w:p w14:paraId="28D4D451" w14:textId="77777777" w:rsidR="00715936" w:rsidRPr="000A6B6A" w:rsidRDefault="00715936" w:rsidP="00715936">
            <w:pPr>
              <w:tabs>
                <w:tab w:val="left" w:pos="3300"/>
              </w:tabs>
              <w:spacing w:line="276" w:lineRule="auto"/>
              <w:jc w:val="center"/>
              <w:rPr>
                <w:rFonts w:ascii="Arial" w:hAnsi="Arial" w:cs="Arial"/>
              </w:rPr>
            </w:pPr>
            <w:r w:rsidRPr="000A6B6A">
              <w:rPr>
                <w:rFonts w:ascii="Arial" w:hAnsi="Arial" w:cs="Arial"/>
              </w:rPr>
              <w:t>1056</w:t>
            </w:r>
          </w:p>
        </w:tc>
      </w:tr>
      <w:tr w:rsidR="00715936" w:rsidRPr="000A6B6A" w14:paraId="660EC3EF" w14:textId="77777777" w:rsidTr="00715936">
        <w:trPr>
          <w:trHeight w:val="246"/>
        </w:trPr>
        <w:tc>
          <w:tcPr>
            <w:tcW w:w="4390" w:type="dxa"/>
          </w:tcPr>
          <w:p w14:paraId="0391084D" w14:textId="77777777" w:rsidR="00715936" w:rsidRPr="000A6B6A" w:rsidRDefault="00715936" w:rsidP="00715936">
            <w:pPr>
              <w:tabs>
                <w:tab w:val="left" w:pos="3300"/>
              </w:tabs>
              <w:spacing w:line="276" w:lineRule="auto"/>
              <w:jc w:val="both"/>
              <w:rPr>
                <w:rFonts w:ascii="Arial" w:hAnsi="Arial" w:cs="Arial"/>
              </w:rPr>
            </w:pPr>
            <w:r w:rsidRPr="000A6B6A">
              <w:rPr>
                <w:rFonts w:ascii="Arial" w:hAnsi="Arial" w:cs="Arial"/>
                <w:b/>
                <w:bCs/>
              </w:rPr>
              <w:t>Marzo</w:t>
            </w:r>
          </w:p>
        </w:tc>
        <w:tc>
          <w:tcPr>
            <w:tcW w:w="4819" w:type="dxa"/>
          </w:tcPr>
          <w:p w14:paraId="6DF834CE" w14:textId="77777777" w:rsidR="00715936" w:rsidRPr="000A6B6A" w:rsidRDefault="00715936" w:rsidP="00715936">
            <w:pPr>
              <w:tabs>
                <w:tab w:val="left" w:pos="3300"/>
              </w:tabs>
              <w:spacing w:line="276" w:lineRule="auto"/>
              <w:jc w:val="center"/>
              <w:rPr>
                <w:rFonts w:ascii="Arial" w:hAnsi="Arial" w:cs="Arial"/>
              </w:rPr>
            </w:pPr>
            <w:r w:rsidRPr="000A6B6A">
              <w:rPr>
                <w:rFonts w:ascii="Arial" w:hAnsi="Arial" w:cs="Arial"/>
              </w:rPr>
              <w:t>1102</w:t>
            </w:r>
          </w:p>
        </w:tc>
      </w:tr>
      <w:tr w:rsidR="00715936" w:rsidRPr="000A6B6A" w14:paraId="2BEF071F" w14:textId="77777777" w:rsidTr="00715936">
        <w:trPr>
          <w:trHeight w:val="246"/>
        </w:trPr>
        <w:tc>
          <w:tcPr>
            <w:tcW w:w="4390" w:type="dxa"/>
          </w:tcPr>
          <w:p w14:paraId="5F7FA6D3" w14:textId="77777777" w:rsidR="00715936" w:rsidRPr="000A6B6A" w:rsidRDefault="00715936" w:rsidP="00715936">
            <w:pPr>
              <w:tabs>
                <w:tab w:val="left" w:pos="3300"/>
              </w:tabs>
              <w:spacing w:line="276" w:lineRule="auto"/>
              <w:jc w:val="both"/>
              <w:rPr>
                <w:rFonts w:ascii="Arial" w:hAnsi="Arial" w:cs="Arial"/>
              </w:rPr>
            </w:pPr>
            <w:r w:rsidRPr="000A6B6A">
              <w:rPr>
                <w:rFonts w:ascii="Arial" w:hAnsi="Arial" w:cs="Arial"/>
                <w:b/>
                <w:bCs/>
              </w:rPr>
              <w:t>Abril</w:t>
            </w:r>
          </w:p>
        </w:tc>
        <w:tc>
          <w:tcPr>
            <w:tcW w:w="4819" w:type="dxa"/>
          </w:tcPr>
          <w:p w14:paraId="3F2FE849" w14:textId="77777777" w:rsidR="00715936" w:rsidRPr="000A6B6A" w:rsidRDefault="00715936" w:rsidP="00715936">
            <w:pPr>
              <w:tabs>
                <w:tab w:val="left" w:pos="3300"/>
              </w:tabs>
              <w:spacing w:line="276" w:lineRule="auto"/>
              <w:jc w:val="center"/>
              <w:rPr>
                <w:rFonts w:ascii="Arial" w:hAnsi="Arial" w:cs="Arial"/>
              </w:rPr>
            </w:pPr>
            <w:r w:rsidRPr="000A6B6A">
              <w:rPr>
                <w:rFonts w:ascii="Arial" w:hAnsi="Arial" w:cs="Arial"/>
              </w:rPr>
              <w:t>1452</w:t>
            </w:r>
          </w:p>
        </w:tc>
      </w:tr>
      <w:tr w:rsidR="00715936" w:rsidRPr="000A6B6A" w14:paraId="7B4D78FB" w14:textId="77777777" w:rsidTr="00715936">
        <w:trPr>
          <w:trHeight w:val="246"/>
        </w:trPr>
        <w:tc>
          <w:tcPr>
            <w:tcW w:w="4390" w:type="dxa"/>
          </w:tcPr>
          <w:p w14:paraId="0BF0F87F" w14:textId="77777777" w:rsidR="00715936" w:rsidRPr="000A6B6A" w:rsidRDefault="00715936" w:rsidP="00715936">
            <w:pPr>
              <w:tabs>
                <w:tab w:val="left" w:pos="3300"/>
              </w:tabs>
              <w:spacing w:line="276" w:lineRule="auto"/>
              <w:jc w:val="both"/>
              <w:rPr>
                <w:rFonts w:ascii="Arial" w:hAnsi="Arial" w:cs="Arial"/>
              </w:rPr>
            </w:pPr>
            <w:r w:rsidRPr="000A6B6A">
              <w:rPr>
                <w:rFonts w:ascii="Arial" w:hAnsi="Arial" w:cs="Arial"/>
                <w:b/>
                <w:bCs/>
              </w:rPr>
              <w:t>Mayo</w:t>
            </w:r>
          </w:p>
        </w:tc>
        <w:tc>
          <w:tcPr>
            <w:tcW w:w="4819" w:type="dxa"/>
          </w:tcPr>
          <w:p w14:paraId="3679D782" w14:textId="77777777" w:rsidR="00715936" w:rsidRPr="000A6B6A" w:rsidRDefault="00715936" w:rsidP="00715936">
            <w:pPr>
              <w:tabs>
                <w:tab w:val="left" w:pos="3300"/>
              </w:tabs>
              <w:spacing w:line="276" w:lineRule="auto"/>
              <w:jc w:val="center"/>
              <w:rPr>
                <w:rFonts w:ascii="Arial" w:hAnsi="Arial" w:cs="Arial"/>
              </w:rPr>
            </w:pPr>
            <w:r w:rsidRPr="000A6B6A">
              <w:rPr>
                <w:rFonts w:ascii="Arial" w:hAnsi="Arial" w:cs="Arial"/>
              </w:rPr>
              <w:t>1593</w:t>
            </w:r>
          </w:p>
        </w:tc>
      </w:tr>
      <w:tr w:rsidR="00715936" w:rsidRPr="000A6B6A" w14:paraId="70BCDBEE" w14:textId="77777777" w:rsidTr="00715936">
        <w:trPr>
          <w:trHeight w:val="246"/>
        </w:trPr>
        <w:tc>
          <w:tcPr>
            <w:tcW w:w="4390" w:type="dxa"/>
          </w:tcPr>
          <w:p w14:paraId="66271E75" w14:textId="77777777" w:rsidR="00715936" w:rsidRPr="000A6B6A" w:rsidRDefault="00715936" w:rsidP="00715936">
            <w:pPr>
              <w:tabs>
                <w:tab w:val="left" w:pos="3300"/>
              </w:tabs>
              <w:spacing w:line="276" w:lineRule="auto"/>
              <w:jc w:val="both"/>
              <w:rPr>
                <w:rFonts w:ascii="Arial" w:hAnsi="Arial" w:cs="Arial"/>
              </w:rPr>
            </w:pPr>
            <w:r w:rsidRPr="000A6B6A">
              <w:rPr>
                <w:rFonts w:ascii="Arial" w:hAnsi="Arial" w:cs="Arial"/>
                <w:b/>
                <w:bCs/>
              </w:rPr>
              <w:t>Junio</w:t>
            </w:r>
          </w:p>
        </w:tc>
        <w:tc>
          <w:tcPr>
            <w:tcW w:w="4819" w:type="dxa"/>
          </w:tcPr>
          <w:p w14:paraId="05C8504A" w14:textId="77777777" w:rsidR="00715936" w:rsidRPr="000A6B6A" w:rsidRDefault="00715936" w:rsidP="00715936">
            <w:pPr>
              <w:tabs>
                <w:tab w:val="left" w:pos="3300"/>
              </w:tabs>
              <w:spacing w:line="276" w:lineRule="auto"/>
              <w:jc w:val="center"/>
              <w:rPr>
                <w:rFonts w:ascii="Arial" w:hAnsi="Arial" w:cs="Arial"/>
              </w:rPr>
            </w:pPr>
            <w:r w:rsidRPr="000A6B6A">
              <w:rPr>
                <w:rFonts w:ascii="Arial" w:hAnsi="Arial" w:cs="Arial"/>
              </w:rPr>
              <w:t>1280</w:t>
            </w:r>
          </w:p>
        </w:tc>
      </w:tr>
      <w:tr w:rsidR="00715936" w:rsidRPr="000A6B6A" w14:paraId="238ED387" w14:textId="77777777" w:rsidTr="00715936">
        <w:trPr>
          <w:trHeight w:val="246"/>
        </w:trPr>
        <w:tc>
          <w:tcPr>
            <w:tcW w:w="4390" w:type="dxa"/>
          </w:tcPr>
          <w:p w14:paraId="184E2A61" w14:textId="77777777" w:rsidR="00715936" w:rsidRPr="000A6B6A" w:rsidRDefault="00715936" w:rsidP="00715936">
            <w:pPr>
              <w:tabs>
                <w:tab w:val="left" w:pos="3300"/>
              </w:tabs>
              <w:spacing w:line="276" w:lineRule="auto"/>
              <w:jc w:val="both"/>
              <w:rPr>
                <w:rFonts w:ascii="Arial" w:hAnsi="Arial" w:cs="Arial"/>
              </w:rPr>
            </w:pPr>
            <w:r w:rsidRPr="000A6B6A">
              <w:rPr>
                <w:rFonts w:ascii="Arial" w:hAnsi="Arial" w:cs="Arial"/>
                <w:b/>
                <w:bCs/>
              </w:rPr>
              <w:t>Julio</w:t>
            </w:r>
          </w:p>
        </w:tc>
        <w:tc>
          <w:tcPr>
            <w:tcW w:w="4819" w:type="dxa"/>
          </w:tcPr>
          <w:p w14:paraId="09BC9AE4" w14:textId="77777777" w:rsidR="00715936" w:rsidRPr="000A6B6A" w:rsidRDefault="00715936" w:rsidP="00715936">
            <w:pPr>
              <w:tabs>
                <w:tab w:val="left" w:pos="3300"/>
              </w:tabs>
              <w:spacing w:line="276" w:lineRule="auto"/>
              <w:jc w:val="center"/>
              <w:rPr>
                <w:rFonts w:ascii="Arial" w:hAnsi="Arial" w:cs="Arial"/>
              </w:rPr>
            </w:pPr>
            <w:r w:rsidRPr="000A6B6A">
              <w:rPr>
                <w:rFonts w:ascii="Arial" w:hAnsi="Arial" w:cs="Arial"/>
              </w:rPr>
              <w:t>1563</w:t>
            </w:r>
          </w:p>
        </w:tc>
      </w:tr>
      <w:tr w:rsidR="00715936" w:rsidRPr="000A6B6A" w14:paraId="00CFB5D9" w14:textId="77777777" w:rsidTr="00715936">
        <w:trPr>
          <w:trHeight w:val="246"/>
        </w:trPr>
        <w:tc>
          <w:tcPr>
            <w:tcW w:w="4390" w:type="dxa"/>
          </w:tcPr>
          <w:p w14:paraId="3955AC73" w14:textId="77777777" w:rsidR="00715936" w:rsidRPr="000A6B6A" w:rsidRDefault="00715936" w:rsidP="00715936">
            <w:pPr>
              <w:tabs>
                <w:tab w:val="left" w:pos="3300"/>
              </w:tabs>
              <w:spacing w:line="276" w:lineRule="auto"/>
              <w:jc w:val="both"/>
              <w:rPr>
                <w:rFonts w:ascii="Arial" w:hAnsi="Arial" w:cs="Arial"/>
              </w:rPr>
            </w:pPr>
            <w:r w:rsidRPr="000A6B6A">
              <w:rPr>
                <w:rFonts w:ascii="Arial" w:hAnsi="Arial" w:cs="Arial"/>
                <w:b/>
                <w:bCs/>
              </w:rPr>
              <w:t>Agosto</w:t>
            </w:r>
          </w:p>
        </w:tc>
        <w:tc>
          <w:tcPr>
            <w:tcW w:w="4819" w:type="dxa"/>
          </w:tcPr>
          <w:p w14:paraId="26C5796B" w14:textId="77777777" w:rsidR="00715936" w:rsidRPr="000A6B6A" w:rsidRDefault="00715936" w:rsidP="00715936">
            <w:pPr>
              <w:tabs>
                <w:tab w:val="left" w:pos="3300"/>
              </w:tabs>
              <w:spacing w:line="276" w:lineRule="auto"/>
              <w:jc w:val="center"/>
              <w:rPr>
                <w:rFonts w:ascii="Arial" w:hAnsi="Arial" w:cs="Arial"/>
              </w:rPr>
            </w:pPr>
            <w:r w:rsidRPr="000A6B6A">
              <w:rPr>
                <w:rFonts w:ascii="Arial" w:hAnsi="Arial" w:cs="Arial"/>
              </w:rPr>
              <w:t>1681</w:t>
            </w:r>
          </w:p>
        </w:tc>
      </w:tr>
      <w:tr w:rsidR="00715936" w:rsidRPr="000A6B6A" w14:paraId="3B0711F8" w14:textId="77777777" w:rsidTr="00715936">
        <w:trPr>
          <w:trHeight w:val="246"/>
        </w:trPr>
        <w:tc>
          <w:tcPr>
            <w:tcW w:w="4390" w:type="dxa"/>
          </w:tcPr>
          <w:p w14:paraId="3B7FED3F" w14:textId="77777777" w:rsidR="00715936" w:rsidRPr="000A6B6A" w:rsidRDefault="00715936" w:rsidP="00715936">
            <w:pPr>
              <w:tabs>
                <w:tab w:val="left" w:pos="3300"/>
              </w:tabs>
              <w:spacing w:line="276" w:lineRule="auto"/>
              <w:jc w:val="both"/>
              <w:rPr>
                <w:rFonts w:ascii="Arial" w:hAnsi="Arial" w:cs="Arial"/>
              </w:rPr>
            </w:pPr>
            <w:r w:rsidRPr="000A6B6A">
              <w:rPr>
                <w:rFonts w:ascii="Arial" w:hAnsi="Arial" w:cs="Arial"/>
                <w:b/>
                <w:bCs/>
              </w:rPr>
              <w:t>Septiembre</w:t>
            </w:r>
          </w:p>
        </w:tc>
        <w:tc>
          <w:tcPr>
            <w:tcW w:w="4819" w:type="dxa"/>
          </w:tcPr>
          <w:p w14:paraId="35BD5232" w14:textId="77777777" w:rsidR="00715936" w:rsidRPr="000A6B6A" w:rsidRDefault="00715936" w:rsidP="00715936">
            <w:pPr>
              <w:tabs>
                <w:tab w:val="left" w:pos="3300"/>
              </w:tabs>
              <w:spacing w:line="276" w:lineRule="auto"/>
              <w:jc w:val="center"/>
              <w:rPr>
                <w:rFonts w:ascii="Arial" w:hAnsi="Arial" w:cs="Arial"/>
              </w:rPr>
            </w:pPr>
            <w:r w:rsidRPr="000A6B6A">
              <w:rPr>
                <w:rFonts w:ascii="Arial" w:hAnsi="Arial" w:cs="Arial"/>
              </w:rPr>
              <w:t>1630</w:t>
            </w:r>
          </w:p>
        </w:tc>
      </w:tr>
      <w:tr w:rsidR="00715936" w:rsidRPr="000A6B6A" w14:paraId="60E9A23A" w14:textId="77777777" w:rsidTr="00715936">
        <w:trPr>
          <w:trHeight w:val="246"/>
        </w:trPr>
        <w:tc>
          <w:tcPr>
            <w:tcW w:w="4390" w:type="dxa"/>
          </w:tcPr>
          <w:p w14:paraId="19492DB7" w14:textId="77777777" w:rsidR="00715936" w:rsidRPr="000A6B6A" w:rsidRDefault="00715936" w:rsidP="00715936">
            <w:pPr>
              <w:tabs>
                <w:tab w:val="left" w:pos="3300"/>
              </w:tabs>
              <w:spacing w:line="276" w:lineRule="auto"/>
              <w:jc w:val="both"/>
              <w:rPr>
                <w:rFonts w:ascii="Arial" w:hAnsi="Arial" w:cs="Arial"/>
              </w:rPr>
            </w:pPr>
            <w:r w:rsidRPr="000A6B6A">
              <w:rPr>
                <w:rFonts w:ascii="Arial" w:hAnsi="Arial" w:cs="Arial"/>
                <w:b/>
                <w:bCs/>
              </w:rPr>
              <w:t>Octubre</w:t>
            </w:r>
          </w:p>
        </w:tc>
        <w:tc>
          <w:tcPr>
            <w:tcW w:w="4819" w:type="dxa"/>
          </w:tcPr>
          <w:p w14:paraId="276B780F" w14:textId="77777777" w:rsidR="00715936" w:rsidRPr="000A6B6A" w:rsidRDefault="00715936" w:rsidP="00715936">
            <w:pPr>
              <w:tabs>
                <w:tab w:val="left" w:pos="3300"/>
              </w:tabs>
              <w:spacing w:line="276" w:lineRule="auto"/>
              <w:jc w:val="center"/>
              <w:rPr>
                <w:rFonts w:ascii="Arial" w:hAnsi="Arial" w:cs="Arial"/>
              </w:rPr>
            </w:pPr>
            <w:r w:rsidRPr="000A6B6A">
              <w:rPr>
                <w:rFonts w:ascii="Arial" w:hAnsi="Arial" w:cs="Arial"/>
              </w:rPr>
              <w:t>830</w:t>
            </w:r>
          </w:p>
        </w:tc>
      </w:tr>
      <w:tr w:rsidR="00715936" w:rsidRPr="000A6B6A" w14:paraId="4E52894A" w14:textId="77777777" w:rsidTr="00715936">
        <w:trPr>
          <w:trHeight w:val="246"/>
        </w:trPr>
        <w:tc>
          <w:tcPr>
            <w:tcW w:w="4390" w:type="dxa"/>
          </w:tcPr>
          <w:p w14:paraId="7E016F8C" w14:textId="77777777" w:rsidR="00715936" w:rsidRPr="000A6B6A" w:rsidRDefault="00715936" w:rsidP="00715936">
            <w:pPr>
              <w:tabs>
                <w:tab w:val="left" w:pos="3300"/>
              </w:tabs>
              <w:spacing w:line="276" w:lineRule="auto"/>
              <w:jc w:val="both"/>
              <w:rPr>
                <w:rFonts w:ascii="Arial" w:hAnsi="Arial" w:cs="Arial"/>
              </w:rPr>
            </w:pPr>
            <w:r w:rsidRPr="000A6B6A">
              <w:rPr>
                <w:rFonts w:ascii="Arial" w:hAnsi="Arial" w:cs="Arial"/>
                <w:b/>
                <w:bCs/>
              </w:rPr>
              <w:t xml:space="preserve">1 al 16 de </w:t>
            </w:r>
            <w:r>
              <w:rPr>
                <w:rFonts w:ascii="Arial" w:hAnsi="Arial" w:cs="Arial"/>
                <w:b/>
                <w:bCs/>
              </w:rPr>
              <w:t>n</w:t>
            </w:r>
            <w:r w:rsidRPr="000A6B6A">
              <w:rPr>
                <w:rFonts w:ascii="Arial" w:hAnsi="Arial" w:cs="Arial"/>
                <w:b/>
                <w:bCs/>
              </w:rPr>
              <w:t>oviembre</w:t>
            </w:r>
          </w:p>
        </w:tc>
        <w:tc>
          <w:tcPr>
            <w:tcW w:w="4819" w:type="dxa"/>
          </w:tcPr>
          <w:p w14:paraId="18213DF4" w14:textId="77777777" w:rsidR="00715936" w:rsidRPr="000A6B6A" w:rsidRDefault="00715936" w:rsidP="00715936">
            <w:pPr>
              <w:tabs>
                <w:tab w:val="left" w:pos="3300"/>
              </w:tabs>
              <w:spacing w:line="276" w:lineRule="auto"/>
              <w:jc w:val="center"/>
              <w:rPr>
                <w:rFonts w:ascii="Arial" w:hAnsi="Arial" w:cs="Arial"/>
              </w:rPr>
            </w:pPr>
            <w:r w:rsidRPr="000A6B6A">
              <w:rPr>
                <w:rFonts w:ascii="Arial" w:hAnsi="Arial" w:cs="Arial"/>
              </w:rPr>
              <w:t>398</w:t>
            </w:r>
          </w:p>
        </w:tc>
      </w:tr>
      <w:tr w:rsidR="00715936" w:rsidRPr="000A6B6A" w14:paraId="25E8E652" w14:textId="77777777" w:rsidTr="00715936">
        <w:trPr>
          <w:trHeight w:val="246"/>
        </w:trPr>
        <w:tc>
          <w:tcPr>
            <w:tcW w:w="9209" w:type="dxa"/>
            <w:gridSpan w:val="2"/>
            <w:tcBorders>
              <w:bottom w:val="single" w:sz="4" w:space="0" w:color="auto"/>
            </w:tcBorders>
          </w:tcPr>
          <w:p w14:paraId="4F69B8F1" w14:textId="72273172" w:rsidR="00715936" w:rsidRPr="000A6B6A" w:rsidRDefault="00715936" w:rsidP="00715936">
            <w:pPr>
              <w:tabs>
                <w:tab w:val="left" w:pos="3300"/>
              </w:tabs>
              <w:spacing w:line="276" w:lineRule="auto"/>
              <w:jc w:val="both"/>
              <w:rPr>
                <w:rFonts w:ascii="Arial" w:hAnsi="Arial" w:cs="Arial"/>
              </w:rPr>
            </w:pPr>
            <w:r w:rsidRPr="002A7412">
              <w:rPr>
                <w:rFonts w:ascii="Arial" w:hAnsi="Arial" w:cs="Arial"/>
                <w:b/>
                <w:sz w:val="18"/>
              </w:rPr>
              <w:t>Fuente</w:t>
            </w:r>
            <w:r w:rsidR="001D25E9">
              <w:rPr>
                <w:rFonts w:ascii="Arial" w:hAnsi="Arial" w:cs="Arial"/>
                <w:b/>
                <w:sz w:val="18"/>
              </w:rPr>
              <w:t>.</w:t>
            </w:r>
            <w:r w:rsidRPr="002A7412">
              <w:rPr>
                <w:rFonts w:ascii="Arial" w:hAnsi="Arial" w:cs="Arial"/>
                <w:b/>
                <w:sz w:val="18"/>
              </w:rPr>
              <w:t xml:space="preserve"> </w:t>
            </w:r>
            <w:r w:rsidRPr="002A7412">
              <w:rPr>
                <w:rFonts w:ascii="Arial" w:hAnsi="Arial" w:cs="Arial"/>
                <w:sz w:val="18"/>
              </w:rPr>
              <w:t>Elaboración propia, 2024.</w:t>
            </w:r>
          </w:p>
        </w:tc>
      </w:tr>
    </w:tbl>
    <w:p w14:paraId="2E6580B9" w14:textId="77777777" w:rsidR="001075C8" w:rsidRPr="00D83F9E" w:rsidRDefault="001075C8" w:rsidP="001075C8">
      <w:pPr>
        <w:tabs>
          <w:tab w:val="left" w:pos="3300"/>
        </w:tabs>
        <w:jc w:val="both"/>
        <w:rPr>
          <w:lang w:val="es-CR"/>
        </w:rPr>
      </w:pPr>
      <w:r w:rsidRPr="00D83F9E">
        <w:rPr>
          <w:lang w:val="es-CR"/>
        </w:rPr>
        <w:t xml:space="preserve">En cuanto a comparación, un 51% fueron hombres, siendo el mayor número de casos presentado entre los 30 a 39 años, quienes dieron positivo; y un 49% fueron mujeres, </w:t>
      </w:r>
    </w:p>
    <w:p w14:paraId="0708075C" w14:textId="77777777" w:rsidR="001075C8" w:rsidRPr="00D83F9E" w:rsidRDefault="001075C8" w:rsidP="001075C8">
      <w:pPr>
        <w:tabs>
          <w:tab w:val="left" w:pos="3300"/>
        </w:tabs>
        <w:jc w:val="both"/>
        <w:rPr>
          <w:lang w:val="es-CR"/>
        </w:rPr>
      </w:pPr>
      <w:r w:rsidRPr="00D83F9E">
        <w:rPr>
          <w:lang w:val="es-CR"/>
        </w:rPr>
        <w:t>con mayor número entre las edades de 20 a 29 años, según datos de la Región Metropolitana de San Pedro Sula, habiendo mayormente infectados en el sexo masculino.</w:t>
      </w:r>
    </w:p>
    <w:p w14:paraId="6469D244" w14:textId="5A0F1934" w:rsidR="001075C8" w:rsidRDefault="001075C8" w:rsidP="001075C8">
      <w:pPr>
        <w:tabs>
          <w:tab w:val="left" w:pos="3300"/>
        </w:tabs>
        <w:jc w:val="both"/>
        <w:rPr>
          <w:lang w:val="es-CR"/>
        </w:rPr>
      </w:pPr>
      <w:r w:rsidRPr="00D83F9E">
        <w:rPr>
          <w:lang w:val="es-CR"/>
        </w:rPr>
        <w:t>El 26.55% de las muestras se procesaron en la región de salud departamental de Copán, y el 73.45% se procesaron en la región metropolitana de salud de San Pedro Sula.</w:t>
      </w:r>
    </w:p>
    <w:p w14:paraId="2E39D777" w14:textId="77777777" w:rsidR="001075C8" w:rsidRPr="00D83F9E" w:rsidRDefault="001075C8" w:rsidP="001075C8">
      <w:pPr>
        <w:tabs>
          <w:tab w:val="left" w:pos="3300"/>
        </w:tabs>
        <w:jc w:val="both"/>
        <w:rPr>
          <w:lang w:val="es-CR"/>
        </w:rPr>
      </w:pPr>
      <w:r w:rsidRPr="00D83F9E">
        <w:rPr>
          <w:lang w:val="es-CR"/>
        </w:rPr>
        <w:t>El 17.62% de los casos positivos fueron en la región de salud departamental de Copán, y el 82.38% en la región metropolitana de salud de San Pedro Sula.</w:t>
      </w:r>
    </w:p>
    <w:p w14:paraId="7C0BBF34" w14:textId="77777777" w:rsidR="001075C8" w:rsidRPr="00D83F9E" w:rsidRDefault="001075C8" w:rsidP="001075C8">
      <w:pPr>
        <w:tabs>
          <w:tab w:val="left" w:pos="3300"/>
        </w:tabs>
        <w:jc w:val="both"/>
        <w:rPr>
          <w:lang w:val="es-CR"/>
        </w:rPr>
      </w:pPr>
      <w:r w:rsidRPr="00D83F9E">
        <w:rPr>
          <w:lang w:val="es-CR"/>
        </w:rPr>
        <w:t xml:space="preserve">De los 1827 reportados como fallecidos en ambas regiones, el 21.45% pertenece a la región de salud departamental de Copán, y el 78.55% en la región metropolitana de </w:t>
      </w:r>
      <w:r w:rsidRPr="00D83F9E">
        <w:rPr>
          <w:lang w:val="es-CR"/>
        </w:rPr>
        <w:lastRenderedPageBreak/>
        <w:t>salud de San Pedro Sula, dando como resultado una mortalidad del 1.48%.</w:t>
      </w:r>
    </w:p>
    <w:p w14:paraId="69B318F6" w14:textId="77777777" w:rsidR="001075C8" w:rsidRPr="005E34CA" w:rsidRDefault="001075C8" w:rsidP="001075C8">
      <w:pPr>
        <w:tabs>
          <w:tab w:val="left" w:pos="3300"/>
        </w:tabs>
        <w:jc w:val="both"/>
        <w:rPr>
          <w:lang w:val="es-CR"/>
        </w:rPr>
      </w:pPr>
      <w:r w:rsidRPr="00D83F9E">
        <w:rPr>
          <w:lang w:val="es-CR"/>
        </w:rPr>
        <w:t>Se investigó con la Asociación de Funerarias en Honduras, los cuales reportaron en el 2020 un total de 7620 fallecimientos (35.59%), y en el 2021 una suma de 13 788 fallecidos (64.41%)</w:t>
      </w:r>
      <w:r>
        <w:rPr>
          <w:lang w:val="es-CR"/>
        </w:rPr>
        <w:t xml:space="preserve"> (ver tabla 3).</w:t>
      </w:r>
    </w:p>
    <w:p w14:paraId="16D184F0" w14:textId="77777777" w:rsidR="001075C8" w:rsidRPr="00D83F9E" w:rsidRDefault="001075C8" w:rsidP="001075C8">
      <w:pPr>
        <w:tabs>
          <w:tab w:val="left" w:pos="3300"/>
        </w:tabs>
        <w:jc w:val="both"/>
        <w:rPr>
          <w:lang w:val="es-CR"/>
        </w:rPr>
      </w:pPr>
      <w:r w:rsidRPr="00D83F9E">
        <w:rPr>
          <w:lang w:val="es-CR"/>
        </w:rPr>
        <w:t xml:space="preserve">El mayor número de muertes reportadas en las funerarias se ha dado en el mes de agosto del 2021, y se ha visto una reducción considerable entre octubre y noviembre, debido a que las personas han tomado la decisión de asistir al proceso de vacunación; por lo cual se les invita a las personas que no lo han realizado aun, a que lo hagan. </w:t>
      </w:r>
    </w:p>
    <w:p w14:paraId="08BBF886" w14:textId="77777777" w:rsidR="001075C8" w:rsidRPr="00D83F9E" w:rsidRDefault="001075C8" w:rsidP="001075C8">
      <w:pPr>
        <w:tabs>
          <w:tab w:val="left" w:pos="3300"/>
        </w:tabs>
        <w:jc w:val="both"/>
        <w:rPr>
          <w:lang w:val="es-CR"/>
        </w:rPr>
      </w:pPr>
    </w:p>
    <w:p w14:paraId="1C3FF0A2" w14:textId="602C08B5" w:rsidR="00D83F9E" w:rsidRPr="00D83F9E" w:rsidRDefault="00D83F9E" w:rsidP="00D83F9E">
      <w:pPr>
        <w:tabs>
          <w:tab w:val="left" w:pos="3300"/>
        </w:tabs>
        <w:jc w:val="both"/>
        <w:rPr>
          <w:lang w:val="es-CR"/>
        </w:rPr>
      </w:pPr>
      <w:r w:rsidRPr="00D83F9E">
        <w:rPr>
          <w:lang w:val="es-CR"/>
        </w:rPr>
        <w:t xml:space="preserve"> </w:t>
      </w:r>
    </w:p>
    <w:p w14:paraId="37769429" w14:textId="77777777" w:rsidR="0031108A" w:rsidRPr="00A05503" w:rsidRDefault="0031108A" w:rsidP="00A019EC">
      <w:pPr>
        <w:pStyle w:val="Ttulo1"/>
        <w:spacing w:after="0"/>
      </w:pPr>
      <w:r w:rsidRPr="00A05503">
        <w:t>REFERENCIAS</w:t>
      </w:r>
    </w:p>
    <w:p w14:paraId="5F8A28E8" w14:textId="3DBAB80B" w:rsidR="005E34CA" w:rsidRPr="005E34CA" w:rsidRDefault="005E34CA" w:rsidP="005E34CA">
      <w:pPr>
        <w:pStyle w:val="Prrafodelista"/>
        <w:numPr>
          <w:ilvl w:val="0"/>
          <w:numId w:val="29"/>
        </w:numPr>
        <w:tabs>
          <w:tab w:val="left" w:pos="3300"/>
        </w:tabs>
        <w:spacing w:before="160"/>
        <w:ind w:left="284" w:hanging="284"/>
        <w:jc w:val="both"/>
        <w:rPr>
          <w:rStyle w:val="Hipervnculo"/>
          <w:sz w:val="20"/>
          <w:lang w:val="es-CR"/>
        </w:rPr>
      </w:pPr>
      <w:r w:rsidRPr="005E34CA">
        <w:rPr>
          <w:sz w:val="20"/>
          <w:lang w:val="es-CR"/>
        </w:rPr>
        <w:t xml:space="preserve">La Secretaría de Salud confirma los dos primeros casos de COVID-19 en el territorio hondureño. UNICEF [Internet]. 11 de marzo, 2020 [citado el 11 de enero, 2022]. </w:t>
      </w:r>
      <w:r w:rsidR="00010924">
        <w:rPr>
          <w:sz w:val="20"/>
          <w:lang w:val="es-CR"/>
        </w:rPr>
        <w:t>Disponible en</w:t>
      </w:r>
      <w:r w:rsidRPr="005E34CA">
        <w:rPr>
          <w:sz w:val="20"/>
          <w:lang w:val="es-CR"/>
        </w:rPr>
        <w:t xml:space="preserve">:  </w:t>
      </w:r>
      <w:hyperlink r:id="rId25" w:history="1">
        <w:r w:rsidRPr="005E34CA">
          <w:rPr>
            <w:rStyle w:val="Hipervnculo"/>
            <w:sz w:val="20"/>
            <w:lang w:val="es-CR"/>
          </w:rPr>
          <w:t>https://www.unicef.org/honduras/comunicados-prensa/la-secretar%C3%ADa-de-salud-confirma-los-dos-primeros-casos-de-covid-19-en-el</w:t>
        </w:r>
      </w:hyperlink>
    </w:p>
    <w:p w14:paraId="5250436B" w14:textId="77777777" w:rsidR="005E34CA" w:rsidRPr="00797EE3" w:rsidRDefault="005E34CA" w:rsidP="005E34CA">
      <w:pPr>
        <w:pStyle w:val="Prrafodelista"/>
        <w:numPr>
          <w:ilvl w:val="0"/>
          <w:numId w:val="29"/>
        </w:numPr>
        <w:tabs>
          <w:tab w:val="left" w:pos="3300"/>
        </w:tabs>
        <w:ind w:left="284" w:hanging="284"/>
        <w:jc w:val="both"/>
        <w:rPr>
          <w:sz w:val="20"/>
        </w:rPr>
      </w:pPr>
      <w:r w:rsidRPr="005E34CA">
        <w:rPr>
          <w:sz w:val="20"/>
          <w:lang w:val="es-CR"/>
        </w:rPr>
        <w:t xml:space="preserve">Alvarado-Socarras JL, Vesga-Varela AL, Quintero-Lesmes DC, Fama-Pereira MM, Serrano-Diaz NC, Vasco M, Carballo-Zarate V, Zambrano LI, </w:t>
      </w:r>
      <w:proofErr w:type="spellStart"/>
      <w:r w:rsidRPr="005E34CA">
        <w:rPr>
          <w:sz w:val="20"/>
          <w:lang w:val="es-CR"/>
        </w:rPr>
        <w:t>Paniz-Mondolfi</w:t>
      </w:r>
      <w:proofErr w:type="spellEnd"/>
      <w:r w:rsidRPr="005E34CA">
        <w:rPr>
          <w:sz w:val="20"/>
          <w:lang w:val="es-CR"/>
        </w:rPr>
        <w:t xml:space="preserve"> A, </w:t>
      </w:r>
      <w:proofErr w:type="spellStart"/>
      <w:r w:rsidRPr="005E34CA">
        <w:rPr>
          <w:sz w:val="20"/>
          <w:lang w:val="es-CR"/>
        </w:rPr>
        <w:t>Rodriguez</w:t>
      </w:r>
      <w:proofErr w:type="spellEnd"/>
      <w:r w:rsidRPr="005E34CA">
        <w:rPr>
          <w:sz w:val="20"/>
          <w:lang w:val="es-CR"/>
        </w:rPr>
        <w:t xml:space="preserve">-Morales AJ. </w:t>
      </w:r>
      <w:r w:rsidRPr="00797EE3">
        <w:rPr>
          <w:sz w:val="20"/>
          <w:lang w:val="en-US"/>
        </w:rPr>
        <w:t xml:space="preserve">Perception of COVID-19 Vaccination Amongst Physicians in Colombia. Vaccines (Basel). </w:t>
      </w:r>
      <w:r w:rsidRPr="00797EE3">
        <w:rPr>
          <w:sz w:val="20"/>
        </w:rPr>
        <w:t>Mar 19</w:t>
      </w:r>
      <w:r>
        <w:rPr>
          <w:sz w:val="20"/>
        </w:rPr>
        <w:t>, 2021</w:t>
      </w:r>
      <w:r w:rsidRPr="00797EE3">
        <w:rPr>
          <w:sz w:val="20"/>
        </w:rPr>
        <w:t xml:space="preserve">;9(3):287. </w:t>
      </w:r>
      <w:r>
        <w:rPr>
          <w:sz w:val="20"/>
        </w:rPr>
        <w:t>DOI</w:t>
      </w:r>
      <w:r w:rsidRPr="00797EE3">
        <w:rPr>
          <w:sz w:val="20"/>
        </w:rPr>
        <w:t>: 10.3390/vaccines9030287. PMID: 33808918; PMCID: PMC8003713.</w:t>
      </w:r>
    </w:p>
    <w:p w14:paraId="6C37325D" w14:textId="77777777" w:rsidR="005E34CA" w:rsidRPr="00797EE3" w:rsidRDefault="005E34CA" w:rsidP="005E34CA">
      <w:pPr>
        <w:pStyle w:val="Prrafodelista"/>
        <w:numPr>
          <w:ilvl w:val="0"/>
          <w:numId w:val="29"/>
        </w:numPr>
        <w:tabs>
          <w:tab w:val="left" w:pos="3300"/>
        </w:tabs>
        <w:ind w:left="284" w:hanging="284"/>
        <w:jc w:val="both"/>
        <w:rPr>
          <w:sz w:val="20"/>
          <w:lang w:val="en-US"/>
        </w:rPr>
      </w:pPr>
      <w:r w:rsidRPr="00797EE3">
        <w:rPr>
          <w:sz w:val="20"/>
          <w:lang w:val="en-US"/>
        </w:rPr>
        <w:t xml:space="preserve">Canales Beltrán MT, Valdez PR, Pugliese F, Castagna R, </w:t>
      </w:r>
      <w:proofErr w:type="spellStart"/>
      <w:r w:rsidRPr="00797EE3">
        <w:rPr>
          <w:sz w:val="20"/>
          <w:lang w:val="en-US"/>
        </w:rPr>
        <w:t>Huespe</w:t>
      </w:r>
      <w:proofErr w:type="spellEnd"/>
      <w:r w:rsidRPr="00797EE3">
        <w:rPr>
          <w:sz w:val="20"/>
          <w:lang w:val="en-US"/>
        </w:rPr>
        <w:t xml:space="preserve"> IA, </w:t>
      </w:r>
      <w:proofErr w:type="spellStart"/>
      <w:r w:rsidRPr="00797EE3">
        <w:rPr>
          <w:sz w:val="20"/>
          <w:lang w:val="en-US"/>
        </w:rPr>
        <w:t>Boietti</w:t>
      </w:r>
      <w:proofErr w:type="spellEnd"/>
      <w:r w:rsidRPr="00797EE3">
        <w:rPr>
          <w:sz w:val="20"/>
          <w:lang w:val="en-US"/>
        </w:rPr>
        <w:t xml:space="preserve"> B, Pollan JA, Funke N, Leiding B, Gómez-Varela D. Development and evaluation of a machine learning-based in-hospital COVID-19 disease outcome predictor (CODOP): A multicontinental retrospective study. Elife. May 17</w:t>
      </w:r>
      <w:r>
        <w:rPr>
          <w:sz w:val="20"/>
          <w:lang w:val="en-US"/>
        </w:rPr>
        <w:t>, 2022</w:t>
      </w:r>
      <w:r w:rsidRPr="00797EE3">
        <w:rPr>
          <w:sz w:val="20"/>
          <w:lang w:val="en-US"/>
        </w:rPr>
        <w:t xml:space="preserve">;11:e75985. </w:t>
      </w:r>
      <w:r>
        <w:rPr>
          <w:sz w:val="20"/>
          <w:lang w:val="en-US"/>
        </w:rPr>
        <w:t>DOI</w:t>
      </w:r>
      <w:r w:rsidRPr="00797EE3">
        <w:rPr>
          <w:sz w:val="20"/>
          <w:lang w:val="en-US"/>
        </w:rPr>
        <w:t>: 10.7554/eLife.75985. PMID: 35579324; PMCID: PMC9129872.</w:t>
      </w:r>
    </w:p>
    <w:p w14:paraId="1C941977" w14:textId="77777777" w:rsidR="005E34CA" w:rsidRPr="00797EE3" w:rsidRDefault="005E34CA" w:rsidP="005E34CA">
      <w:pPr>
        <w:pStyle w:val="Prrafodelista"/>
        <w:numPr>
          <w:ilvl w:val="0"/>
          <w:numId w:val="29"/>
        </w:numPr>
        <w:tabs>
          <w:tab w:val="left" w:pos="3300"/>
        </w:tabs>
        <w:ind w:left="284" w:hanging="284"/>
        <w:jc w:val="both"/>
        <w:rPr>
          <w:sz w:val="20"/>
          <w:lang w:val="en-US"/>
        </w:rPr>
      </w:pPr>
      <w:r w:rsidRPr="00797EE3">
        <w:rPr>
          <w:sz w:val="20"/>
          <w:lang w:val="en-US"/>
        </w:rPr>
        <w:t xml:space="preserve">Tavares-Da-Silva F, Whittington A, </w:t>
      </w:r>
      <w:proofErr w:type="spellStart"/>
      <w:r w:rsidRPr="00797EE3">
        <w:rPr>
          <w:sz w:val="20"/>
          <w:lang w:val="en-US"/>
        </w:rPr>
        <w:t>Chicz</w:t>
      </w:r>
      <w:proofErr w:type="spellEnd"/>
      <w:r w:rsidRPr="00797EE3">
        <w:rPr>
          <w:sz w:val="20"/>
          <w:lang w:val="en-US"/>
        </w:rPr>
        <w:t xml:space="preserve"> RM, Gurunathan S, Savarino S, Sridhar S; VAT00002 booster cohorts study team. Safety and immunogenicity of a variant-adapted SARS-CoV-2 recombinant protein vaccine with AS03 adjuvant as a booster in adults primed with authorized vaccines: a phase 3, parallel-group study. </w:t>
      </w:r>
      <w:proofErr w:type="spellStart"/>
      <w:r w:rsidRPr="00797EE3">
        <w:rPr>
          <w:sz w:val="20"/>
        </w:rPr>
        <w:t>EClinicalMedicine</w:t>
      </w:r>
      <w:proofErr w:type="spellEnd"/>
      <w:r w:rsidRPr="00797EE3">
        <w:rPr>
          <w:sz w:val="20"/>
        </w:rPr>
        <w:t>. Jul 22</w:t>
      </w:r>
      <w:r>
        <w:rPr>
          <w:sz w:val="20"/>
        </w:rPr>
        <w:t>, 2023</w:t>
      </w:r>
      <w:r w:rsidRPr="00797EE3">
        <w:rPr>
          <w:sz w:val="20"/>
        </w:rPr>
        <w:t xml:space="preserve">;62:102109. </w:t>
      </w:r>
      <w:r>
        <w:rPr>
          <w:sz w:val="20"/>
        </w:rPr>
        <w:t>DOI</w:t>
      </w:r>
      <w:r w:rsidRPr="00797EE3">
        <w:rPr>
          <w:sz w:val="20"/>
        </w:rPr>
        <w:t>: 10.1016/j.eclinm.2023.102109. PMID: 37533419; PMCID: PMC10391925.</w:t>
      </w:r>
    </w:p>
    <w:p w14:paraId="78A1B17C" w14:textId="2DD7B446" w:rsidR="005E34CA" w:rsidRPr="005E34CA" w:rsidRDefault="005E34CA" w:rsidP="005E34CA">
      <w:pPr>
        <w:pStyle w:val="Prrafodelista"/>
        <w:numPr>
          <w:ilvl w:val="0"/>
          <w:numId w:val="29"/>
        </w:numPr>
        <w:tabs>
          <w:tab w:val="left" w:pos="3300"/>
        </w:tabs>
        <w:ind w:left="284" w:hanging="284"/>
        <w:jc w:val="both"/>
        <w:rPr>
          <w:rStyle w:val="Hipervnculo"/>
          <w:sz w:val="20"/>
          <w:lang w:val="es-CR"/>
        </w:rPr>
      </w:pPr>
      <w:r w:rsidRPr="00DC2B40">
        <w:rPr>
          <w:sz w:val="20"/>
          <w:lang w:val="en-US"/>
        </w:rPr>
        <w:t xml:space="preserve">Pérez Abreu MR, Gómez Tejeda JJ, Dieguez </w:t>
      </w:r>
      <w:proofErr w:type="spellStart"/>
      <w:r w:rsidRPr="00DC2B40">
        <w:rPr>
          <w:sz w:val="20"/>
          <w:lang w:val="en-US"/>
        </w:rPr>
        <w:t>Guach</w:t>
      </w:r>
      <w:proofErr w:type="spellEnd"/>
      <w:r w:rsidRPr="00DC2B40">
        <w:rPr>
          <w:sz w:val="20"/>
          <w:lang w:val="en-US"/>
        </w:rPr>
        <w:t xml:space="preserve"> RA. </w:t>
      </w:r>
      <w:r w:rsidRPr="005E34CA">
        <w:rPr>
          <w:sz w:val="20"/>
          <w:lang w:val="es-CR"/>
        </w:rPr>
        <w:t xml:space="preserve">Características clínico-epidemiológicas de la COVID-19. </w:t>
      </w:r>
      <w:proofErr w:type="spellStart"/>
      <w:r w:rsidRPr="005E34CA">
        <w:rPr>
          <w:sz w:val="20"/>
          <w:lang w:val="es-CR"/>
        </w:rPr>
        <w:t>Rev</w:t>
      </w:r>
      <w:proofErr w:type="spellEnd"/>
      <w:r w:rsidRPr="005E34CA">
        <w:rPr>
          <w:sz w:val="20"/>
          <w:lang w:val="es-CR"/>
        </w:rPr>
        <w:t xml:space="preserve"> </w:t>
      </w:r>
      <w:proofErr w:type="spellStart"/>
      <w:r w:rsidRPr="005E34CA">
        <w:rPr>
          <w:sz w:val="20"/>
          <w:lang w:val="es-CR"/>
        </w:rPr>
        <w:t>haban</w:t>
      </w:r>
      <w:proofErr w:type="spellEnd"/>
      <w:r w:rsidRPr="005E34CA">
        <w:rPr>
          <w:sz w:val="20"/>
          <w:lang w:val="es-CR"/>
        </w:rPr>
        <w:t xml:space="preserve"> </w:t>
      </w:r>
      <w:proofErr w:type="spellStart"/>
      <w:r w:rsidRPr="005E34CA">
        <w:rPr>
          <w:sz w:val="20"/>
          <w:lang w:val="es-CR"/>
        </w:rPr>
        <w:t>cienc</w:t>
      </w:r>
      <w:proofErr w:type="spellEnd"/>
      <w:r w:rsidRPr="005E34CA">
        <w:rPr>
          <w:sz w:val="20"/>
          <w:lang w:val="es-CR"/>
        </w:rPr>
        <w:t xml:space="preserve"> </w:t>
      </w:r>
      <w:proofErr w:type="spellStart"/>
      <w:r w:rsidRPr="005E34CA">
        <w:rPr>
          <w:sz w:val="20"/>
          <w:lang w:val="es-CR"/>
        </w:rPr>
        <w:t>méd</w:t>
      </w:r>
      <w:proofErr w:type="spellEnd"/>
      <w:r w:rsidRPr="005E34CA">
        <w:rPr>
          <w:sz w:val="20"/>
          <w:lang w:val="es-CR"/>
        </w:rPr>
        <w:t xml:space="preserve"> [Internet]. 2020 [citado el 12 de enero, 2022]; 19(2):e_3254. </w:t>
      </w:r>
      <w:r w:rsidR="00010924">
        <w:rPr>
          <w:sz w:val="20"/>
          <w:lang w:val="es-CR"/>
        </w:rPr>
        <w:t>Disponible en</w:t>
      </w:r>
      <w:r w:rsidRPr="005E34CA">
        <w:rPr>
          <w:sz w:val="20"/>
          <w:lang w:val="es-CR"/>
        </w:rPr>
        <w:t xml:space="preserve">:  </w:t>
      </w:r>
      <w:hyperlink r:id="rId26" w:history="1">
        <w:r w:rsidRPr="005E34CA">
          <w:rPr>
            <w:rStyle w:val="Hipervnculo"/>
            <w:sz w:val="20"/>
            <w:lang w:val="es-CR"/>
          </w:rPr>
          <w:t>http://www.revhabanera.sld.cu/index.php/rhab/article/view/3254/2505</w:t>
        </w:r>
      </w:hyperlink>
    </w:p>
    <w:p w14:paraId="6E22D848" w14:textId="77777777" w:rsidR="005E34CA" w:rsidRPr="00797EE3" w:rsidRDefault="005E34CA" w:rsidP="005E34CA">
      <w:pPr>
        <w:pStyle w:val="Prrafodelista"/>
        <w:numPr>
          <w:ilvl w:val="0"/>
          <w:numId w:val="29"/>
        </w:numPr>
        <w:tabs>
          <w:tab w:val="left" w:pos="3300"/>
        </w:tabs>
        <w:ind w:left="284" w:hanging="284"/>
        <w:jc w:val="both"/>
        <w:rPr>
          <w:sz w:val="20"/>
        </w:rPr>
      </w:pPr>
      <w:r w:rsidRPr="005E34CA">
        <w:rPr>
          <w:sz w:val="20"/>
          <w:lang w:val="es-CR"/>
        </w:rPr>
        <w:t xml:space="preserve">Ramírez C, Herrera Paz EF, Gómez Ventura S, Rodríguez G, </w:t>
      </w:r>
      <w:proofErr w:type="spellStart"/>
      <w:r w:rsidRPr="005E34CA">
        <w:rPr>
          <w:sz w:val="20"/>
          <w:lang w:val="es-CR"/>
        </w:rPr>
        <w:t>Linarez</w:t>
      </w:r>
      <w:proofErr w:type="spellEnd"/>
      <w:r w:rsidRPr="005E34CA">
        <w:rPr>
          <w:sz w:val="20"/>
          <w:lang w:val="es-CR"/>
        </w:rPr>
        <w:t xml:space="preserve"> N, Durón RM. </w:t>
      </w:r>
      <w:r w:rsidRPr="00797EE3">
        <w:rPr>
          <w:sz w:val="20"/>
          <w:lang w:val="en-US"/>
        </w:rPr>
        <w:t xml:space="preserve">Dealing with perceptions related to thrombosis and COVID-19 vaccines. Rev </w:t>
      </w:r>
      <w:proofErr w:type="spellStart"/>
      <w:r w:rsidRPr="00797EE3">
        <w:rPr>
          <w:sz w:val="20"/>
          <w:lang w:val="en-US"/>
        </w:rPr>
        <w:t>Panam</w:t>
      </w:r>
      <w:proofErr w:type="spellEnd"/>
      <w:r w:rsidRPr="00797EE3">
        <w:rPr>
          <w:sz w:val="20"/>
          <w:lang w:val="en-US"/>
        </w:rPr>
        <w:t xml:space="preserve"> Salud Publica. </w:t>
      </w:r>
      <w:r w:rsidRPr="00797EE3">
        <w:rPr>
          <w:sz w:val="20"/>
        </w:rPr>
        <w:t xml:space="preserve">Jul </w:t>
      </w:r>
      <w:r>
        <w:rPr>
          <w:sz w:val="20"/>
        </w:rPr>
        <w:t>0</w:t>
      </w:r>
      <w:r w:rsidRPr="00797EE3">
        <w:rPr>
          <w:sz w:val="20"/>
        </w:rPr>
        <w:t>8</w:t>
      </w:r>
      <w:r>
        <w:rPr>
          <w:sz w:val="20"/>
        </w:rPr>
        <w:t>, 2021</w:t>
      </w:r>
      <w:r w:rsidRPr="00797EE3">
        <w:rPr>
          <w:sz w:val="20"/>
        </w:rPr>
        <w:t xml:space="preserve">;45:e45. </w:t>
      </w:r>
      <w:r>
        <w:rPr>
          <w:sz w:val="20"/>
        </w:rPr>
        <w:t>DOI</w:t>
      </w:r>
      <w:r w:rsidRPr="00797EE3">
        <w:rPr>
          <w:sz w:val="20"/>
        </w:rPr>
        <w:t>: 10.26633/RPSP.2021.45. PMID: 34249121; PMCID: PMC8260884.</w:t>
      </w:r>
    </w:p>
    <w:p w14:paraId="49D03446" w14:textId="77777777" w:rsidR="005E34CA" w:rsidRPr="00797EE3" w:rsidRDefault="005E34CA" w:rsidP="005E34CA">
      <w:pPr>
        <w:pStyle w:val="Prrafodelista"/>
        <w:numPr>
          <w:ilvl w:val="0"/>
          <w:numId w:val="29"/>
        </w:numPr>
        <w:tabs>
          <w:tab w:val="left" w:pos="3300"/>
        </w:tabs>
        <w:ind w:left="284" w:hanging="284"/>
        <w:jc w:val="both"/>
        <w:rPr>
          <w:sz w:val="20"/>
        </w:rPr>
      </w:pPr>
      <w:r w:rsidRPr="005E34CA">
        <w:rPr>
          <w:sz w:val="20"/>
          <w:lang w:val="es-CR"/>
        </w:rPr>
        <w:t xml:space="preserve">Ávila-Agüero ML, Ospina-Henao S, </w:t>
      </w:r>
      <w:proofErr w:type="spellStart"/>
      <w:r w:rsidRPr="005E34CA">
        <w:rPr>
          <w:sz w:val="20"/>
          <w:lang w:val="es-CR"/>
        </w:rPr>
        <w:t>Pirez</w:t>
      </w:r>
      <w:proofErr w:type="spellEnd"/>
      <w:r w:rsidRPr="005E34CA">
        <w:rPr>
          <w:sz w:val="20"/>
          <w:lang w:val="es-CR"/>
        </w:rPr>
        <w:t xml:space="preserve"> MC, Gentile Á, Araya S, Brea J, Mendoza L, </w:t>
      </w:r>
      <w:proofErr w:type="spellStart"/>
      <w:r w:rsidRPr="005E34CA">
        <w:rPr>
          <w:sz w:val="20"/>
          <w:lang w:val="es-CR"/>
        </w:rPr>
        <w:t>Falleiros-Arlant</w:t>
      </w:r>
      <w:proofErr w:type="spellEnd"/>
      <w:r w:rsidRPr="005E34CA">
        <w:rPr>
          <w:sz w:val="20"/>
          <w:lang w:val="es-CR"/>
        </w:rPr>
        <w:t xml:space="preserve"> LH. </w:t>
      </w:r>
      <w:r w:rsidRPr="00797EE3">
        <w:rPr>
          <w:sz w:val="20"/>
          <w:lang w:val="en-US"/>
        </w:rPr>
        <w:t xml:space="preserve">Latin American forum on immunization services during the COVID-19 pandemic. </w:t>
      </w:r>
      <w:r w:rsidRPr="00797EE3">
        <w:rPr>
          <w:sz w:val="20"/>
        </w:rPr>
        <w:t>Expert Rev Vaccines. Mar</w:t>
      </w:r>
      <w:r>
        <w:rPr>
          <w:sz w:val="20"/>
        </w:rPr>
        <w:t>, 2021</w:t>
      </w:r>
      <w:r w:rsidRPr="00797EE3">
        <w:rPr>
          <w:sz w:val="20"/>
        </w:rPr>
        <w:t xml:space="preserve">;20(3):231-234. </w:t>
      </w:r>
      <w:r>
        <w:rPr>
          <w:sz w:val="20"/>
        </w:rPr>
        <w:t>DOI</w:t>
      </w:r>
      <w:r w:rsidRPr="00797EE3">
        <w:rPr>
          <w:sz w:val="20"/>
        </w:rPr>
        <w:t xml:space="preserve">: 10.1080/14760584.2021.1886930. </w:t>
      </w:r>
      <w:proofErr w:type="spellStart"/>
      <w:r w:rsidRPr="00797EE3">
        <w:rPr>
          <w:sz w:val="20"/>
        </w:rPr>
        <w:t>Epub</w:t>
      </w:r>
      <w:proofErr w:type="spellEnd"/>
      <w:r w:rsidRPr="00797EE3">
        <w:rPr>
          <w:sz w:val="20"/>
        </w:rPr>
        <w:t xml:space="preserve"> 2021 Feb 20. PMID: 33554682.</w:t>
      </w:r>
    </w:p>
    <w:p w14:paraId="53722D7B" w14:textId="77777777" w:rsidR="005E34CA" w:rsidRPr="00797EE3" w:rsidRDefault="005E34CA" w:rsidP="005E34CA">
      <w:pPr>
        <w:pStyle w:val="Prrafodelista"/>
        <w:numPr>
          <w:ilvl w:val="0"/>
          <w:numId w:val="29"/>
        </w:numPr>
        <w:tabs>
          <w:tab w:val="left" w:pos="3300"/>
        </w:tabs>
        <w:ind w:left="284" w:hanging="284"/>
        <w:jc w:val="both"/>
        <w:rPr>
          <w:sz w:val="20"/>
        </w:rPr>
      </w:pPr>
      <w:r w:rsidRPr="00797EE3">
        <w:rPr>
          <w:sz w:val="20"/>
          <w:lang w:val="en-US"/>
        </w:rPr>
        <w:t xml:space="preserve">Savarino S, Sridhar S; VAT00008 study team. Efficacy of a monovalent (D614) SARS-CoV-2 recombinant protein vaccine with AS03 adjuvant in adults: a phase 3, multi-country study. </w:t>
      </w:r>
      <w:proofErr w:type="spellStart"/>
      <w:r w:rsidRPr="00797EE3">
        <w:rPr>
          <w:sz w:val="20"/>
        </w:rPr>
        <w:t>EClinicalMedicine</w:t>
      </w:r>
      <w:proofErr w:type="spellEnd"/>
      <w:r w:rsidRPr="00797EE3">
        <w:rPr>
          <w:sz w:val="20"/>
        </w:rPr>
        <w:t>. Sep 12</w:t>
      </w:r>
      <w:r>
        <w:rPr>
          <w:sz w:val="20"/>
        </w:rPr>
        <w:t>, 2023</w:t>
      </w:r>
      <w:r w:rsidRPr="00797EE3">
        <w:rPr>
          <w:sz w:val="20"/>
        </w:rPr>
        <w:t xml:space="preserve">;64:102168. </w:t>
      </w:r>
      <w:r>
        <w:rPr>
          <w:sz w:val="20"/>
        </w:rPr>
        <w:t>DOI</w:t>
      </w:r>
      <w:r w:rsidRPr="00797EE3">
        <w:rPr>
          <w:sz w:val="20"/>
        </w:rPr>
        <w:t>: 10.1016/j.eclinm.2023.102168. PMID: 37936652; PMCID: PMC10626161.</w:t>
      </w:r>
    </w:p>
    <w:p w14:paraId="5E47AF88" w14:textId="77777777" w:rsidR="005E34CA" w:rsidRPr="00797EE3" w:rsidRDefault="005E34CA" w:rsidP="005E34CA">
      <w:pPr>
        <w:pStyle w:val="Prrafodelista"/>
        <w:numPr>
          <w:ilvl w:val="0"/>
          <w:numId w:val="29"/>
        </w:numPr>
        <w:tabs>
          <w:tab w:val="left" w:pos="3300"/>
        </w:tabs>
        <w:ind w:left="284" w:hanging="284"/>
        <w:jc w:val="both"/>
        <w:rPr>
          <w:rStyle w:val="Hipervnculo"/>
          <w:sz w:val="20"/>
          <w:lang w:val="en-US"/>
        </w:rPr>
      </w:pPr>
      <w:r w:rsidRPr="00797EE3">
        <w:rPr>
          <w:sz w:val="20"/>
          <w:lang w:val="en-US"/>
        </w:rPr>
        <w:t>Reyes EB, Saldarriaga C, Schwartzmann P, Sim Kheng Leng D, Trivi M, Yotov YT, Zieroth S</w:t>
      </w:r>
      <w:r>
        <w:rPr>
          <w:sz w:val="20"/>
          <w:lang w:val="en-US"/>
        </w:rPr>
        <w:t>.</w:t>
      </w:r>
      <w:r w:rsidRPr="00797EE3">
        <w:rPr>
          <w:sz w:val="20"/>
          <w:lang w:val="en-US"/>
        </w:rPr>
        <w:t xml:space="preserve"> OPTIMIZE Heart Failure Care program coordinators. The impact of the COVID-19 pandemic on heart failure management: Global experience of the OPTIMIZE Heart Failure Care network. Int J </w:t>
      </w:r>
      <w:proofErr w:type="spellStart"/>
      <w:r w:rsidRPr="00797EE3">
        <w:rPr>
          <w:sz w:val="20"/>
          <w:lang w:val="en-US"/>
        </w:rPr>
        <w:t>Cardiol</w:t>
      </w:r>
      <w:proofErr w:type="spellEnd"/>
      <w:r w:rsidRPr="00797EE3">
        <w:rPr>
          <w:sz w:val="20"/>
          <w:lang w:val="en-US"/>
        </w:rPr>
        <w:t>. Sep 15</w:t>
      </w:r>
      <w:r>
        <w:rPr>
          <w:sz w:val="20"/>
          <w:lang w:val="en-US"/>
        </w:rPr>
        <w:t>, 2022</w:t>
      </w:r>
      <w:r w:rsidRPr="00797EE3">
        <w:rPr>
          <w:sz w:val="20"/>
          <w:lang w:val="en-US"/>
        </w:rPr>
        <w:t xml:space="preserve">;363:240-246. </w:t>
      </w:r>
      <w:r>
        <w:rPr>
          <w:sz w:val="20"/>
          <w:lang w:val="en-US"/>
        </w:rPr>
        <w:t>DOI</w:t>
      </w:r>
      <w:r w:rsidRPr="00797EE3">
        <w:rPr>
          <w:sz w:val="20"/>
          <w:lang w:val="en-US"/>
        </w:rPr>
        <w:t xml:space="preserve">: </w:t>
      </w:r>
      <w:r w:rsidRPr="00797EE3">
        <w:rPr>
          <w:sz w:val="20"/>
          <w:lang w:val="en-US"/>
        </w:rPr>
        <w:lastRenderedPageBreak/>
        <w:t xml:space="preserve">10.1016/j.ijcard.2022.06.022. </w:t>
      </w:r>
      <w:proofErr w:type="spellStart"/>
      <w:r w:rsidRPr="00797EE3">
        <w:rPr>
          <w:sz w:val="20"/>
          <w:lang w:val="en-US"/>
        </w:rPr>
        <w:t>Epub</w:t>
      </w:r>
      <w:proofErr w:type="spellEnd"/>
      <w:r w:rsidRPr="00797EE3">
        <w:rPr>
          <w:sz w:val="20"/>
          <w:lang w:val="en-US"/>
        </w:rPr>
        <w:t xml:space="preserve"> 2022 Jun 22. PMID: 35750302; PMCID: PMC9217066.</w:t>
      </w:r>
    </w:p>
    <w:p w14:paraId="7F25EB2A" w14:textId="77777777" w:rsidR="005E34CA" w:rsidRPr="00797EE3" w:rsidRDefault="005E34CA" w:rsidP="005E34CA">
      <w:pPr>
        <w:pStyle w:val="Prrafodelista"/>
        <w:numPr>
          <w:ilvl w:val="0"/>
          <w:numId w:val="29"/>
        </w:numPr>
        <w:tabs>
          <w:tab w:val="left" w:pos="3300"/>
        </w:tabs>
        <w:ind w:left="284" w:hanging="284"/>
        <w:jc w:val="both"/>
        <w:rPr>
          <w:sz w:val="20"/>
        </w:rPr>
      </w:pPr>
      <w:r w:rsidRPr="00797EE3">
        <w:rPr>
          <w:sz w:val="20"/>
          <w:lang w:val="en-US"/>
        </w:rPr>
        <w:t>Rodriguez-Morales AJ, Lopez-Echeverri MC, Perez-Raga MF, Quintero-Romero V, Gonzales-Zamora JA, Ulloa-Gutiérrez R. The global challenges of the long COVID-19 in adults and children. Travel Med Infect Dis. Jul-Aug</w:t>
      </w:r>
      <w:r>
        <w:rPr>
          <w:sz w:val="20"/>
          <w:lang w:val="en-US"/>
        </w:rPr>
        <w:t>, 2023</w:t>
      </w:r>
      <w:r w:rsidRPr="00797EE3">
        <w:rPr>
          <w:sz w:val="20"/>
          <w:lang w:val="en-US"/>
        </w:rPr>
        <w:t xml:space="preserve">;54:102606. </w:t>
      </w:r>
      <w:r>
        <w:rPr>
          <w:sz w:val="20"/>
          <w:lang w:val="en-US"/>
        </w:rPr>
        <w:t>DOI</w:t>
      </w:r>
      <w:r w:rsidRPr="00797EE3">
        <w:rPr>
          <w:sz w:val="20"/>
          <w:lang w:val="en-US"/>
        </w:rPr>
        <w:t xml:space="preserve">: 10.1016/j.tmaid.2023.102606. </w:t>
      </w:r>
      <w:proofErr w:type="spellStart"/>
      <w:r w:rsidRPr="00797EE3">
        <w:rPr>
          <w:sz w:val="20"/>
          <w:lang w:val="en-US"/>
        </w:rPr>
        <w:t>Epub</w:t>
      </w:r>
      <w:proofErr w:type="spellEnd"/>
      <w:r w:rsidRPr="00797EE3">
        <w:rPr>
          <w:sz w:val="20"/>
          <w:lang w:val="en-US"/>
        </w:rPr>
        <w:t xml:space="preserve"> 2023 Jun 8. </w:t>
      </w:r>
      <w:r w:rsidRPr="00797EE3">
        <w:rPr>
          <w:sz w:val="20"/>
        </w:rPr>
        <w:t>PMID: 37295581; PMCID: PMC10247301.</w:t>
      </w:r>
    </w:p>
    <w:p w14:paraId="6CBBA6A3" w14:textId="6ECE3083" w:rsidR="005E34CA" w:rsidRPr="005E34CA" w:rsidRDefault="005E34CA" w:rsidP="005E34CA">
      <w:pPr>
        <w:pStyle w:val="Prrafodelista"/>
        <w:numPr>
          <w:ilvl w:val="0"/>
          <w:numId w:val="29"/>
        </w:numPr>
        <w:tabs>
          <w:tab w:val="left" w:pos="3300"/>
        </w:tabs>
        <w:ind w:left="284" w:hanging="284"/>
        <w:jc w:val="both"/>
        <w:rPr>
          <w:sz w:val="20"/>
          <w:lang w:val="es-CR"/>
        </w:rPr>
      </w:pPr>
      <w:r w:rsidRPr="005E34CA">
        <w:rPr>
          <w:sz w:val="20"/>
          <w:lang w:val="es-CR"/>
        </w:rPr>
        <w:t xml:space="preserve">Honduras recibe las primeras vacunas COVID-19 a través del Mecanismo COVAX. Organización Panamericana de la Salud [Internet]. 16 de marzo, 2021 [citado el 12 de enero, 2022]. </w:t>
      </w:r>
      <w:r w:rsidR="00010924">
        <w:rPr>
          <w:sz w:val="20"/>
          <w:lang w:val="es-CR"/>
        </w:rPr>
        <w:t>Disponible en</w:t>
      </w:r>
      <w:r w:rsidRPr="005E34CA">
        <w:rPr>
          <w:sz w:val="20"/>
          <w:lang w:val="es-CR"/>
        </w:rPr>
        <w:t xml:space="preserve">: </w:t>
      </w:r>
      <w:hyperlink r:id="rId27" w:history="1">
        <w:r w:rsidRPr="005E34CA">
          <w:rPr>
            <w:rStyle w:val="Hipervnculo"/>
            <w:sz w:val="20"/>
            <w:lang w:val="es-CR"/>
          </w:rPr>
          <w:t>https://www.unicef.org/honduras/comunicados-prensa/la-secretar%C3%ADa-de-salud-confirma-los-dos-primeros-casos-de-covid-19-en-el</w:t>
        </w:r>
      </w:hyperlink>
    </w:p>
    <w:p w14:paraId="75F4A922" w14:textId="52574315" w:rsidR="005E34CA" w:rsidRPr="005E34CA" w:rsidRDefault="005E34CA" w:rsidP="005E34CA">
      <w:pPr>
        <w:pStyle w:val="Prrafodelista"/>
        <w:numPr>
          <w:ilvl w:val="0"/>
          <w:numId w:val="29"/>
        </w:numPr>
        <w:tabs>
          <w:tab w:val="left" w:pos="3300"/>
        </w:tabs>
        <w:ind w:left="284" w:hanging="284"/>
        <w:jc w:val="both"/>
        <w:rPr>
          <w:sz w:val="20"/>
          <w:lang w:val="es-CR"/>
        </w:rPr>
      </w:pPr>
      <w:r w:rsidRPr="005E34CA">
        <w:rPr>
          <w:sz w:val="20"/>
          <w:lang w:val="es-CR"/>
        </w:rPr>
        <w:t xml:space="preserve">Honduras ha aplicado más de siete millones de vacunas contra el Covid-19. [Internet]. 18 de noviembre, 2021 [citado el 12 de enero, 2022]. </w:t>
      </w:r>
      <w:r w:rsidR="00010924">
        <w:rPr>
          <w:sz w:val="20"/>
          <w:lang w:val="es-CR"/>
        </w:rPr>
        <w:t>Disponible en</w:t>
      </w:r>
      <w:r w:rsidRPr="005E34CA">
        <w:rPr>
          <w:sz w:val="20"/>
          <w:lang w:val="es-CR"/>
        </w:rPr>
        <w:t xml:space="preserve">: </w:t>
      </w:r>
      <w:hyperlink r:id="rId28" w:history="1">
        <w:r w:rsidRPr="005E34CA">
          <w:rPr>
            <w:rStyle w:val="Hipervnculo"/>
            <w:sz w:val="20"/>
            <w:lang w:val="es-CR"/>
          </w:rPr>
          <w:t>https://www.salud.gob.hn/site/index.php/component/k2/item/2447-honduras-ha-aplicado-mas-de-siete-millones-de-vacunas-contra-el-covid-19</w:t>
        </w:r>
      </w:hyperlink>
    </w:p>
    <w:p w14:paraId="4609692C" w14:textId="77777777" w:rsidR="005E34CA" w:rsidRPr="005E34CA" w:rsidRDefault="005E34CA" w:rsidP="005E34CA">
      <w:pPr>
        <w:pStyle w:val="Prrafodelista"/>
        <w:numPr>
          <w:ilvl w:val="0"/>
          <w:numId w:val="29"/>
        </w:numPr>
        <w:tabs>
          <w:tab w:val="left" w:pos="3300"/>
        </w:tabs>
        <w:ind w:left="284" w:hanging="284"/>
        <w:jc w:val="both"/>
        <w:rPr>
          <w:sz w:val="20"/>
          <w:lang w:val="es-CR"/>
        </w:rPr>
      </w:pPr>
      <w:r w:rsidRPr="005E34CA">
        <w:rPr>
          <w:sz w:val="20"/>
          <w:lang w:val="es-CR"/>
        </w:rPr>
        <w:t>Muestras, positividad, mortalidad de hospitales, centros de salud y por semanas. La Gran Central Metropolitana San Pedro Sula [Investigación]. 1º de enero a noviembre de 2021.</w:t>
      </w:r>
    </w:p>
    <w:p w14:paraId="7214A582" w14:textId="77777777" w:rsidR="005E34CA" w:rsidRPr="00797EE3" w:rsidRDefault="005E34CA" w:rsidP="005E34CA">
      <w:pPr>
        <w:pStyle w:val="Prrafodelista"/>
        <w:numPr>
          <w:ilvl w:val="0"/>
          <w:numId w:val="29"/>
        </w:numPr>
        <w:tabs>
          <w:tab w:val="left" w:pos="3300"/>
        </w:tabs>
        <w:ind w:left="284" w:hanging="284"/>
        <w:jc w:val="both"/>
        <w:rPr>
          <w:sz w:val="20"/>
          <w:lang w:val="en-US"/>
        </w:rPr>
      </w:pPr>
      <w:r w:rsidRPr="00797EE3">
        <w:rPr>
          <w:sz w:val="20"/>
          <w:lang w:val="en-US"/>
        </w:rPr>
        <w:t xml:space="preserve">Diazgranados CA, Savarino S. Safety and immunogenicity of an AS03-adjuvanted SARS-CoV-2 recombinant protein vaccine (CoV2 </w:t>
      </w:r>
      <w:proofErr w:type="spellStart"/>
      <w:r w:rsidRPr="00797EE3">
        <w:rPr>
          <w:sz w:val="20"/>
          <w:lang w:val="en-US"/>
        </w:rPr>
        <w:t>preS</w:t>
      </w:r>
      <w:proofErr w:type="spellEnd"/>
      <w:r w:rsidRPr="00797EE3">
        <w:rPr>
          <w:sz w:val="20"/>
          <w:lang w:val="en-US"/>
        </w:rPr>
        <w:t xml:space="preserve"> </w:t>
      </w:r>
      <w:proofErr w:type="spellStart"/>
      <w:r w:rsidRPr="00797EE3">
        <w:rPr>
          <w:sz w:val="20"/>
          <w:lang w:val="en-US"/>
        </w:rPr>
        <w:t>dTM</w:t>
      </w:r>
      <w:proofErr w:type="spellEnd"/>
      <w:r w:rsidRPr="00797EE3">
        <w:rPr>
          <w:sz w:val="20"/>
          <w:lang w:val="en-US"/>
        </w:rPr>
        <w:t xml:space="preserve">) in healthy adults: interim findings from a phase 2, </w:t>
      </w:r>
      <w:proofErr w:type="spellStart"/>
      <w:r w:rsidRPr="00797EE3">
        <w:rPr>
          <w:sz w:val="20"/>
          <w:lang w:val="en-US"/>
        </w:rPr>
        <w:t>randomised</w:t>
      </w:r>
      <w:proofErr w:type="spellEnd"/>
      <w:r w:rsidRPr="00797EE3">
        <w:rPr>
          <w:sz w:val="20"/>
          <w:lang w:val="en-US"/>
        </w:rPr>
        <w:t xml:space="preserve">, dose-finding, </w:t>
      </w:r>
      <w:proofErr w:type="spellStart"/>
      <w:r w:rsidRPr="00797EE3">
        <w:rPr>
          <w:sz w:val="20"/>
          <w:lang w:val="en-US"/>
        </w:rPr>
        <w:t>multicentre</w:t>
      </w:r>
      <w:proofErr w:type="spellEnd"/>
      <w:r w:rsidRPr="00797EE3">
        <w:rPr>
          <w:sz w:val="20"/>
          <w:lang w:val="en-US"/>
        </w:rPr>
        <w:t xml:space="preserve"> study. Lancet Infect Dis. May</w:t>
      </w:r>
      <w:r>
        <w:rPr>
          <w:sz w:val="20"/>
          <w:lang w:val="en-US"/>
        </w:rPr>
        <w:t>, 2022</w:t>
      </w:r>
      <w:r w:rsidRPr="00797EE3">
        <w:rPr>
          <w:sz w:val="20"/>
          <w:lang w:val="en-US"/>
        </w:rPr>
        <w:t xml:space="preserve">;22(5):636-648. </w:t>
      </w:r>
      <w:r>
        <w:rPr>
          <w:sz w:val="20"/>
          <w:lang w:val="en-US"/>
        </w:rPr>
        <w:t>DOI</w:t>
      </w:r>
      <w:r w:rsidRPr="00797EE3">
        <w:rPr>
          <w:sz w:val="20"/>
          <w:lang w:val="en-US"/>
        </w:rPr>
        <w:t xml:space="preserve">: 10.1016/S1473-3099(21)00764-7. </w:t>
      </w:r>
      <w:proofErr w:type="spellStart"/>
      <w:r w:rsidRPr="00797EE3">
        <w:rPr>
          <w:sz w:val="20"/>
          <w:lang w:val="en-US"/>
        </w:rPr>
        <w:t>Epub</w:t>
      </w:r>
      <w:proofErr w:type="spellEnd"/>
      <w:r w:rsidRPr="00797EE3">
        <w:rPr>
          <w:sz w:val="20"/>
          <w:lang w:val="en-US"/>
        </w:rPr>
        <w:t xml:space="preserve"> 2022 Jan 25. PMID: 35090638; PMCID: PMC8789245.</w:t>
      </w:r>
    </w:p>
    <w:p w14:paraId="1D1E54FB" w14:textId="77777777" w:rsidR="005E34CA" w:rsidRPr="00797EE3" w:rsidRDefault="005E34CA" w:rsidP="005E34CA">
      <w:pPr>
        <w:pStyle w:val="Prrafodelista"/>
        <w:numPr>
          <w:ilvl w:val="0"/>
          <w:numId w:val="29"/>
        </w:numPr>
        <w:tabs>
          <w:tab w:val="left" w:pos="3300"/>
        </w:tabs>
        <w:ind w:left="284" w:hanging="284"/>
        <w:jc w:val="both"/>
        <w:rPr>
          <w:sz w:val="20"/>
        </w:rPr>
      </w:pPr>
      <w:r w:rsidRPr="005E34CA">
        <w:rPr>
          <w:sz w:val="20"/>
          <w:lang w:val="es-CR"/>
        </w:rPr>
        <w:t xml:space="preserve">Muestras, positividad, mortalidad de municipios y por meses. La Región de Salud Departamental de Copán [Investigación]. </w:t>
      </w:r>
      <w:r w:rsidRPr="00797EE3">
        <w:rPr>
          <w:sz w:val="20"/>
        </w:rPr>
        <w:t xml:space="preserve">Marzo de 2020 a </w:t>
      </w:r>
      <w:proofErr w:type="spellStart"/>
      <w:r w:rsidRPr="00797EE3">
        <w:rPr>
          <w:sz w:val="20"/>
        </w:rPr>
        <w:t>noviembre</w:t>
      </w:r>
      <w:proofErr w:type="spellEnd"/>
      <w:r w:rsidRPr="00797EE3">
        <w:rPr>
          <w:sz w:val="20"/>
        </w:rPr>
        <w:t xml:space="preserve"> de 2021</w:t>
      </w:r>
      <w:r>
        <w:rPr>
          <w:sz w:val="20"/>
        </w:rPr>
        <w:t>.</w:t>
      </w:r>
    </w:p>
    <w:p w14:paraId="2FAED243" w14:textId="77777777" w:rsidR="005E34CA" w:rsidRPr="00797EE3" w:rsidRDefault="005E34CA" w:rsidP="005E34CA">
      <w:pPr>
        <w:pStyle w:val="Prrafodelista"/>
        <w:numPr>
          <w:ilvl w:val="0"/>
          <w:numId w:val="29"/>
        </w:numPr>
        <w:tabs>
          <w:tab w:val="left" w:pos="3300"/>
        </w:tabs>
        <w:ind w:left="284" w:hanging="284"/>
        <w:jc w:val="both"/>
        <w:rPr>
          <w:sz w:val="20"/>
        </w:rPr>
      </w:pPr>
      <w:r w:rsidRPr="005E34CA">
        <w:rPr>
          <w:sz w:val="20"/>
          <w:lang w:val="es-CR"/>
        </w:rPr>
        <w:t xml:space="preserve">Pedraza L, Villela R, </w:t>
      </w:r>
      <w:proofErr w:type="spellStart"/>
      <w:r w:rsidRPr="005E34CA">
        <w:rPr>
          <w:sz w:val="20"/>
          <w:lang w:val="es-CR"/>
        </w:rPr>
        <w:t>Kamatgi</w:t>
      </w:r>
      <w:proofErr w:type="spellEnd"/>
      <w:r w:rsidRPr="005E34CA">
        <w:rPr>
          <w:sz w:val="20"/>
          <w:lang w:val="es-CR"/>
        </w:rPr>
        <w:t xml:space="preserve"> V, </w:t>
      </w:r>
      <w:proofErr w:type="spellStart"/>
      <w:r w:rsidRPr="005E34CA">
        <w:rPr>
          <w:sz w:val="20"/>
          <w:lang w:val="es-CR"/>
        </w:rPr>
        <w:t>Cocuzzo</w:t>
      </w:r>
      <w:proofErr w:type="spellEnd"/>
      <w:r w:rsidRPr="005E34CA">
        <w:rPr>
          <w:sz w:val="20"/>
          <w:lang w:val="es-CR"/>
        </w:rPr>
        <w:t xml:space="preserve"> K, Correa R, </w:t>
      </w:r>
      <w:proofErr w:type="spellStart"/>
      <w:r w:rsidRPr="005E34CA">
        <w:rPr>
          <w:sz w:val="20"/>
          <w:lang w:val="es-CR"/>
        </w:rPr>
        <w:t>Lisigurski</w:t>
      </w:r>
      <w:proofErr w:type="spellEnd"/>
      <w:r w:rsidRPr="005E34CA">
        <w:rPr>
          <w:sz w:val="20"/>
          <w:lang w:val="es-CR"/>
        </w:rPr>
        <w:t xml:space="preserve"> MZ. </w:t>
      </w:r>
      <w:r w:rsidRPr="00797EE3">
        <w:rPr>
          <w:sz w:val="20"/>
          <w:lang w:val="en-US"/>
        </w:rPr>
        <w:t xml:space="preserve">The Impact of COVID-19 in the Latinx Community. HCA </w:t>
      </w:r>
      <w:proofErr w:type="spellStart"/>
      <w:r w:rsidRPr="00797EE3">
        <w:rPr>
          <w:sz w:val="20"/>
          <w:lang w:val="en-US"/>
        </w:rPr>
        <w:t>Healthc</w:t>
      </w:r>
      <w:proofErr w:type="spellEnd"/>
      <w:r w:rsidRPr="00797EE3">
        <w:rPr>
          <w:sz w:val="20"/>
          <w:lang w:val="en-US"/>
        </w:rPr>
        <w:t xml:space="preserve"> J Med. Jun 28</w:t>
      </w:r>
      <w:r>
        <w:rPr>
          <w:sz w:val="20"/>
          <w:lang w:val="en-US"/>
        </w:rPr>
        <w:t>, 2022</w:t>
      </w:r>
      <w:r w:rsidRPr="00797EE3">
        <w:rPr>
          <w:sz w:val="20"/>
          <w:lang w:val="en-US"/>
        </w:rPr>
        <w:t xml:space="preserve">;3(3):97-104. </w:t>
      </w:r>
      <w:r>
        <w:rPr>
          <w:sz w:val="20"/>
          <w:lang w:val="en-US"/>
        </w:rPr>
        <w:t>DOI</w:t>
      </w:r>
      <w:r w:rsidRPr="00797EE3">
        <w:rPr>
          <w:sz w:val="20"/>
          <w:lang w:val="en-US"/>
        </w:rPr>
        <w:t xml:space="preserve">: 10.36518/2689-0216.1387. </w:t>
      </w:r>
      <w:r w:rsidRPr="00797EE3">
        <w:rPr>
          <w:sz w:val="20"/>
        </w:rPr>
        <w:t>PMID: 37424622; PMCID: PMC10324846.</w:t>
      </w:r>
    </w:p>
    <w:p w14:paraId="60C52D34" w14:textId="77777777" w:rsidR="005E34CA" w:rsidRPr="00797EE3" w:rsidRDefault="005E34CA" w:rsidP="005E34CA">
      <w:pPr>
        <w:pStyle w:val="Prrafodelista"/>
        <w:numPr>
          <w:ilvl w:val="0"/>
          <w:numId w:val="29"/>
        </w:numPr>
        <w:tabs>
          <w:tab w:val="left" w:pos="3300"/>
        </w:tabs>
        <w:ind w:left="284" w:hanging="284"/>
        <w:jc w:val="both"/>
        <w:rPr>
          <w:sz w:val="20"/>
          <w:lang w:val="en-US"/>
        </w:rPr>
      </w:pPr>
      <w:r w:rsidRPr="00DC2B40">
        <w:rPr>
          <w:sz w:val="20"/>
        </w:rPr>
        <w:t xml:space="preserve">Caycho-Rodríguez T, Tomás JM, Yupanqui-Lorenzo DE, Valencia PD, Carbajal-León C, Vilca LW, Ventura-León J, Vergara I, Vega D, </w:t>
      </w:r>
      <w:proofErr w:type="spellStart"/>
      <w:r w:rsidRPr="00DC2B40">
        <w:rPr>
          <w:sz w:val="20"/>
        </w:rPr>
        <w:t>Shulmeyer</w:t>
      </w:r>
      <w:proofErr w:type="spellEnd"/>
      <w:r w:rsidRPr="00DC2B40">
        <w:rPr>
          <w:sz w:val="20"/>
        </w:rPr>
        <w:t xml:space="preserve"> MK, Barria-Asenjo NA, Urrutia Rios HT, Lira </w:t>
      </w:r>
      <w:proofErr w:type="spellStart"/>
      <w:r w:rsidRPr="00DC2B40">
        <w:rPr>
          <w:sz w:val="20"/>
        </w:rPr>
        <w:t>Lira</w:t>
      </w:r>
      <w:proofErr w:type="spellEnd"/>
      <w:r w:rsidRPr="00DC2B40">
        <w:rPr>
          <w:sz w:val="20"/>
        </w:rPr>
        <w:t xml:space="preserve"> AE. </w:t>
      </w:r>
      <w:r w:rsidRPr="00797EE3">
        <w:rPr>
          <w:sz w:val="20"/>
          <w:lang w:val="en-US"/>
        </w:rPr>
        <w:t>Relationship Between Fear of COVID-19, Conspiracy Beliefs About Vaccines and Intention to Vaccinate Against COVID-19: A Cross-National Indirect Effect Model in 13 Latin American Countries. Eval Health Prof. Dec</w:t>
      </w:r>
      <w:r>
        <w:rPr>
          <w:sz w:val="20"/>
          <w:lang w:val="en-US"/>
        </w:rPr>
        <w:t>, 2023</w:t>
      </w:r>
      <w:r w:rsidRPr="00797EE3">
        <w:rPr>
          <w:sz w:val="20"/>
          <w:lang w:val="en-US"/>
        </w:rPr>
        <w:t xml:space="preserve">;46(4):371-383. </w:t>
      </w:r>
      <w:r>
        <w:rPr>
          <w:sz w:val="20"/>
          <w:lang w:val="en-US"/>
        </w:rPr>
        <w:t>DOI</w:t>
      </w:r>
      <w:r w:rsidRPr="00797EE3">
        <w:rPr>
          <w:sz w:val="20"/>
          <w:lang w:val="en-US"/>
        </w:rPr>
        <w:t xml:space="preserve">: 10.1177/01632787231186621. </w:t>
      </w:r>
      <w:proofErr w:type="spellStart"/>
      <w:r w:rsidRPr="00797EE3">
        <w:rPr>
          <w:sz w:val="20"/>
          <w:lang w:val="en-US"/>
        </w:rPr>
        <w:t>Epub</w:t>
      </w:r>
      <w:proofErr w:type="spellEnd"/>
      <w:r w:rsidRPr="00797EE3">
        <w:rPr>
          <w:sz w:val="20"/>
          <w:lang w:val="en-US"/>
        </w:rPr>
        <w:t xml:space="preserve"> 2023 Jul 13. PMID: 37439361; PMCID: PMC10345832.</w:t>
      </w:r>
    </w:p>
    <w:p w14:paraId="07640E11" w14:textId="77777777" w:rsidR="005E34CA" w:rsidRPr="00797EE3" w:rsidRDefault="005E34CA" w:rsidP="005E34CA">
      <w:pPr>
        <w:pStyle w:val="Prrafodelista"/>
        <w:numPr>
          <w:ilvl w:val="0"/>
          <w:numId w:val="29"/>
        </w:numPr>
        <w:tabs>
          <w:tab w:val="left" w:pos="3300"/>
        </w:tabs>
        <w:ind w:left="284" w:hanging="284"/>
        <w:jc w:val="both"/>
        <w:rPr>
          <w:sz w:val="20"/>
          <w:lang w:val="en-US"/>
        </w:rPr>
      </w:pPr>
      <w:r w:rsidRPr="00797EE3">
        <w:rPr>
          <w:sz w:val="20"/>
          <w:lang w:val="en-US"/>
        </w:rPr>
        <w:t>Jiménez Quinteros M, Enriquez Navas M, Arroba R. Innovation and immunization program management: traceability and quality in Latin America and the Caribbean, laying the groundwork for a regional action plan. Expert Rev Vaccines. Aug</w:t>
      </w:r>
      <w:r>
        <w:rPr>
          <w:sz w:val="20"/>
          <w:lang w:val="en-US"/>
        </w:rPr>
        <w:t>, 2022</w:t>
      </w:r>
      <w:r w:rsidRPr="00797EE3">
        <w:rPr>
          <w:sz w:val="20"/>
          <w:lang w:val="en-US"/>
        </w:rPr>
        <w:t xml:space="preserve">;21(8):1023-1028. </w:t>
      </w:r>
      <w:r>
        <w:rPr>
          <w:sz w:val="20"/>
          <w:lang w:val="en-US"/>
        </w:rPr>
        <w:t>DOI</w:t>
      </w:r>
      <w:r w:rsidRPr="00797EE3">
        <w:rPr>
          <w:sz w:val="20"/>
          <w:lang w:val="en-US"/>
        </w:rPr>
        <w:t xml:space="preserve">: 10.1080/14760584.2022.2077195. </w:t>
      </w:r>
      <w:proofErr w:type="spellStart"/>
      <w:r w:rsidRPr="00797EE3">
        <w:rPr>
          <w:sz w:val="20"/>
          <w:lang w:val="en-US"/>
        </w:rPr>
        <w:t>Epub</w:t>
      </w:r>
      <w:proofErr w:type="spellEnd"/>
      <w:r w:rsidRPr="00797EE3">
        <w:rPr>
          <w:sz w:val="20"/>
          <w:lang w:val="en-US"/>
        </w:rPr>
        <w:t xml:space="preserve"> 2022 May 18. PMID: 35549597.</w:t>
      </w:r>
    </w:p>
    <w:p w14:paraId="247C646A" w14:textId="77777777" w:rsidR="005E34CA" w:rsidRPr="00797EE3" w:rsidRDefault="005E34CA" w:rsidP="005E34CA">
      <w:pPr>
        <w:pStyle w:val="Prrafodelista"/>
        <w:numPr>
          <w:ilvl w:val="0"/>
          <w:numId w:val="29"/>
        </w:numPr>
        <w:tabs>
          <w:tab w:val="left" w:pos="3300"/>
        </w:tabs>
        <w:ind w:left="284" w:hanging="284"/>
        <w:jc w:val="both"/>
        <w:rPr>
          <w:sz w:val="20"/>
          <w:lang w:val="en-US"/>
        </w:rPr>
      </w:pPr>
      <w:proofErr w:type="spellStart"/>
      <w:r w:rsidRPr="00797EE3">
        <w:rPr>
          <w:sz w:val="20"/>
          <w:lang w:val="en-US"/>
        </w:rPr>
        <w:t>Llau</w:t>
      </w:r>
      <w:proofErr w:type="spellEnd"/>
      <w:r w:rsidRPr="00797EE3">
        <w:rPr>
          <w:sz w:val="20"/>
          <w:lang w:val="en-US"/>
        </w:rPr>
        <w:t xml:space="preserve"> AF, Williams ML, Tejada CE. National vaccine coverage trends and funding in Latin America and the Caribbean. </w:t>
      </w:r>
      <w:r w:rsidRPr="00797EE3">
        <w:rPr>
          <w:sz w:val="20"/>
        </w:rPr>
        <w:t xml:space="preserve">Vaccine. Jan </w:t>
      </w:r>
      <w:r>
        <w:rPr>
          <w:sz w:val="20"/>
        </w:rPr>
        <w:t>08, 2021</w:t>
      </w:r>
      <w:r w:rsidRPr="00797EE3">
        <w:rPr>
          <w:sz w:val="20"/>
        </w:rPr>
        <w:t xml:space="preserve">;39(2):317-323. </w:t>
      </w:r>
      <w:r>
        <w:rPr>
          <w:sz w:val="20"/>
        </w:rPr>
        <w:t>DOI</w:t>
      </w:r>
      <w:r w:rsidRPr="00797EE3">
        <w:rPr>
          <w:sz w:val="20"/>
        </w:rPr>
        <w:t xml:space="preserve">: 10.1016/j.vaccine.2020.11.059. </w:t>
      </w:r>
      <w:proofErr w:type="spellStart"/>
      <w:r w:rsidRPr="00797EE3">
        <w:rPr>
          <w:sz w:val="20"/>
        </w:rPr>
        <w:t>Epub</w:t>
      </w:r>
      <w:proofErr w:type="spellEnd"/>
      <w:r w:rsidRPr="00797EE3">
        <w:rPr>
          <w:sz w:val="20"/>
        </w:rPr>
        <w:t xml:space="preserve"> 2020 Dec 4. PMID: 33288342.</w:t>
      </w:r>
    </w:p>
    <w:p w14:paraId="5324FFDD" w14:textId="77777777" w:rsidR="005E34CA" w:rsidRPr="00797EE3" w:rsidRDefault="005E34CA" w:rsidP="005E34CA">
      <w:pPr>
        <w:pStyle w:val="Prrafodelista"/>
        <w:numPr>
          <w:ilvl w:val="0"/>
          <w:numId w:val="29"/>
        </w:numPr>
        <w:tabs>
          <w:tab w:val="left" w:pos="3300"/>
        </w:tabs>
        <w:ind w:left="284" w:hanging="284"/>
        <w:jc w:val="both"/>
        <w:rPr>
          <w:sz w:val="20"/>
          <w:lang w:val="en-US"/>
        </w:rPr>
      </w:pPr>
      <w:r w:rsidRPr="00797EE3">
        <w:rPr>
          <w:sz w:val="20"/>
          <w:lang w:val="en-US"/>
        </w:rPr>
        <w:t>Tapia-Conyer R, Betancourt-</w:t>
      </w:r>
      <w:proofErr w:type="spellStart"/>
      <w:r w:rsidRPr="00797EE3">
        <w:rPr>
          <w:sz w:val="20"/>
          <w:lang w:val="en-US"/>
        </w:rPr>
        <w:t>Cravioto</w:t>
      </w:r>
      <w:proofErr w:type="spellEnd"/>
      <w:r w:rsidRPr="00797EE3">
        <w:rPr>
          <w:sz w:val="20"/>
          <w:lang w:val="en-US"/>
        </w:rPr>
        <w:t xml:space="preserve"> M, Saucedo-Martínez R, Motta-</w:t>
      </w:r>
      <w:proofErr w:type="spellStart"/>
      <w:r w:rsidRPr="00797EE3">
        <w:rPr>
          <w:sz w:val="20"/>
          <w:lang w:val="en-US"/>
        </w:rPr>
        <w:t>Murguía</w:t>
      </w:r>
      <w:proofErr w:type="spellEnd"/>
      <w:r w:rsidRPr="00797EE3">
        <w:rPr>
          <w:sz w:val="20"/>
          <w:lang w:val="en-US"/>
        </w:rPr>
        <w:t xml:space="preserve"> L, Gallardo-Rincón H. Strengthening vaccination policies in Latin America: an evidence-based approach. </w:t>
      </w:r>
      <w:r w:rsidRPr="00797EE3">
        <w:rPr>
          <w:sz w:val="20"/>
        </w:rPr>
        <w:t>Vaccine. Aug 20</w:t>
      </w:r>
      <w:r>
        <w:rPr>
          <w:sz w:val="20"/>
        </w:rPr>
        <w:t>, 2013</w:t>
      </w:r>
      <w:r w:rsidRPr="00797EE3">
        <w:rPr>
          <w:sz w:val="20"/>
        </w:rPr>
        <w:t xml:space="preserve">;31(37):3826-33. </w:t>
      </w:r>
      <w:r>
        <w:rPr>
          <w:sz w:val="20"/>
        </w:rPr>
        <w:t>DOI</w:t>
      </w:r>
      <w:r w:rsidRPr="00797EE3">
        <w:rPr>
          <w:sz w:val="20"/>
        </w:rPr>
        <w:t xml:space="preserve">: 10.1016/j.vaccine.2012.12.062. </w:t>
      </w:r>
      <w:proofErr w:type="spellStart"/>
      <w:r w:rsidRPr="00797EE3">
        <w:rPr>
          <w:sz w:val="20"/>
        </w:rPr>
        <w:t>Epub</w:t>
      </w:r>
      <w:proofErr w:type="spellEnd"/>
      <w:r w:rsidRPr="00797EE3">
        <w:rPr>
          <w:sz w:val="20"/>
        </w:rPr>
        <w:t xml:space="preserve"> 2013 Jan 25. PMID: 23357196.</w:t>
      </w:r>
    </w:p>
    <w:p w14:paraId="4D789474" w14:textId="77777777" w:rsidR="005E34CA" w:rsidRPr="00797EE3" w:rsidRDefault="005E34CA" w:rsidP="005E34CA">
      <w:pPr>
        <w:pStyle w:val="Prrafodelista"/>
        <w:numPr>
          <w:ilvl w:val="0"/>
          <w:numId w:val="29"/>
        </w:numPr>
        <w:tabs>
          <w:tab w:val="left" w:pos="3300"/>
        </w:tabs>
        <w:ind w:left="284" w:hanging="284"/>
        <w:jc w:val="both"/>
        <w:rPr>
          <w:sz w:val="20"/>
          <w:lang w:val="en-US"/>
        </w:rPr>
      </w:pPr>
      <w:proofErr w:type="spellStart"/>
      <w:r w:rsidRPr="00797EE3">
        <w:rPr>
          <w:sz w:val="20"/>
          <w:lang w:val="en-US"/>
        </w:rPr>
        <w:t>Ronksley</w:t>
      </w:r>
      <w:proofErr w:type="spellEnd"/>
      <w:r w:rsidRPr="00797EE3">
        <w:rPr>
          <w:sz w:val="20"/>
          <w:lang w:val="en-US"/>
        </w:rPr>
        <w:t xml:space="preserve"> P, </w:t>
      </w:r>
      <w:proofErr w:type="spellStart"/>
      <w:r w:rsidRPr="00797EE3">
        <w:rPr>
          <w:sz w:val="20"/>
          <w:lang w:val="en-US"/>
        </w:rPr>
        <w:t>Scory</w:t>
      </w:r>
      <w:proofErr w:type="spellEnd"/>
      <w:r w:rsidRPr="00797EE3">
        <w:rPr>
          <w:sz w:val="20"/>
          <w:lang w:val="en-US"/>
        </w:rPr>
        <w:t xml:space="preserve"> T, Weaver R, Lunney M, Rodin R, Tonelli M. The impact of vaccination status on importation of COVID-19 among international </w:t>
      </w:r>
      <w:proofErr w:type="spellStart"/>
      <w:r w:rsidRPr="00797EE3">
        <w:rPr>
          <w:sz w:val="20"/>
          <w:lang w:val="en-US"/>
        </w:rPr>
        <w:t>travellers</w:t>
      </w:r>
      <w:proofErr w:type="spellEnd"/>
      <w:r w:rsidRPr="00797EE3">
        <w:rPr>
          <w:sz w:val="20"/>
          <w:lang w:val="en-US"/>
        </w:rPr>
        <w:t xml:space="preserve">. Can </w:t>
      </w:r>
      <w:proofErr w:type="spellStart"/>
      <w:r w:rsidRPr="00797EE3">
        <w:rPr>
          <w:sz w:val="20"/>
          <w:lang w:val="en-US"/>
        </w:rPr>
        <w:t>Commun</w:t>
      </w:r>
      <w:proofErr w:type="spellEnd"/>
      <w:r w:rsidRPr="00797EE3">
        <w:rPr>
          <w:sz w:val="20"/>
          <w:lang w:val="en-US"/>
        </w:rPr>
        <w:t xml:space="preserve"> Dis Rep. Nov 10</w:t>
      </w:r>
      <w:r>
        <w:rPr>
          <w:sz w:val="20"/>
          <w:lang w:val="en-US"/>
        </w:rPr>
        <w:t>, 2021</w:t>
      </w:r>
      <w:r w:rsidRPr="00797EE3">
        <w:rPr>
          <w:sz w:val="20"/>
          <w:lang w:val="en-US"/>
        </w:rPr>
        <w:t xml:space="preserve">;47(11):473-475. </w:t>
      </w:r>
      <w:r>
        <w:rPr>
          <w:sz w:val="20"/>
          <w:lang w:val="en-US"/>
        </w:rPr>
        <w:t>DOI</w:t>
      </w:r>
      <w:r w:rsidRPr="00797EE3">
        <w:rPr>
          <w:sz w:val="20"/>
          <w:lang w:val="en-US"/>
        </w:rPr>
        <w:t>: 10.14745/ccdr.v47i11a05. PMID: 34880709; PMCID: PMC8601101.</w:t>
      </w:r>
    </w:p>
    <w:p w14:paraId="25E417CF" w14:textId="77777777" w:rsidR="005E34CA" w:rsidRPr="00797EE3" w:rsidRDefault="005E34CA" w:rsidP="005E34CA">
      <w:pPr>
        <w:pStyle w:val="Prrafodelista"/>
        <w:numPr>
          <w:ilvl w:val="0"/>
          <w:numId w:val="29"/>
        </w:numPr>
        <w:tabs>
          <w:tab w:val="left" w:pos="3300"/>
        </w:tabs>
        <w:ind w:left="284" w:hanging="284"/>
        <w:jc w:val="both"/>
        <w:rPr>
          <w:sz w:val="20"/>
          <w:lang w:val="en-US"/>
        </w:rPr>
      </w:pPr>
      <w:proofErr w:type="spellStart"/>
      <w:r w:rsidRPr="00797EE3">
        <w:rPr>
          <w:sz w:val="20"/>
          <w:lang w:val="en-US"/>
        </w:rPr>
        <w:t>Tampi</w:t>
      </w:r>
      <w:proofErr w:type="spellEnd"/>
      <w:r w:rsidRPr="00797EE3">
        <w:rPr>
          <w:sz w:val="20"/>
          <w:lang w:val="en-US"/>
        </w:rPr>
        <w:t xml:space="preserve"> M, Carrasco-Labra A, O'Brien KK, Velandia-González M, </w:t>
      </w:r>
      <w:proofErr w:type="spellStart"/>
      <w:r w:rsidRPr="00797EE3">
        <w:rPr>
          <w:sz w:val="20"/>
          <w:lang w:val="en-US"/>
        </w:rPr>
        <w:t>Brignardello</w:t>
      </w:r>
      <w:proofErr w:type="spellEnd"/>
      <w:r w:rsidRPr="00797EE3">
        <w:rPr>
          <w:sz w:val="20"/>
          <w:lang w:val="en-US"/>
        </w:rPr>
        <w:t xml:space="preserve">-Petersen R. Systematic review on reducing missed opportunities for vaccinations in Latin </w:t>
      </w:r>
      <w:r w:rsidRPr="00797EE3">
        <w:rPr>
          <w:sz w:val="20"/>
          <w:lang w:val="en-US"/>
        </w:rPr>
        <w:lastRenderedPageBreak/>
        <w:t xml:space="preserve">America. </w:t>
      </w:r>
      <w:r w:rsidRPr="00797EE3">
        <w:rPr>
          <w:sz w:val="20"/>
        </w:rPr>
        <w:t xml:space="preserve">Rev </w:t>
      </w:r>
      <w:proofErr w:type="spellStart"/>
      <w:r w:rsidRPr="00797EE3">
        <w:rPr>
          <w:sz w:val="20"/>
        </w:rPr>
        <w:t>Panam</w:t>
      </w:r>
      <w:proofErr w:type="spellEnd"/>
      <w:r w:rsidRPr="00797EE3">
        <w:rPr>
          <w:sz w:val="20"/>
        </w:rPr>
        <w:t xml:space="preserve"> Salud Publica. Jun 21</w:t>
      </w:r>
      <w:r>
        <w:rPr>
          <w:sz w:val="20"/>
        </w:rPr>
        <w:t>, 2022</w:t>
      </w:r>
      <w:r w:rsidRPr="00797EE3">
        <w:rPr>
          <w:sz w:val="20"/>
        </w:rPr>
        <w:t xml:space="preserve">;46:e65. </w:t>
      </w:r>
      <w:r>
        <w:rPr>
          <w:sz w:val="20"/>
        </w:rPr>
        <w:t>DOI</w:t>
      </w:r>
      <w:r w:rsidRPr="00797EE3">
        <w:rPr>
          <w:sz w:val="20"/>
        </w:rPr>
        <w:t>: 10.26633/RPSP.2022.65. PMID: 35747470; PMCID: PMC9211032.</w:t>
      </w:r>
    </w:p>
    <w:p w14:paraId="3A7228BB" w14:textId="77777777" w:rsidR="005E34CA" w:rsidRPr="00797EE3" w:rsidRDefault="005E34CA" w:rsidP="005E34CA">
      <w:pPr>
        <w:pStyle w:val="Prrafodelista"/>
        <w:numPr>
          <w:ilvl w:val="0"/>
          <w:numId w:val="29"/>
        </w:numPr>
        <w:tabs>
          <w:tab w:val="left" w:pos="3300"/>
        </w:tabs>
        <w:ind w:left="284" w:hanging="284"/>
        <w:jc w:val="both"/>
        <w:rPr>
          <w:sz w:val="20"/>
          <w:lang w:val="en-US"/>
        </w:rPr>
      </w:pPr>
      <w:r w:rsidRPr="00797EE3">
        <w:rPr>
          <w:sz w:val="20"/>
          <w:lang w:val="en-US"/>
        </w:rPr>
        <w:t xml:space="preserve">WHO Solidarity Trial Consortium; Pan H, Sinani N, Sterne JAC, </w:t>
      </w:r>
      <w:proofErr w:type="spellStart"/>
      <w:r w:rsidRPr="00797EE3">
        <w:rPr>
          <w:sz w:val="20"/>
          <w:lang w:val="en-US"/>
        </w:rPr>
        <w:t>Stevanovikj</w:t>
      </w:r>
      <w:proofErr w:type="spellEnd"/>
      <w:r w:rsidRPr="00797EE3">
        <w:rPr>
          <w:sz w:val="20"/>
          <w:lang w:val="en-US"/>
        </w:rPr>
        <w:t xml:space="preserve"> M, Tacconelli E, </w:t>
      </w:r>
      <w:proofErr w:type="spellStart"/>
      <w:r w:rsidRPr="00797EE3">
        <w:rPr>
          <w:sz w:val="20"/>
          <w:lang w:val="en-US"/>
        </w:rPr>
        <w:t>Tikkinen</w:t>
      </w:r>
      <w:proofErr w:type="spellEnd"/>
      <w:r w:rsidRPr="00797EE3">
        <w:rPr>
          <w:sz w:val="20"/>
          <w:lang w:val="en-US"/>
        </w:rPr>
        <w:t xml:space="preserve"> KAO, Trelle S, Zaid H, </w:t>
      </w:r>
      <w:proofErr w:type="spellStart"/>
      <w:r w:rsidRPr="00797EE3">
        <w:rPr>
          <w:sz w:val="20"/>
          <w:lang w:val="en-US"/>
        </w:rPr>
        <w:t>Røttingen</w:t>
      </w:r>
      <w:proofErr w:type="spellEnd"/>
      <w:r w:rsidRPr="00797EE3">
        <w:rPr>
          <w:sz w:val="20"/>
          <w:lang w:val="en-US"/>
        </w:rPr>
        <w:t xml:space="preserve"> JA, Swaminathan S. Repurposed Antiviral Drugs for Covid-19 - Interim WHO Solidarity Trial Results. N Engl J Med. Feb 11</w:t>
      </w:r>
      <w:r>
        <w:rPr>
          <w:sz w:val="20"/>
          <w:lang w:val="en-US"/>
        </w:rPr>
        <w:t>, 2021</w:t>
      </w:r>
      <w:r w:rsidRPr="00797EE3">
        <w:rPr>
          <w:sz w:val="20"/>
          <w:lang w:val="en-US"/>
        </w:rPr>
        <w:t xml:space="preserve">;384(6):497-511. </w:t>
      </w:r>
      <w:r>
        <w:rPr>
          <w:sz w:val="20"/>
          <w:lang w:val="en-US"/>
        </w:rPr>
        <w:t>DOI</w:t>
      </w:r>
      <w:r w:rsidRPr="00797EE3">
        <w:rPr>
          <w:sz w:val="20"/>
          <w:lang w:val="en-US"/>
        </w:rPr>
        <w:t xml:space="preserve">: 10.1056/NEJMoa2023184. </w:t>
      </w:r>
      <w:proofErr w:type="spellStart"/>
      <w:r w:rsidRPr="00797EE3">
        <w:rPr>
          <w:sz w:val="20"/>
          <w:lang w:val="en-US"/>
        </w:rPr>
        <w:t>Epub</w:t>
      </w:r>
      <w:proofErr w:type="spellEnd"/>
      <w:r w:rsidRPr="00797EE3">
        <w:rPr>
          <w:sz w:val="20"/>
          <w:lang w:val="en-US"/>
        </w:rPr>
        <w:t xml:space="preserve"> 2020 Dec 2. PMID: 33264556; PMCID: PMC7727327.</w:t>
      </w:r>
    </w:p>
    <w:p w14:paraId="27C35D0B" w14:textId="5738E739" w:rsidR="00D94F08" w:rsidRPr="00BA2F35" w:rsidRDefault="00D94F08" w:rsidP="00BA2F35">
      <w:pPr>
        <w:widowControl w:val="0"/>
        <w:pBdr>
          <w:top w:val="nil"/>
          <w:left w:val="nil"/>
          <w:bottom w:val="nil"/>
          <w:right w:val="nil"/>
          <w:between w:val="nil"/>
          <w:bar w:val="nil"/>
        </w:pBdr>
        <w:ind w:right="137"/>
        <w:jc w:val="both"/>
        <w:rPr>
          <w:color w:val="000000"/>
          <w:sz w:val="20"/>
          <w:lang w:val="en-US"/>
        </w:rPr>
      </w:pPr>
    </w:p>
    <w:sectPr w:rsidR="00D94F08" w:rsidRPr="00BA2F35" w:rsidSect="000324D1">
      <w:type w:val="continuous"/>
      <w:pgSz w:w="12240" w:h="15840"/>
      <w:pgMar w:top="1440" w:right="1467"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3931F" w14:textId="77777777" w:rsidR="000324D1" w:rsidRDefault="000324D1" w:rsidP="00FB44B1">
      <w:pPr>
        <w:spacing w:line="240" w:lineRule="auto"/>
      </w:pPr>
      <w:r>
        <w:separator/>
      </w:r>
    </w:p>
  </w:endnote>
  <w:endnote w:type="continuationSeparator" w:id="0">
    <w:p w14:paraId="229FC5A3" w14:textId="77777777" w:rsidR="000324D1" w:rsidRDefault="000324D1"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323"/>
      <w:gridCol w:w="6916"/>
      <w:gridCol w:w="1214"/>
    </w:tblGrid>
    <w:tr w:rsidR="00D83F9E" w:rsidRPr="000A2BE8" w14:paraId="0DC6D396" w14:textId="77777777" w:rsidTr="009E4A48">
      <w:tc>
        <w:tcPr>
          <w:tcW w:w="700" w:type="pct"/>
          <w:shd w:val="clear" w:color="auto" w:fill="FFFFFF" w:themeFill="background1"/>
          <w:vAlign w:val="center"/>
        </w:tcPr>
        <w:p w14:paraId="31992B3B" w14:textId="3C98608F" w:rsidR="00D83F9E" w:rsidRPr="003270F2" w:rsidRDefault="00B930AA" w:rsidP="00FB2E51">
          <w:pPr>
            <w:pStyle w:val="Piedepgina"/>
            <w:rPr>
              <w:rFonts w:ascii="Arial Black" w:hAnsi="Arial Black"/>
              <w:b/>
              <w:bCs/>
              <w:color w:val="002060"/>
            </w:rPr>
          </w:pPr>
          <w:r>
            <w:rPr>
              <w:rFonts w:ascii="Arial Black" w:hAnsi="Arial Black"/>
              <w:b/>
              <w:bCs/>
              <w:color w:val="002060"/>
            </w:rPr>
            <w:t>e1139</w:t>
          </w:r>
        </w:p>
      </w:tc>
      <w:tc>
        <w:tcPr>
          <w:tcW w:w="3658" w:type="pct"/>
          <w:vAlign w:val="center"/>
        </w:tcPr>
        <w:p w14:paraId="5C1C3B11" w14:textId="3DC924C8" w:rsidR="00D83F9E" w:rsidRPr="005860BC" w:rsidRDefault="00D83F9E"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Pr>
              <w:color w:val="002060"/>
              <w:sz w:val="16"/>
              <w:szCs w:val="16"/>
              <w:lang w:val="es-CR"/>
            </w:rPr>
            <w:t xml:space="preserve"> Vol. 9</w:t>
          </w:r>
          <w:r w:rsidRPr="005860BC">
            <w:rPr>
              <w:color w:val="002060"/>
              <w:sz w:val="16"/>
              <w:szCs w:val="16"/>
              <w:lang w:val="es-CR"/>
            </w:rPr>
            <w:t>(</w:t>
          </w:r>
          <w:r>
            <w:rPr>
              <w:color w:val="002060"/>
              <w:sz w:val="16"/>
              <w:szCs w:val="16"/>
              <w:lang w:val="es-CR"/>
            </w:rPr>
            <w:t>4</w:t>
          </w:r>
          <w:r w:rsidRPr="005860BC">
            <w:rPr>
              <w:color w:val="002060"/>
              <w:sz w:val="16"/>
              <w:szCs w:val="16"/>
              <w:lang w:val="es-CR"/>
            </w:rPr>
            <w:t xml:space="preserve">), </w:t>
          </w:r>
          <w:r>
            <w:rPr>
              <w:color w:val="002060"/>
              <w:sz w:val="16"/>
              <w:szCs w:val="16"/>
              <w:lang w:val="es-CR"/>
            </w:rPr>
            <w:t>abril</w:t>
          </w:r>
          <w:r w:rsidRPr="005860BC">
            <w:rPr>
              <w:color w:val="002060"/>
              <w:sz w:val="16"/>
              <w:szCs w:val="16"/>
              <w:lang w:val="es-CR"/>
            </w:rPr>
            <w:t xml:space="preserve"> 202</w:t>
          </w:r>
          <w:r>
            <w:rPr>
              <w:color w:val="002060"/>
              <w:sz w:val="16"/>
              <w:szCs w:val="16"/>
              <w:lang w:val="es-CR"/>
            </w:rPr>
            <w:t>4</w:t>
          </w:r>
          <w:r w:rsidRPr="005860BC">
            <w:rPr>
              <w:color w:val="002060"/>
              <w:sz w:val="16"/>
              <w:szCs w:val="16"/>
              <w:lang w:val="es-CR"/>
            </w:rPr>
            <w:t xml:space="preserve"> - ISSN: 2215-4523 / e-ISSN: 2215-5279</w:t>
          </w:r>
        </w:p>
        <w:p w14:paraId="4212E3B3" w14:textId="77777777" w:rsidR="00D83F9E" w:rsidRPr="00AE5EA0" w:rsidRDefault="00000000" w:rsidP="00A83266">
          <w:pPr>
            <w:pStyle w:val="Piedepgina"/>
            <w:spacing w:line="276" w:lineRule="auto"/>
            <w:jc w:val="center"/>
            <w:rPr>
              <w:sz w:val="16"/>
              <w:szCs w:val="16"/>
              <w:lang w:val="es-CR"/>
            </w:rPr>
          </w:pPr>
          <w:hyperlink r:id="rId1" w:history="1">
            <w:r w:rsidR="00D83F9E" w:rsidRPr="00AE5EA0">
              <w:rPr>
                <w:rStyle w:val="Hipervnculo"/>
                <w:i/>
                <w:sz w:val="16"/>
                <w:szCs w:val="16"/>
                <w:lang w:val="es-CR"/>
              </w:rPr>
              <w:t>http://revistamedicasinergia.com</w:t>
            </w:r>
          </w:hyperlink>
          <w:r w:rsidR="00D83F9E" w:rsidRPr="00AE5EA0">
            <w:rPr>
              <w:color w:val="002060"/>
              <w:sz w:val="16"/>
              <w:szCs w:val="16"/>
              <w:lang w:val="es-CR"/>
            </w:rPr>
            <w:t xml:space="preserve"> </w:t>
          </w:r>
        </w:p>
      </w:tc>
      <w:tc>
        <w:tcPr>
          <w:tcW w:w="642" w:type="pct"/>
        </w:tcPr>
        <w:p w14:paraId="69B632C6" w14:textId="77777777" w:rsidR="00D83F9E" w:rsidRPr="00AE5EA0" w:rsidRDefault="00D83F9E"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1"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D83F9E" w:rsidRPr="00D0398E" w:rsidRDefault="00D83F9E"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25" w:type="pct"/>
      <w:tblCellMar>
        <w:top w:w="72" w:type="dxa"/>
        <w:left w:w="115" w:type="dxa"/>
        <w:bottom w:w="72" w:type="dxa"/>
        <w:right w:w="115" w:type="dxa"/>
      </w:tblCellMar>
      <w:tblLook w:val="04A0" w:firstRow="1" w:lastRow="0" w:firstColumn="1" w:lastColumn="0" w:noHBand="0" w:noVBand="1"/>
    </w:tblPr>
    <w:tblGrid>
      <w:gridCol w:w="1330"/>
      <w:gridCol w:w="6950"/>
      <w:gridCol w:w="1220"/>
    </w:tblGrid>
    <w:tr w:rsidR="00D83F9E" w:rsidRPr="007B5563" w14:paraId="613288F4" w14:textId="77777777" w:rsidTr="00EA46DB">
      <w:trPr>
        <w:trHeight w:val="122"/>
      </w:trPr>
      <w:tc>
        <w:tcPr>
          <w:tcW w:w="700" w:type="pct"/>
          <w:shd w:val="clear" w:color="auto" w:fill="FFFFFF" w:themeFill="background1"/>
          <w:vAlign w:val="center"/>
        </w:tcPr>
        <w:p w14:paraId="75E166F2" w14:textId="7D61C05C" w:rsidR="00D83F9E" w:rsidRPr="003270F2" w:rsidRDefault="00B930AA" w:rsidP="00FB2E51">
          <w:pPr>
            <w:pStyle w:val="Piedepgina"/>
            <w:rPr>
              <w:rFonts w:ascii="Arial Black" w:hAnsi="Arial Black"/>
              <w:b/>
              <w:bCs/>
              <w:color w:val="002060"/>
            </w:rPr>
          </w:pPr>
          <w:r>
            <w:rPr>
              <w:rFonts w:ascii="Arial Black" w:hAnsi="Arial Black"/>
              <w:b/>
              <w:bCs/>
              <w:color w:val="002060"/>
            </w:rPr>
            <w:t>e1139</w:t>
          </w:r>
        </w:p>
      </w:tc>
      <w:tc>
        <w:tcPr>
          <w:tcW w:w="3658" w:type="pct"/>
          <w:vAlign w:val="center"/>
        </w:tcPr>
        <w:p w14:paraId="633751BD" w14:textId="71E05BBA" w:rsidR="00D83F9E" w:rsidRPr="005860BC" w:rsidRDefault="00D83F9E"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Pr>
              <w:color w:val="002060"/>
              <w:sz w:val="16"/>
              <w:szCs w:val="16"/>
              <w:lang w:val="es-CR"/>
            </w:rPr>
            <w:t>9</w:t>
          </w:r>
          <w:r w:rsidRPr="005860BC">
            <w:rPr>
              <w:color w:val="002060"/>
              <w:sz w:val="16"/>
              <w:szCs w:val="16"/>
              <w:lang w:val="es-CR"/>
            </w:rPr>
            <w:t>(</w:t>
          </w:r>
          <w:r>
            <w:rPr>
              <w:color w:val="002060"/>
              <w:sz w:val="16"/>
              <w:szCs w:val="16"/>
              <w:lang w:val="es-CR"/>
            </w:rPr>
            <w:t>4</w:t>
          </w:r>
          <w:r w:rsidRPr="005860BC">
            <w:rPr>
              <w:color w:val="002060"/>
              <w:sz w:val="16"/>
              <w:szCs w:val="16"/>
              <w:lang w:val="es-CR"/>
            </w:rPr>
            <w:t xml:space="preserve">), </w:t>
          </w:r>
          <w:r>
            <w:rPr>
              <w:color w:val="002060"/>
              <w:sz w:val="16"/>
              <w:szCs w:val="16"/>
              <w:lang w:val="es-CR"/>
            </w:rPr>
            <w:t>abril 2024</w:t>
          </w:r>
          <w:r w:rsidRPr="005860BC">
            <w:rPr>
              <w:color w:val="002060"/>
              <w:sz w:val="16"/>
              <w:szCs w:val="16"/>
              <w:lang w:val="es-CR"/>
            </w:rPr>
            <w:t xml:space="preserve"> - ISSN: 2215-4523 / e-ISSN: 2215-5279</w:t>
          </w:r>
        </w:p>
        <w:p w14:paraId="5C47BB5E" w14:textId="77777777" w:rsidR="00D83F9E" w:rsidRPr="00AE5EA0" w:rsidRDefault="00000000" w:rsidP="00EA46DB">
          <w:pPr>
            <w:pStyle w:val="Piedepgina"/>
            <w:spacing w:line="276" w:lineRule="auto"/>
            <w:jc w:val="center"/>
            <w:rPr>
              <w:sz w:val="16"/>
              <w:szCs w:val="16"/>
              <w:lang w:val="es-CR"/>
            </w:rPr>
          </w:pPr>
          <w:hyperlink r:id="rId1" w:history="1">
            <w:r w:rsidR="00D83F9E" w:rsidRPr="00AE5EA0">
              <w:rPr>
                <w:rStyle w:val="Hipervnculo"/>
                <w:i/>
                <w:sz w:val="16"/>
                <w:szCs w:val="16"/>
                <w:lang w:val="es-CR"/>
              </w:rPr>
              <w:t>http://revistamedicasinergia.com</w:t>
            </w:r>
          </w:hyperlink>
          <w:r w:rsidR="00D83F9E" w:rsidRPr="00AE5EA0">
            <w:rPr>
              <w:color w:val="002060"/>
              <w:sz w:val="16"/>
              <w:szCs w:val="16"/>
              <w:lang w:val="es-CR"/>
            </w:rPr>
            <w:t xml:space="preserve"> </w:t>
          </w:r>
        </w:p>
      </w:tc>
      <w:tc>
        <w:tcPr>
          <w:tcW w:w="642" w:type="pct"/>
        </w:tcPr>
        <w:p w14:paraId="46EBDAB7" w14:textId="77777777" w:rsidR="00D83F9E" w:rsidRPr="00AE5EA0" w:rsidRDefault="00D83F9E"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D83F9E" w:rsidRPr="00EA46DB" w:rsidRDefault="00D83F9E">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1F0E0" w14:textId="77777777" w:rsidR="000324D1" w:rsidRDefault="000324D1" w:rsidP="00FB44B1">
      <w:pPr>
        <w:spacing w:line="240" w:lineRule="auto"/>
      </w:pPr>
      <w:r>
        <w:separator/>
      </w:r>
    </w:p>
  </w:footnote>
  <w:footnote w:type="continuationSeparator" w:id="0">
    <w:p w14:paraId="412A7885" w14:textId="77777777" w:rsidR="000324D1" w:rsidRDefault="000324D1"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59E8" w14:textId="77777777" w:rsidR="005E34CA" w:rsidRDefault="005E34CA" w:rsidP="000A7FFE">
    <w:pPr>
      <w:pStyle w:val="Encabezado"/>
      <w:jc w:val="right"/>
      <w:rPr>
        <w:color w:val="002060"/>
        <w:sz w:val="15"/>
        <w:szCs w:val="15"/>
        <w:lang w:val="es-CR"/>
      </w:rPr>
    </w:pPr>
    <w:r w:rsidRPr="005E34CA">
      <w:rPr>
        <w:color w:val="002060"/>
        <w:sz w:val="15"/>
        <w:szCs w:val="15"/>
        <w:lang w:val="es-CR"/>
      </w:rPr>
      <w:t>Mortalidad antes y después de la vacunación de COVID-19 del 2020-2021</w:t>
    </w:r>
  </w:p>
  <w:p w14:paraId="3736CAFC" w14:textId="67FA208C" w:rsidR="00D83F9E" w:rsidRPr="008206FF" w:rsidRDefault="00B930AA" w:rsidP="000A7FFE">
    <w:pPr>
      <w:pStyle w:val="Encabezado"/>
      <w:jc w:val="right"/>
      <w:rPr>
        <w:sz w:val="18"/>
        <w:szCs w:val="18"/>
        <w:lang w:val="es-CR"/>
      </w:rPr>
    </w:pPr>
    <w:r>
      <w:rPr>
        <w:bCs/>
        <w:color w:val="002060"/>
        <w:sz w:val="15"/>
        <w:szCs w:val="15"/>
        <w:lang w:val="es-CR"/>
      </w:rPr>
      <w:t xml:space="preserve">Dra. </w:t>
    </w:r>
    <w:r w:rsidR="005E34CA" w:rsidRPr="005E34CA">
      <w:rPr>
        <w:bCs/>
        <w:color w:val="002060"/>
        <w:sz w:val="15"/>
        <w:szCs w:val="15"/>
        <w:lang w:val="es-CR"/>
      </w:rPr>
      <w:t>Keila Grisel Ramos Moran</w:t>
    </w:r>
    <w:r w:rsidR="00D83F9E">
      <w:rPr>
        <w:bCs/>
        <w:color w:val="002060"/>
        <w:sz w:val="15"/>
        <w:szCs w:val="15"/>
        <w:lang w:val="es-CR"/>
      </w:rPr>
      <w:t xml:space="preserve">, </w:t>
    </w:r>
    <w:r>
      <w:rPr>
        <w:bCs/>
        <w:color w:val="002060"/>
        <w:sz w:val="15"/>
        <w:szCs w:val="15"/>
        <w:lang w:val="es-CR"/>
      </w:rPr>
      <w:t xml:space="preserve">Dra. </w:t>
    </w:r>
    <w:proofErr w:type="spellStart"/>
    <w:r>
      <w:rPr>
        <w:bCs/>
        <w:color w:val="002060"/>
        <w:sz w:val="15"/>
        <w:szCs w:val="15"/>
        <w:lang w:val="es-CR"/>
      </w:rPr>
      <w:t>M</w:t>
    </w:r>
    <w:r w:rsidR="005E34CA" w:rsidRPr="005E34CA">
      <w:rPr>
        <w:bCs/>
        <w:color w:val="002060"/>
        <w:sz w:val="15"/>
        <w:szCs w:val="15"/>
        <w:lang w:val="es-CR"/>
      </w:rPr>
      <w:t>arillyn</w:t>
    </w:r>
    <w:proofErr w:type="spellEnd"/>
    <w:r w:rsidR="005E34CA" w:rsidRPr="005E34CA">
      <w:rPr>
        <w:bCs/>
        <w:color w:val="002060"/>
        <w:sz w:val="15"/>
        <w:szCs w:val="15"/>
        <w:lang w:val="es-CR"/>
      </w:rPr>
      <w:t xml:space="preserve"> Valeria Fuentes Madrid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5pt;height:9.5pt;visibility:visible" o:bullet="t">
        <v:imagedata r:id="rId1" o:title=""/>
      </v:shape>
    </w:pict>
  </w:numPicBullet>
  <w:abstractNum w:abstractNumId="0" w15:restartNumberingAfterBreak="0">
    <w:nsid w:val="02EE0F0C"/>
    <w:multiLevelType w:val="hybridMultilevel"/>
    <w:tmpl w:val="F18E8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49310F"/>
    <w:multiLevelType w:val="hybridMultilevel"/>
    <w:tmpl w:val="8AB24E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BD47BCE"/>
    <w:multiLevelType w:val="hybridMultilevel"/>
    <w:tmpl w:val="CEA42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384DE3"/>
    <w:multiLevelType w:val="hybridMultilevel"/>
    <w:tmpl w:val="AB9603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641DB0"/>
    <w:multiLevelType w:val="hybridMultilevel"/>
    <w:tmpl w:val="5C6AB15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2B64B7"/>
    <w:multiLevelType w:val="multilevel"/>
    <w:tmpl w:val="3882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C485D"/>
    <w:multiLevelType w:val="hybridMultilevel"/>
    <w:tmpl w:val="9B02317E"/>
    <w:styleLink w:val="Nmero"/>
    <w:lvl w:ilvl="0" w:tplc="123283B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3943A7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6A46857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D68424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7E7A8F3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4EF6B37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290BEB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2FEF12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AB1824F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C4607C"/>
    <w:multiLevelType w:val="hybridMultilevel"/>
    <w:tmpl w:val="5498DEBC"/>
    <w:lvl w:ilvl="0" w:tplc="60D65982">
      <w:start w:val="1"/>
      <w:numFmt w:val="decimal"/>
      <w:lvlText w:val="%1."/>
      <w:lvlJc w:val="left"/>
      <w:pPr>
        <w:ind w:left="720" w:hanging="360"/>
      </w:pPr>
      <w:rPr>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1E136A26"/>
    <w:multiLevelType w:val="hybridMultilevel"/>
    <w:tmpl w:val="5636CEDC"/>
    <w:lvl w:ilvl="0" w:tplc="4372BDEE">
      <w:start w:val="1"/>
      <w:numFmt w:val="decimal"/>
      <w:lvlText w:val="%1."/>
      <w:lvlJc w:val="left"/>
      <w:pPr>
        <w:ind w:left="502"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89F0E32"/>
    <w:multiLevelType w:val="hybridMultilevel"/>
    <w:tmpl w:val="6C64B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0E2B37"/>
    <w:multiLevelType w:val="hybridMultilevel"/>
    <w:tmpl w:val="A2E2326C"/>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B417A8"/>
    <w:multiLevelType w:val="hybridMultilevel"/>
    <w:tmpl w:val="9528C90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5C72777"/>
    <w:multiLevelType w:val="hybridMultilevel"/>
    <w:tmpl w:val="9984F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6903FB3"/>
    <w:multiLevelType w:val="hybridMultilevel"/>
    <w:tmpl w:val="4B5EA426"/>
    <w:lvl w:ilvl="0" w:tplc="DB7A9AA2">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EE1D09"/>
    <w:multiLevelType w:val="hybridMultilevel"/>
    <w:tmpl w:val="51405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620EF0"/>
    <w:multiLevelType w:val="hybridMultilevel"/>
    <w:tmpl w:val="E08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AE547D5"/>
    <w:multiLevelType w:val="hybridMultilevel"/>
    <w:tmpl w:val="66FEB5A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04B7707"/>
    <w:multiLevelType w:val="hybridMultilevel"/>
    <w:tmpl w:val="5908F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9C0AF2"/>
    <w:multiLevelType w:val="hybridMultilevel"/>
    <w:tmpl w:val="1D861B7C"/>
    <w:styleLink w:val="ImportedStyle1"/>
    <w:lvl w:ilvl="0" w:tplc="DFE8526C">
      <w:start w:val="1"/>
      <w:numFmt w:val="decimal"/>
      <w:lvlText w:val="%1."/>
      <w:lvlJc w:val="left"/>
      <w:pPr>
        <w:tabs>
          <w:tab w:val="num" w:pos="25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860AD6">
      <w:start w:val="1"/>
      <w:numFmt w:val="lowerLetter"/>
      <w:lvlText w:val="%2."/>
      <w:lvlJc w:val="left"/>
      <w:pPr>
        <w:tabs>
          <w:tab w:val="left" w:pos="251"/>
          <w:tab w:val="num" w:pos="1080"/>
        </w:tabs>
        <w:ind w:left="1189"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6D62C46">
      <w:start w:val="1"/>
      <w:numFmt w:val="lowerRoman"/>
      <w:lvlText w:val="%3."/>
      <w:lvlJc w:val="left"/>
      <w:pPr>
        <w:tabs>
          <w:tab w:val="left" w:pos="251"/>
          <w:tab w:val="num" w:pos="1800"/>
        </w:tabs>
        <w:ind w:left="1909"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D68A0E52">
      <w:start w:val="1"/>
      <w:numFmt w:val="decimal"/>
      <w:lvlText w:val="%4."/>
      <w:lvlJc w:val="left"/>
      <w:pPr>
        <w:tabs>
          <w:tab w:val="left" w:pos="251"/>
          <w:tab w:val="num" w:pos="2520"/>
        </w:tabs>
        <w:ind w:left="2629"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ABE2ADD2">
      <w:start w:val="1"/>
      <w:numFmt w:val="lowerLetter"/>
      <w:lvlText w:val="%5."/>
      <w:lvlJc w:val="left"/>
      <w:pPr>
        <w:tabs>
          <w:tab w:val="left" w:pos="251"/>
          <w:tab w:val="num" w:pos="3240"/>
        </w:tabs>
        <w:ind w:left="3349"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0818D15E">
      <w:start w:val="1"/>
      <w:numFmt w:val="lowerRoman"/>
      <w:lvlText w:val="%6."/>
      <w:lvlJc w:val="left"/>
      <w:pPr>
        <w:tabs>
          <w:tab w:val="left" w:pos="251"/>
          <w:tab w:val="num" w:pos="3960"/>
        </w:tabs>
        <w:ind w:left="4069" w:hanging="389"/>
      </w:pPr>
      <w:rPr>
        <w:rFonts w:hAnsi="Arial Unicode MS"/>
        <w:caps w:val="0"/>
        <w:smallCaps w:val="0"/>
        <w:strike w:val="0"/>
        <w:dstrike w:val="0"/>
        <w:outline w:val="0"/>
        <w:emboss w:val="0"/>
        <w:imprint w:val="0"/>
        <w:spacing w:val="0"/>
        <w:w w:val="100"/>
        <w:kern w:val="0"/>
        <w:position w:val="0"/>
        <w:highlight w:val="none"/>
        <w:vertAlign w:val="baseline"/>
      </w:rPr>
    </w:lvl>
    <w:lvl w:ilvl="6" w:tplc="96BE9C8E">
      <w:start w:val="1"/>
      <w:numFmt w:val="decimal"/>
      <w:lvlText w:val="%7."/>
      <w:lvlJc w:val="left"/>
      <w:pPr>
        <w:tabs>
          <w:tab w:val="left" w:pos="251"/>
          <w:tab w:val="num" w:pos="4680"/>
        </w:tabs>
        <w:ind w:left="4789"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7F9E747A">
      <w:start w:val="1"/>
      <w:numFmt w:val="lowerLetter"/>
      <w:lvlText w:val="%8."/>
      <w:lvlJc w:val="left"/>
      <w:pPr>
        <w:tabs>
          <w:tab w:val="left" w:pos="251"/>
          <w:tab w:val="num" w:pos="5400"/>
        </w:tabs>
        <w:ind w:left="5509"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D58A9216">
      <w:start w:val="1"/>
      <w:numFmt w:val="lowerRoman"/>
      <w:lvlText w:val="%9."/>
      <w:lvlJc w:val="left"/>
      <w:pPr>
        <w:tabs>
          <w:tab w:val="left" w:pos="251"/>
          <w:tab w:val="num" w:pos="6120"/>
        </w:tabs>
        <w:ind w:left="6229" w:hanging="3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4086229"/>
    <w:multiLevelType w:val="hybridMultilevel"/>
    <w:tmpl w:val="2878E2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4F95F6D"/>
    <w:multiLevelType w:val="hybridMultilevel"/>
    <w:tmpl w:val="1D861B7C"/>
    <w:numStyleLink w:val="ImportedStyle1"/>
  </w:abstractNum>
  <w:abstractNum w:abstractNumId="24"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15:restartNumberingAfterBreak="0">
    <w:nsid w:val="6702764E"/>
    <w:multiLevelType w:val="hybridMultilevel"/>
    <w:tmpl w:val="C2582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864158F"/>
    <w:multiLevelType w:val="hybridMultilevel"/>
    <w:tmpl w:val="9B02317E"/>
    <w:numStyleLink w:val="Nmero"/>
  </w:abstractNum>
  <w:abstractNum w:abstractNumId="27"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76410110">
    <w:abstractNumId w:val="11"/>
  </w:num>
  <w:num w:numId="2" w16cid:durableId="792526969">
    <w:abstractNumId w:val="13"/>
  </w:num>
  <w:num w:numId="3" w16cid:durableId="1392848207">
    <w:abstractNumId w:val="1"/>
  </w:num>
  <w:num w:numId="4" w16cid:durableId="451434909">
    <w:abstractNumId w:val="24"/>
  </w:num>
  <w:num w:numId="5" w16cid:durableId="441386201">
    <w:abstractNumId w:val="18"/>
  </w:num>
  <w:num w:numId="6" w16cid:durableId="839543639">
    <w:abstractNumId w:val="27"/>
  </w:num>
  <w:num w:numId="7" w16cid:durableId="147406793">
    <w:abstractNumId w:val="22"/>
  </w:num>
  <w:num w:numId="8" w16cid:durableId="1949922652">
    <w:abstractNumId w:val="17"/>
  </w:num>
  <w:num w:numId="9" w16cid:durableId="860094533">
    <w:abstractNumId w:val="25"/>
  </w:num>
  <w:num w:numId="10" w16cid:durableId="2142838916">
    <w:abstractNumId w:val="5"/>
  </w:num>
  <w:num w:numId="11" w16cid:durableId="1038553191">
    <w:abstractNumId w:val="14"/>
  </w:num>
  <w:num w:numId="12" w16cid:durableId="1419594725">
    <w:abstractNumId w:val="16"/>
  </w:num>
  <w:num w:numId="13" w16cid:durableId="1265839712">
    <w:abstractNumId w:val="15"/>
  </w:num>
  <w:num w:numId="14" w16cid:durableId="2114737721">
    <w:abstractNumId w:val="13"/>
    <w:lvlOverride w:ilvl="0">
      <w:startOverride w:val="1"/>
    </w:lvlOverride>
  </w:num>
  <w:num w:numId="15" w16cid:durableId="365561948">
    <w:abstractNumId w:val="2"/>
  </w:num>
  <w:num w:numId="16" w16cid:durableId="1812670158">
    <w:abstractNumId w:val="9"/>
  </w:num>
  <w:num w:numId="17" w16cid:durableId="838234008">
    <w:abstractNumId w:val="7"/>
  </w:num>
  <w:num w:numId="18" w16cid:durableId="733940468">
    <w:abstractNumId w:val="26"/>
  </w:num>
  <w:num w:numId="19" w16cid:durableId="545724221">
    <w:abstractNumId w:val="4"/>
  </w:num>
  <w:num w:numId="20" w16cid:durableId="1480728142">
    <w:abstractNumId w:val="20"/>
  </w:num>
  <w:num w:numId="21" w16cid:durableId="1882859417">
    <w:abstractNumId w:val="21"/>
  </w:num>
  <w:num w:numId="22" w16cid:durableId="881018856">
    <w:abstractNumId w:val="23"/>
  </w:num>
  <w:num w:numId="23" w16cid:durableId="2055349533">
    <w:abstractNumId w:val="12"/>
  </w:num>
  <w:num w:numId="24" w16cid:durableId="1661695190">
    <w:abstractNumId w:val="3"/>
  </w:num>
  <w:num w:numId="25" w16cid:durableId="1960212185">
    <w:abstractNumId w:val="10"/>
  </w:num>
  <w:num w:numId="26" w16cid:durableId="1346830888">
    <w:abstractNumId w:val="0"/>
  </w:num>
  <w:num w:numId="27" w16cid:durableId="887642845">
    <w:abstractNumId w:val="19"/>
  </w:num>
  <w:num w:numId="28" w16cid:durableId="1544058033">
    <w:abstractNumId w:val="6"/>
  </w:num>
  <w:num w:numId="29" w16cid:durableId="214507644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10924"/>
    <w:rsid w:val="00011C81"/>
    <w:rsid w:val="00015739"/>
    <w:rsid w:val="000169A7"/>
    <w:rsid w:val="000206E0"/>
    <w:rsid w:val="0002313C"/>
    <w:rsid w:val="000260EB"/>
    <w:rsid w:val="000324D1"/>
    <w:rsid w:val="00043AB5"/>
    <w:rsid w:val="00043C2B"/>
    <w:rsid w:val="0004660B"/>
    <w:rsid w:val="0005117F"/>
    <w:rsid w:val="00052E3E"/>
    <w:rsid w:val="00056AAC"/>
    <w:rsid w:val="00070232"/>
    <w:rsid w:val="00072572"/>
    <w:rsid w:val="00075BD9"/>
    <w:rsid w:val="00076420"/>
    <w:rsid w:val="00081327"/>
    <w:rsid w:val="00085A6C"/>
    <w:rsid w:val="000861D7"/>
    <w:rsid w:val="0008758C"/>
    <w:rsid w:val="00087E4B"/>
    <w:rsid w:val="00090213"/>
    <w:rsid w:val="000912A6"/>
    <w:rsid w:val="000A12B9"/>
    <w:rsid w:val="000A2BE8"/>
    <w:rsid w:val="000A3E2F"/>
    <w:rsid w:val="000A6B22"/>
    <w:rsid w:val="000A7429"/>
    <w:rsid w:val="000A7FFE"/>
    <w:rsid w:val="000B283B"/>
    <w:rsid w:val="000B7104"/>
    <w:rsid w:val="000C2326"/>
    <w:rsid w:val="000C2CD6"/>
    <w:rsid w:val="000C3AB5"/>
    <w:rsid w:val="000C6106"/>
    <w:rsid w:val="000D16EC"/>
    <w:rsid w:val="000D6A22"/>
    <w:rsid w:val="000D7572"/>
    <w:rsid w:val="000F2611"/>
    <w:rsid w:val="001009B6"/>
    <w:rsid w:val="001075C8"/>
    <w:rsid w:val="00110886"/>
    <w:rsid w:val="001153F5"/>
    <w:rsid w:val="00117EFC"/>
    <w:rsid w:val="001207E8"/>
    <w:rsid w:val="00127B05"/>
    <w:rsid w:val="001333F2"/>
    <w:rsid w:val="00141C24"/>
    <w:rsid w:val="00142949"/>
    <w:rsid w:val="00146625"/>
    <w:rsid w:val="00161F5E"/>
    <w:rsid w:val="00176825"/>
    <w:rsid w:val="00177C1D"/>
    <w:rsid w:val="001816D5"/>
    <w:rsid w:val="00182689"/>
    <w:rsid w:val="001842D3"/>
    <w:rsid w:val="00191678"/>
    <w:rsid w:val="001A30C1"/>
    <w:rsid w:val="001A3529"/>
    <w:rsid w:val="001B21F3"/>
    <w:rsid w:val="001C3BAB"/>
    <w:rsid w:val="001C5EB1"/>
    <w:rsid w:val="001C7B0E"/>
    <w:rsid w:val="001D25E9"/>
    <w:rsid w:val="001D54D3"/>
    <w:rsid w:val="001D7EE2"/>
    <w:rsid w:val="001E1306"/>
    <w:rsid w:val="001F31F6"/>
    <w:rsid w:val="001F50BC"/>
    <w:rsid w:val="001F5308"/>
    <w:rsid w:val="001F553C"/>
    <w:rsid w:val="00200857"/>
    <w:rsid w:val="00203D83"/>
    <w:rsid w:val="00204322"/>
    <w:rsid w:val="002057B8"/>
    <w:rsid w:val="00206F53"/>
    <w:rsid w:val="00221512"/>
    <w:rsid w:val="002222A4"/>
    <w:rsid w:val="00223206"/>
    <w:rsid w:val="00225247"/>
    <w:rsid w:val="0023113C"/>
    <w:rsid w:val="00233C0B"/>
    <w:rsid w:val="00236C9A"/>
    <w:rsid w:val="0024018E"/>
    <w:rsid w:val="002406EF"/>
    <w:rsid w:val="00246028"/>
    <w:rsid w:val="002477D5"/>
    <w:rsid w:val="00252C9C"/>
    <w:rsid w:val="00253425"/>
    <w:rsid w:val="002556F3"/>
    <w:rsid w:val="00255B7D"/>
    <w:rsid w:val="002747EC"/>
    <w:rsid w:val="002A0C3C"/>
    <w:rsid w:val="002B1316"/>
    <w:rsid w:val="002B3F8E"/>
    <w:rsid w:val="002B4650"/>
    <w:rsid w:val="002C3364"/>
    <w:rsid w:val="002C3DD7"/>
    <w:rsid w:val="002C58CD"/>
    <w:rsid w:val="002C6183"/>
    <w:rsid w:val="002C72E7"/>
    <w:rsid w:val="002D6C19"/>
    <w:rsid w:val="002E0DE0"/>
    <w:rsid w:val="002E2D23"/>
    <w:rsid w:val="002E3F2D"/>
    <w:rsid w:val="00300D0B"/>
    <w:rsid w:val="003013BF"/>
    <w:rsid w:val="003025AF"/>
    <w:rsid w:val="0031108A"/>
    <w:rsid w:val="00314114"/>
    <w:rsid w:val="003270F2"/>
    <w:rsid w:val="00330A98"/>
    <w:rsid w:val="00332CD9"/>
    <w:rsid w:val="00340FDF"/>
    <w:rsid w:val="0034265D"/>
    <w:rsid w:val="0034384A"/>
    <w:rsid w:val="00346951"/>
    <w:rsid w:val="003469DB"/>
    <w:rsid w:val="0035587B"/>
    <w:rsid w:val="00356E6F"/>
    <w:rsid w:val="00357A9B"/>
    <w:rsid w:val="00366926"/>
    <w:rsid w:val="0037104B"/>
    <w:rsid w:val="00373E27"/>
    <w:rsid w:val="003757A9"/>
    <w:rsid w:val="00376D99"/>
    <w:rsid w:val="003A3BE4"/>
    <w:rsid w:val="003A5BE6"/>
    <w:rsid w:val="003C2CE7"/>
    <w:rsid w:val="003D3923"/>
    <w:rsid w:val="003E0BEB"/>
    <w:rsid w:val="003E573F"/>
    <w:rsid w:val="003E73B8"/>
    <w:rsid w:val="003F4E9F"/>
    <w:rsid w:val="004004A6"/>
    <w:rsid w:val="00403B40"/>
    <w:rsid w:val="00411F51"/>
    <w:rsid w:val="00413139"/>
    <w:rsid w:val="00414414"/>
    <w:rsid w:val="00415000"/>
    <w:rsid w:val="00416043"/>
    <w:rsid w:val="00430909"/>
    <w:rsid w:val="0044651B"/>
    <w:rsid w:val="00447511"/>
    <w:rsid w:val="00467A1E"/>
    <w:rsid w:val="00473115"/>
    <w:rsid w:val="0049160E"/>
    <w:rsid w:val="00491DB7"/>
    <w:rsid w:val="0049254A"/>
    <w:rsid w:val="004A3A02"/>
    <w:rsid w:val="004B4040"/>
    <w:rsid w:val="004C0E10"/>
    <w:rsid w:val="004D03FC"/>
    <w:rsid w:val="004D2A75"/>
    <w:rsid w:val="004D3BAD"/>
    <w:rsid w:val="004D7BD5"/>
    <w:rsid w:val="004E0917"/>
    <w:rsid w:val="004F1E55"/>
    <w:rsid w:val="004F37F1"/>
    <w:rsid w:val="00501438"/>
    <w:rsid w:val="00507BEF"/>
    <w:rsid w:val="00512939"/>
    <w:rsid w:val="005179EF"/>
    <w:rsid w:val="00525F1A"/>
    <w:rsid w:val="00526D59"/>
    <w:rsid w:val="00545AA6"/>
    <w:rsid w:val="005557B5"/>
    <w:rsid w:val="00563D26"/>
    <w:rsid w:val="00565973"/>
    <w:rsid w:val="005669C3"/>
    <w:rsid w:val="0056790F"/>
    <w:rsid w:val="00571BD2"/>
    <w:rsid w:val="005725A3"/>
    <w:rsid w:val="005860BC"/>
    <w:rsid w:val="00590875"/>
    <w:rsid w:val="00590B18"/>
    <w:rsid w:val="00591633"/>
    <w:rsid w:val="00592C8B"/>
    <w:rsid w:val="005B4DFC"/>
    <w:rsid w:val="005C096A"/>
    <w:rsid w:val="005D62B0"/>
    <w:rsid w:val="005E34CA"/>
    <w:rsid w:val="005F0546"/>
    <w:rsid w:val="005F1FA0"/>
    <w:rsid w:val="00601DC5"/>
    <w:rsid w:val="00602580"/>
    <w:rsid w:val="006122DA"/>
    <w:rsid w:val="00623094"/>
    <w:rsid w:val="00634FDB"/>
    <w:rsid w:val="00636466"/>
    <w:rsid w:val="0064019C"/>
    <w:rsid w:val="0064362F"/>
    <w:rsid w:val="006458AD"/>
    <w:rsid w:val="00652DB8"/>
    <w:rsid w:val="006553FE"/>
    <w:rsid w:val="00655AFB"/>
    <w:rsid w:val="006647D1"/>
    <w:rsid w:val="006715DE"/>
    <w:rsid w:val="00674C6B"/>
    <w:rsid w:val="00674CB7"/>
    <w:rsid w:val="00682131"/>
    <w:rsid w:val="00690573"/>
    <w:rsid w:val="00694ABE"/>
    <w:rsid w:val="006A1304"/>
    <w:rsid w:val="006A1A38"/>
    <w:rsid w:val="006A2970"/>
    <w:rsid w:val="006A3048"/>
    <w:rsid w:val="006A4FB5"/>
    <w:rsid w:val="006A4FF4"/>
    <w:rsid w:val="006C06E7"/>
    <w:rsid w:val="006C6841"/>
    <w:rsid w:val="006E05CB"/>
    <w:rsid w:val="006E6470"/>
    <w:rsid w:val="006E6C75"/>
    <w:rsid w:val="006F3090"/>
    <w:rsid w:val="006F7BCA"/>
    <w:rsid w:val="00706C4F"/>
    <w:rsid w:val="007074A7"/>
    <w:rsid w:val="00715936"/>
    <w:rsid w:val="00721BE1"/>
    <w:rsid w:val="00723398"/>
    <w:rsid w:val="00726F5F"/>
    <w:rsid w:val="0073664C"/>
    <w:rsid w:val="00742429"/>
    <w:rsid w:val="00743CB5"/>
    <w:rsid w:val="00762F81"/>
    <w:rsid w:val="00767B51"/>
    <w:rsid w:val="00780E32"/>
    <w:rsid w:val="00782A53"/>
    <w:rsid w:val="00782C38"/>
    <w:rsid w:val="00793848"/>
    <w:rsid w:val="00794DEB"/>
    <w:rsid w:val="007A3F95"/>
    <w:rsid w:val="007A7CA1"/>
    <w:rsid w:val="007B51D2"/>
    <w:rsid w:val="007B5563"/>
    <w:rsid w:val="007E0AD1"/>
    <w:rsid w:val="00802BAD"/>
    <w:rsid w:val="00806F56"/>
    <w:rsid w:val="00813903"/>
    <w:rsid w:val="008206FF"/>
    <w:rsid w:val="00821D61"/>
    <w:rsid w:val="0082698E"/>
    <w:rsid w:val="00826FB5"/>
    <w:rsid w:val="00827495"/>
    <w:rsid w:val="008366EC"/>
    <w:rsid w:val="0084698F"/>
    <w:rsid w:val="00850576"/>
    <w:rsid w:val="0085674A"/>
    <w:rsid w:val="00863D29"/>
    <w:rsid w:val="00870E10"/>
    <w:rsid w:val="00872195"/>
    <w:rsid w:val="008735E3"/>
    <w:rsid w:val="008767A1"/>
    <w:rsid w:val="00877304"/>
    <w:rsid w:val="008842B7"/>
    <w:rsid w:val="00887E4B"/>
    <w:rsid w:val="008913AF"/>
    <w:rsid w:val="008A4301"/>
    <w:rsid w:val="008B100F"/>
    <w:rsid w:val="008C34EE"/>
    <w:rsid w:val="008D2354"/>
    <w:rsid w:val="008E19C4"/>
    <w:rsid w:val="008F4548"/>
    <w:rsid w:val="00903417"/>
    <w:rsid w:val="00912413"/>
    <w:rsid w:val="0093004E"/>
    <w:rsid w:val="009348FF"/>
    <w:rsid w:val="00942013"/>
    <w:rsid w:val="009604E4"/>
    <w:rsid w:val="00961FF7"/>
    <w:rsid w:val="00962C15"/>
    <w:rsid w:val="00963CFA"/>
    <w:rsid w:val="00963F06"/>
    <w:rsid w:val="00970792"/>
    <w:rsid w:val="00973AFD"/>
    <w:rsid w:val="00984027"/>
    <w:rsid w:val="009844CE"/>
    <w:rsid w:val="00986966"/>
    <w:rsid w:val="00996839"/>
    <w:rsid w:val="009A4B47"/>
    <w:rsid w:val="009B7F61"/>
    <w:rsid w:val="009C0C22"/>
    <w:rsid w:val="009C2CDA"/>
    <w:rsid w:val="009D19A5"/>
    <w:rsid w:val="009D323B"/>
    <w:rsid w:val="009E2369"/>
    <w:rsid w:val="009E3933"/>
    <w:rsid w:val="009E4A48"/>
    <w:rsid w:val="009F0D91"/>
    <w:rsid w:val="00A019EC"/>
    <w:rsid w:val="00A05503"/>
    <w:rsid w:val="00A0671C"/>
    <w:rsid w:val="00A269AE"/>
    <w:rsid w:val="00A26B89"/>
    <w:rsid w:val="00A313C9"/>
    <w:rsid w:val="00A37222"/>
    <w:rsid w:val="00A47DE4"/>
    <w:rsid w:val="00A5501E"/>
    <w:rsid w:val="00A5646B"/>
    <w:rsid w:val="00A579FB"/>
    <w:rsid w:val="00A65F12"/>
    <w:rsid w:val="00A73B18"/>
    <w:rsid w:val="00A83266"/>
    <w:rsid w:val="00A83D0A"/>
    <w:rsid w:val="00A865C1"/>
    <w:rsid w:val="00A87D99"/>
    <w:rsid w:val="00A90252"/>
    <w:rsid w:val="00A91DF6"/>
    <w:rsid w:val="00A92DCA"/>
    <w:rsid w:val="00A93FC7"/>
    <w:rsid w:val="00AA1AB2"/>
    <w:rsid w:val="00AB20EA"/>
    <w:rsid w:val="00AB3612"/>
    <w:rsid w:val="00AC131A"/>
    <w:rsid w:val="00AC4B4D"/>
    <w:rsid w:val="00AD35B5"/>
    <w:rsid w:val="00AE32D5"/>
    <w:rsid w:val="00AE5EA0"/>
    <w:rsid w:val="00AF2D3A"/>
    <w:rsid w:val="00AF36EA"/>
    <w:rsid w:val="00B010EC"/>
    <w:rsid w:val="00B056CF"/>
    <w:rsid w:val="00B05B23"/>
    <w:rsid w:val="00B1240A"/>
    <w:rsid w:val="00B159CB"/>
    <w:rsid w:val="00B223D7"/>
    <w:rsid w:val="00B35BE4"/>
    <w:rsid w:val="00B4048C"/>
    <w:rsid w:val="00B411ED"/>
    <w:rsid w:val="00B41AFF"/>
    <w:rsid w:val="00B42108"/>
    <w:rsid w:val="00B50487"/>
    <w:rsid w:val="00B56E82"/>
    <w:rsid w:val="00B62FC8"/>
    <w:rsid w:val="00B643AF"/>
    <w:rsid w:val="00B66DB8"/>
    <w:rsid w:val="00B678BC"/>
    <w:rsid w:val="00B67A44"/>
    <w:rsid w:val="00B71F2B"/>
    <w:rsid w:val="00B76820"/>
    <w:rsid w:val="00B76D4C"/>
    <w:rsid w:val="00B8084F"/>
    <w:rsid w:val="00B811D3"/>
    <w:rsid w:val="00B87723"/>
    <w:rsid w:val="00B910C0"/>
    <w:rsid w:val="00B930AA"/>
    <w:rsid w:val="00B97B37"/>
    <w:rsid w:val="00BA2F35"/>
    <w:rsid w:val="00BB4F8D"/>
    <w:rsid w:val="00BB6E17"/>
    <w:rsid w:val="00BD27D0"/>
    <w:rsid w:val="00BE2B6B"/>
    <w:rsid w:val="00BE39FE"/>
    <w:rsid w:val="00BE40C1"/>
    <w:rsid w:val="00BF0D6C"/>
    <w:rsid w:val="00BF1DC2"/>
    <w:rsid w:val="00BF2D4E"/>
    <w:rsid w:val="00BF3AAB"/>
    <w:rsid w:val="00C04BFF"/>
    <w:rsid w:val="00C1659B"/>
    <w:rsid w:val="00C1685D"/>
    <w:rsid w:val="00C21442"/>
    <w:rsid w:val="00C26E22"/>
    <w:rsid w:val="00C33436"/>
    <w:rsid w:val="00C458C7"/>
    <w:rsid w:val="00C51A9C"/>
    <w:rsid w:val="00C51C84"/>
    <w:rsid w:val="00C61933"/>
    <w:rsid w:val="00C62EDF"/>
    <w:rsid w:val="00C753AC"/>
    <w:rsid w:val="00C80868"/>
    <w:rsid w:val="00C80C81"/>
    <w:rsid w:val="00C8546D"/>
    <w:rsid w:val="00C85E89"/>
    <w:rsid w:val="00C96657"/>
    <w:rsid w:val="00CA1238"/>
    <w:rsid w:val="00CA6376"/>
    <w:rsid w:val="00CB09D2"/>
    <w:rsid w:val="00CC40C3"/>
    <w:rsid w:val="00CD2D9A"/>
    <w:rsid w:val="00D0125A"/>
    <w:rsid w:val="00D035A4"/>
    <w:rsid w:val="00D0398E"/>
    <w:rsid w:val="00D03AB5"/>
    <w:rsid w:val="00D05840"/>
    <w:rsid w:val="00D128AE"/>
    <w:rsid w:val="00D141A5"/>
    <w:rsid w:val="00D34CBD"/>
    <w:rsid w:val="00D42D74"/>
    <w:rsid w:val="00D44C65"/>
    <w:rsid w:val="00D57625"/>
    <w:rsid w:val="00D6314F"/>
    <w:rsid w:val="00D71153"/>
    <w:rsid w:val="00D726D5"/>
    <w:rsid w:val="00D7509A"/>
    <w:rsid w:val="00D75EC8"/>
    <w:rsid w:val="00D76A9D"/>
    <w:rsid w:val="00D83D5A"/>
    <w:rsid w:val="00D83F9E"/>
    <w:rsid w:val="00D92739"/>
    <w:rsid w:val="00D9428C"/>
    <w:rsid w:val="00D94F08"/>
    <w:rsid w:val="00D950FE"/>
    <w:rsid w:val="00DA0F4F"/>
    <w:rsid w:val="00DA6D6E"/>
    <w:rsid w:val="00DC1F0D"/>
    <w:rsid w:val="00DC2B40"/>
    <w:rsid w:val="00DC377F"/>
    <w:rsid w:val="00DC58A3"/>
    <w:rsid w:val="00DD2C2B"/>
    <w:rsid w:val="00DD687C"/>
    <w:rsid w:val="00DD7B34"/>
    <w:rsid w:val="00DF7D2D"/>
    <w:rsid w:val="00E05531"/>
    <w:rsid w:val="00E07855"/>
    <w:rsid w:val="00E07F97"/>
    <w:rsid w:val="00E13AF9"/>
    <w:rsid w:val="00E21E02"/>
    <w:rsid w:val="00E471C2"/>
    <w:rsid w:val="00E477FF"/>
    <w:rsid w:val="00E47962"/>
    <w:rsid w:val="00E61038"/>
    <w:rsid w:val="00E64663"/>
    <w:rsid w:val="00E70AA0"/>
    <w:rsid w:val="00E831AF"/>
    <w:rsid w:val="00E84242"/>
    <w:rsid w:val="00E87B35"/>
    <w:rsid w:val="00EA1E86"/>
    <w:rsid w:val="00EA46DB"/>
    <w:rsid w:val="00EB0EB3"/>
    <w:rsid w:val="00EB335D"/>
    <w:rsid w:val="00EB565E"/>
    <w:rsid w:val="00EC4DC8"/>
    <w:rsid w:val="00ED5019"/>
    <w:rsid w:val="00ED7BE0"/>
    <w:rsid w:val="00EE1579"/>
    <w:rsid w:val="00EF58F0"/>
    <w:rsid w:val="00F01165"/>
    <w:rsid w:val="00F04209"/>
    <w:rsid w:val="00F04EFB"/>
    <w:rsid w:val="00F0579F"/>
    <w:rsid w:val="00F071EC"/>
    <w:rsid w:val="00F124B6"/>
    <w:rsid w:val="00F13885"/>
    <w:rsid w:val="00F206EC"/>
    <w:rsid w:val="00F21DB5"/>
    <w:rsid w:val="00F2332C"/>
    <w:rsid w:val="00F47792"/>
    <w:rsid w:val="00F500C2"/>
    <w:rsid w:val="00F56B59"/>
    <w:rsid w:val="00F67AF7"/>
    <w:rsid w:val="00F7070A"/>
    <w:rsid w:val="00F7641F"/>
    <w:rsid w:val="00F85F64"/>
    <w:rsid w:val="00F86728"/>
    <w:rsid w:val="00F96AD4"/>
    <w:rsid w:val="00FA246B"/>
    <w:rsid w:val="00FA45AA"/>
    <w:rsid w:val="00FB0B16"/>
    <w:rsid w:val="00FB2E51"/>
    <w:rsid w:val="00FB3F67"/>
    <w:rsid w:val="00FB44B1"/>
    <w:rsid w:val="00FC2E2D"/>
    <w:rsid w:val="00FC3A7C"/>
    <w:rsid w:val="00FC3C0B"/>
    <w:rsid w:val="00FC6BE0"/>
    <w:rsid w:val="00FD0971"/>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Normal"/>
    <w:qFormat/>
    <w:rsid w:val="008F4548"/>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iPriority w:val="99"/>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3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customStyle="1" w:styleId="Ninguno">
    <w:name w:val="Ninguno"/>
    <w:rsid w:val="008F4548"/>
  </w:style>
  <w:style w:type="paragraph" w:customStyle="1" w:styleId="CuerpoA">
    <w:name w:val="Cuerpo A"/>
    <w:rsid w:val="008F4548"/>
    <w:pPr>
      <w:pBdr>
        <w:top w:val="nil"/>
        <w:left w:val="nil"/>
        <w:bottom w:val="nil"/>
        <w:right w:val="nil"/>
        <w:between w:val="nil"/>
        <w:bar w:val="nil"/>
      </w:pBdr>
      <w:spacing w:line="288" w:lineRule="auto"/>
      <w:jc w:val="both"/>
    </w:pPr>
    <w:rPr>
      <w:rFonts w:ascii="Helvetica Neue" w:eastAsia="Arial Unicode MS" w:hAnsi="Helvetica Neue" w:cs="Arial Unicode MS"/>
      <w:color w:val="000000"/>
      <w:u w:color="000000"/>
      <w:bdr w:val="nil"/>
      <w:lang w:val="es-ES_tradnl" w:eastAsia="es-CR"/>
    </w:rPr>
  </w:style>
  <w:style w:type="paragraph" w:customStyle="1" w:styleId="Cuerpo">
    <w:name w:val="Cuerpo"/>
    <w:rsid w:val="008F4548"/>
    <w:pPr>
      <w:pBdr>
        <w:top w:val="nil"/>
        <w:left w:val="nil"/>
        <w:bottom w:val="nil"/>
        <w:right w:val="nil"/>
        <w:between w:val="nil"/>
        <w:bar w:val="nil"/>
      </w:pBdr>
      <w:spacing w:line="240" w:lineRule="auto"/>
    </w:pPr>
    <w:rPr>
      <w:rFonts w:ascii="Times New Roman" w:eastAsia="Times New Roman" w:hAnsi="Times New Roman" w:cs="Times New Roman"/>
      <w:color w:val="000000"/>
      <w:sz w:val="24"/>
      <w:szCs w:val="24"/>
      <w:u w:color="000000"/>
      <w:bdr w:val="nil"/>
      <w:lang w:val="es-CR" w:eastAsia="es-CR"/>
    </w:rPr>
  </w:style>
  <w:style w:type="numbering" w:customStyle="1" w:styleId="Nmero">
    <w:name w:val="Número"/>
    <w:rsid w:val="008F4548"/>
    <w:pPr>
      <w:numPr>
        <w:numId w:val="17"/>
      </w:numPr>
    </w:pPr>
  </w:style>
  <w:style w:type="character" w:customStyle="1" w:styleId="Hyperlink3">
    <w:name w:val="Hyperlink.3"/>
    <w:basedOn w:val="Ninguno"/>
    <w:rsid w:val="008F4548"/>
    <w:rPr>
      <w:color w:val="1A57AA"/>
    </w:rPr>
  </w:style>
  <w:style w:type="character" w:customStyle="1" w:styleId="None">
    <w:name w:val="None"/>
    <w:rsid w:val="009D19A5"/>
    <w:rPr>
      <w:lang w:val="it-IT"/>
    </w:rPr>
  </w:style>
  <w:style w:type="numbering" w:customStyle="1" w:styleId="ImportedStyle1">
    <w:name w:val="Imported Style 1"/>
    <w:rsid w:val="009D19A5"/>
    <w:pPr>
      <w:numPr>
        <w:numId w:val="21"/>
      </w:numPr>
    </w:pPr>
  </w:style>
  <w:style w:type="character" w:customStyle="1" w:styleId="identifier">
    <w:name w:val="identifier"/>
    <w:basedOn w:val="Fuentedeprrafopredeter"/>
    <w:rsid w:val="00BA2F35"/>
  </w:style>
  <w:style w:type="character" w:customStyle="1" w:styleId="id-label">
    <w:name w:val="id-label"/>
    <w:basedOn w:val="Fuentedeprrafopredeter"/>
    <w:rsid w:val="00BA2F35"/>
  </w:style>
  <w:style w:type="character" w:styleId="Mencinsinresolver">
    <w:name w:val="Unresolved Mention"/>
    <w:basedOn w:val="Fuentedeprrafopredeter"/>
    <w:uiPriority w:val="99"/>
    <w:semiHidden/>
    <w:unhideWhenUsed/>
    <w:rsid w:val="00EB5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hyperlink" Target="http://www.revhabanera.sld.cu/index.php/rhab/article/view/3254/2505"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mailto:revistamedicasinergia@gmail.com" TargetMode="External"/><Relationship Id="rId17" Type="http://schemas.openxmlformats.org/officeDocument/2006/relationships/footer" Target="footer1.xml"/><Relationship Id="rId25" Type="http://schemas.openxmlformats.org/officeDocument/2006/relationships/hyperlink" Target="https://www.unicef.org/honduras/comunicados-prensa/la-secretar%C3%ADa-de-salud-confirma-los-dos-primeros-casos-de-covid-19-en-e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https://orcid.org/0009-0006-0670-1635" TargetMode="External"/><Relationship Id="rId23" Type="http://schemas.openxmlformats.org/officeDocument/2006/relationships/image" Target="media/image7.emf"/><Relationship Id="rId28" Type="http://schemas.openxmlformats.org/officeDocument/2006/relationships/hyperlink" Target="https://www.salud.gob.hn/site/index.php/component/k2/item/2447-honduras-ha-aplicado-mas-de-siete-millones-de-vacunas-contra-el-covid-19" TargetMode="External"/><Relationship Id="rId10" Type="http://schemas.openxmlformats.org/officeDocument/2006/relationships/hyperlink" Target="https://doi.org/10.31434/rms.v9i4.1139"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orcid.org/xxxxxxxxxxxxx" TargetMode="External"/><Relationship Id="rId22" Type="http://schemas.openxmlformats.org/officeDocument/2006/relationships/chart" Target="charts/chart4.xml"/><Relationship Id="rId27" Type="http://schemas.openxmlformats.org/officeDocument/2006/relationships/hyperlink" Target="https://www.unicef.org/honduras/comunicados-prensa/la-secretar%C3%ADa-de-salud-confirma-los-dos-primeros-casos-de-covid-19-en-e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Gr&#225;fico%202%20en%20Microsoft%20Word"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Gr&#225;fico%202%20en%20Microsoft%20Word" TargetMode="Externa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a:t>Principales departamentos afectados de Copán</a:t>
            </a:r>
          </a:p>
        </c:rich>
      </c:tx>
      <c:layout>
        <c:manualLayout>
          <c:xMode val="edge"/>
          <c:yMode val="edge"/>
          <c:x val="0.192534198933457"/>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CA-4D48-8703-26A6A276B4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CA-4D48-8703-26A6A276B4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CA-4D48-8703-26A6A276B4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6CA-4D48-8703-26A6A276B4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6CA-4D48-8703-26A6A276B42C}"/>
              </c:ext>
            </c:extLst>
          </c:dPt>
          <c:dLbls>
            <c:dLbl>
              <c:idx val="2"/>
              <c:layout>
                <c:manualLayout>
                  <c:x val="-0.14678587051618547"/>
                  <c:y val="0.4930311315252259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6CA-4D48-8703-26A6A276B42C}"/>
                </c:ext>
              </c:extLst>
            </c:dLbl>
            <c:dLbl>
              <c:idx val="3"/>
              <c:layout>
                <c:manualLayout>
                  <c:x val="-0.26037357830271218"/>
                  <c:y val="0.2981477836103820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6CA-4D48-8703-26A6A276B42C}"/>
                </c:ext>
              </c:extLst>
            </c:dLbl>
            <c:dLbl>
              <c:idx val="4"/>
              <c:layout>
                <c:manualLayout>
                  <c:x val="0.23095166229221348"/>
                  <c:y val="0.121581729367162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6CA-4D48-8703-26A6A276B42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'[Gráfico en Microsoft Word]Hoja1'!$A$2:$A$6</c:f>
              <c:strCache>
                <c:ptCount val="5"/>
                <c:pt idx="0">
                  <c:v>Santa Rosa De Copán</c:v>
                </c:pt>
                <c:pt idx="1">
                  <c:v>Nueva Arcadia</c:v>
                </c:pt>
                <c:pt idx="2">
                  <c:v>Copán Ruinas</c:v>
                </c:pt>
                <c:pt idx="3">
                  <c:v>La Unión</c:v>
                </c:pt>
                <c:pt idx="4">
                  <c:v>San Jerónimo</c:v>
                </c:pt>
              </c:strCache>
            </c:strRef>
          </c:cat>
          <c:val>
            <c:numRef>
              <c:f>'[Gráfico en Microsoft Word]Hoja1'!$B$2:$B$6</c:f>
              <c:numCache>
                <c:formatCode>General</c:formatCode>
                <c:ptCount val="5"/>
                <c:pt idx="0">
                  <c:v>3819</c:v>
                </c:pt>
                <c:pt idx="1">
                  <c:v>1398</c:v>
                </c:pt>
                <c:pt idx="2">
                  <c:v>482</c:v>
                </c:pt>
                <c:pt idx="3">
                  <c:v>350</c:v>
                </c:pt>
                <c:pt idx="4">
                  <c:v>25</c:v>
                </c:pt>
              </c:numCache>
            </c:numRef>
          </c:val>
          <c:extLst>
            <c:ext xmlns:c16="http://schemas.microsoft.com/office/drawing/2014/chart" uri="{C3380CC4-5D6E-409C-BE32-E72D297353CC}">
              <c16:uniqueId val="{0000000A-E6CA-4D48-8703-26A6A276B42C}"/>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C-E6CA-4D48-8703-26A6A276B4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E6CA-4D48-8703-26A6A276B4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E6CA-4D48-8703-26A6A276B4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E6CA-4D48-8703-26A6A276B4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E6CA-4D48-8703-26A6A276B42C}"/>
              </c:ext>
            </c:extLst>
          </c:dPt>
          <c:dLbls>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'[Gráfico en Microsoft Word]Hoja1'!$A$2:$A$6</c:f>
              <c:strCache>
                <c:ptCount val="5"/>
                <c:pt idx="0">
                  <c:v>Santa Rosa De Copán</c:v>
                </c:pt>
                <c:pt idx="1">
                  <c:v>Nueva Arcadia</c:v>
                </c:pt>
                <c:pt idx="2">
                  <c:v>Copán Ruinas</c:v>
                </c:pt>
                <c:pt idx="3">
                  <c:v>La Unión</c:v>
                </c:pt>
                <c:pt idx="4">
                  <c:v>San Jerónimo</c:v>
                </c:pt>
              </c:strCache>
            </c:strRef>
          </c:cat>
          <c:val>
            <c:numRef>
              <c:f>'[Gráfico en Microsoft Word]Hoja1'!$C$2:$C$6</c:f>
              <c:numCache>
                <c:formatCode>General</c:formatCode>
                <c:ptCount val="5"/>
                <c:pt idx="0">
                  <c:v>45.56</c:v>
                </c:pt>
                <c:pt idx="1">
                  <c:v>16.68</c:v>
                </c:pt>
                <c:pt idx="2">
                  <c:v>5.75</c:v>
                </c:pt>
                <c:pt idx="3">
                  <c:v>4.18</c:v>
                </c:pt>
                <c:pt idx="4">
                  <c:v>0.3</c:v>
                </c:pt>
              </c:numCache>
            </c:numRef>
          </c:val>
          <c:extLst>
            <c:ext xmlns:c16="http://schemas.microsoft.com/office/drawing/2014/chart" uri="{C3380CC4-5D6E-409C-BE32-E72D297353CC}">
              <c16:uniqueId val="{00000015-E6CA-4D48-8703-26A6A276B42C}"/>
            </c:ext>
          </c:extLst>
        </c:ser>
        <c:dLbls>
          <c:dLblPos val="bestFit"/>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a:t>Casos</a:t>
            </a:r>
            <a:r>
              <a:rPr lang="es-HN" baseline="0"/>
              <a:t> positivos de la Región Metropolitana</a:t>
            </a:r>
            <a:endParaRPr lang="es-HN"/>
          </a:p>
        </c:rich>
      </c:tx>
      <c:layout>
        <c:manualLayout>
          <c:xMode val="edge"/>
          <c:yMode val="edge"/>
          <c:x val="0.2274347952882701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BFF-4E33-A7A7-E5715F2EDBD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BFF-4E33-A7A7-E5715F2EDBD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BFF-4E33-A7A7-E5715F2EDBD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BFF-4E33-A7A7-E5715F2EDBD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BFF-4E33-A7A7-E5715F2EDBDF}"/>
              </c:ext>
            </c:extLst>
          </c:dPt>
          <c:dLbls>
            <c:dLbl>
              <c:idx val="3"/>
              <c:layout>
                <c:manualLayout>
                  <c:x val="-0.19722222222222224"/>
                  <c:y val="3.240740740740740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BFF-4E33-A7A7-E5715F2EDBDF}"/>
                </c:ext>
              </c:extLst>
            </c:dLbl>
            <c:dLbl>
              <c:idx val="4"/>
              <c:layout>
                <c:manualLayout>
                  <c:x val="0.24166666666666656"/>
                  <c:y val="7.870370370370367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BFF-4E33-A7A7-E5715F2EDBD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'[Gráfico 2 en Microsoft Word]Hoja1'!$A$2:$A$6</c:f>
              <c:strCache>
                <c:ptCount val="5"/>
                <c:pt idx="0">
                  <c:v>MPB</c:v>
                </c:pt>
                <c:pt idx="1">
                  <c:v>LAS PALMAS</c:v>
                </c:pt>
                <c:pt idx="2">
                  <c:v>FESITRANH</c:v>
                </c:pt>
                <c:pt idx="3">
                  <c:v>CALPULES</c:v>
                </c:pt>
                <c:pt idx="4">
                  <c:v>TOMALA</c:v>
                </c:pt>
              </c:strCache>
            </c:strRef>
          </c:cat>
          <c:val>
            <c:numRef>
              <c:f>'[Gráfico 2 en Microsoft Word]Hoja1'!$B$2:$B$6</c:f>
              <c:numCache>
                <c:formatCode>General</c:formatCode>
                <c:ptCount val="5"/>
                <c:pt idx="0">
                  <c:v>8205</c:v>
                </c:pt>
                <c:pt idx="1">
                  <c:v>2222</c:v>
                </c:pt>
                <c:pt idx="2">
                  <c:v>2202</c:v>
                </c:pt>
                <c:pt idx="3">
                  <c:v>1506</c:v>
                </c:pt>
                <c:pt idx="4">
                  <c:v>1</c:v>
                </c:pt>
              </c:numCache>
            </c:numRef>
          </c:val>
          <c:extLst>
            <c:ext xmlns:c16="http://schemas.microsoft.com/office/drawing/2014/chart" uri="{C3380CC4-5D6E-409C-BE32-E72D297353CC}">
              <c16:uniqueId val="{0000000A-1BFF-4E33-A7A7-E5715F2EDBDF}"/>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C-1BFF-4E33-A7A7-E5715F2EDBD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1BFF-4E33-A7A7-E5715F2EDBD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1BFF-4E33-A7A7-E5715F2EDBD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1BFF-4E33-A7A7-E5715F2EDBD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1BFF-4E33-A7A7-E5715F2EDBD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'[Gráfico 2 en Microsoft Word]Hoja1'!$A$2:$A$6</c:f>
              <c:strCache>
                <c:ptCount val="5"/>
                <c:pt idx="0">
                  <c:v>MPB</c:v>
                </c:pt>
                <c:pt idx="1">
                  <c:v>LAS PALMAS</c:v>
                </c:pt>
                <c:pt idx="2">
                  <c:v>FESITRANH</c:v>
                </c:pt>
                <c:pt idx="3">
                  <c:v>CALPULES</c:v>
                </c:pt>
                <c:pt idx="4">
                  <c:v>TOMALA</c:v>
                </c:pt>
              </c:strCache>
            </c:strRef>
          </c:cat>
          <c:val>
            <c:numRef>
              <c:f>'[Gráfico 2 en Microsoft Word]Hoja1'!$C$2:$C$6</c:f>
              <c:numCache>
                <c:formatCode>General</c:formatCode>
                <c:ptCount val="5"/>
                <c:pt idx="0">
                  <c:v>38.54</c:v>
                </c:pt>
                <c:pt idx="1">
                  <c:v>10.44</c:v>
                </c:pt>
                <c:pt idx="2">
                  <c:v>10.34</c:v>
                </c:pt>
                <c:pt idx="3">
                  <c:v>7.07</c:v>
                </c:pt>
                <c:pt idx="4">
                  <c:v>1E-3</c:v>
                </c:pt>
              </c:numCache>
            </c:numRef>
          </c:val>
          <c:extLst>
            <c:ext xmlns:c16="http://schemas.microsoft.com/office/drawing/2014/chart" uri="{C3380CC4-5D6E-409C-BE32-E72D297353CC}">
              <c16:uniqueId val="{00000015-1BFF-4E33-A7A7-E5715F2EDBDF}"/>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HN"/>
              <a:t>Porcentaje</a:t>
            </a:r>
            <a:r>
              <a:rPr lang="es-HN" baseline="0"/>
              <a:t> de fallecimiento por institución hospitalaria</a:t>
            </a:r>
            <a:endParaRPr lang="es-HN"/>
          </a:p>
        </c:rich>
      </c:tx>
      <c:layout>
        <c:manualLayout>
          <c:xMode val="edge"/>
          <c:yMode val="edge"/>
          <c:x val="0.10106063354983853"/>
          <c:y val="3.319921059825185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34F-4571-B512-679005CA79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34F-4571-B512-679005CA79E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34F-4571-B512-679005CA79E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34F-4571-B512-679005CA79E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34F-4571-B512-679005CA79E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34F-4571-B512-679005CA79E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34F-4571-B512-679005CA79E1}"/>
              </c:ext>
            </c:extLst>
          </c:dPt>
          <c:dLbls>
            <c:dLbl>
              <c:idx val="2"/>
              <c:layout>
                <c:manualLayout>
                  <c:x val="-0.19666372199551371"/>
                  <c:y val="0.385434105660185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34F-4571-B512-679005CA79E1}"/>
                </c:ext>
              </c:extLst>
            </c:dLbl>
            <c:dLbl>
              <c:idx val="3"/>
              <c:layout>
                <c:manualLayout>
                  <c:x val="-0.24582965249439215"/>
                  <c:y val="3.5854335410249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34F-4571-B512-679005CA79E1}"/>
                </c:ext>
              </c:extLst>
            </c:dLbl>
            <c:dLbl>
              <c:idx val="4"/>
              <c:layout>
                <c:manualLayout>
                  <c:x val="0.35118521784913159"/>
                  <c:y val="0.1837534689775303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34F-4571-B512-679005CA79E1}"/>
                </c:ext>
              </c:extLst>
            </c:dLbl>
            <c:dLbl>
              <c:idx val="5"/>
              <c:layout>
                <c:manualLayout>
                  <c:x val="-0.28797187863628793"/>
                  <c:y val="0.1882352609038115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34F-4571-B512-679005CA79E1}"/>
                </c:ext>
              </c:extLst>
            </c:dLbl>
            <c:dLbl>
              <c:idx val="6"/>
              <c:layout>
                <c:manualLayout>
                  <c:x val="0.3277728699925227"/>
                  <c:y val="4.481791926281225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34F-4571-B512-679005CA79E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'[Gráfico 2 en Microsoft Word]Hoja1'!$A$2:$A$8</c:f>
              <c:strCache>
                <c:ptCount val="7"/>
                <c:pt idx="0">
                  <c:v>HLMV</c:v>
                </c:pt>
                <c:pt idx="1">
                  <c:v>HMCR</c:v>
                </c:pt>
                <c:pt idx="2">
                  <c:v>IHSS-SPS</c:v>
                </c:pt>
                <c:pt idx="3">
                  <c:v>TRIAJE INFOP</c:v>
                </c:pt>
                <c:pt idx="4">
                  <c:v>CEMESA</c:v>
                </c:pt>
                <c:pt idx="5">
                  <c:v>HOSPITAL BELDAÑA</c:v>
                </c:pt>
                <c:pt idx="6">
                  <c:v>HOSPITAL MARIA</c:v>
                </c:pt>
              </c:strCache>
            </c:strRef>
          </c:cat>
          <c:val>
            <c:numRef>
              <c:f>'[Gráfico 2 en Microsoft Word]Hoja1'!$B$2:$B$8</c:f>
              <c:numCache>
                <c:formatCode>General</c:formatCode>
                <c:ptCount val="7"/>
                <c:pt idx="0">
                  <c:v>332</c:v>
                </c:pt>
                <c:pt idx="1">
                  <c:v>329</c:v>
                </c:pt>
                <c:pt idx="2">
                  <c:v>96</c:v>
                </c:pt>
                <c:pt idx="3">
                  <c:v>12</c:v>
                </c:pt>
                <c:pt idx="4">
                  <c:v>5</c:v>
                </c:pt>
                <c:pt idx="5">
                  <c:v>2</c:v>
                </c:pt>
                <c:pt idx="6">
                  <c:v>2</c:v>
                </c:pt>
              </c:numCache>
            </c:numRef>
          </c:val>
          <c:extLst>
            <c:ext xmlns:c16="http://schemas.microsoft.com/office/drawing/2014/chart" uri="{C3380CC4-5D6E-409C-BE32-E72D297353CC}">
              <c16:uniqueId val="{0000000E-E34F-4571-B512-679005CA79E1}"/>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0-E34F-4571-B512-679005CA79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2-E34F-4571-B512-679005CA79E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4-E34F-4571-B512-679005CA79E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6-E34F-4571-B512-679005CA79E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8-E34F-4571-B512-679005CA79E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A-E34F-4571-B512-679005CA79E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C-E34F-4571-B512-679005CA79E1}"/>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'[Gráfico 2 en Microsoft Word]Hoja1'!$A$2:$A$8</c:f>
              <c:strCache>
                <c:ptCount val="7"/>
                <c:pt idx="0">
                  <c:v>HLMV</c:v>
                </c:pt>
                <c:pt idx="1">
                  <c:v>HMCR</c:v>
                </c:pt>
                <c:pt idx="2">
                  <c:v>IHSS-SPS</c:v>
                </c:pt>
                <c:pt idx="3">
                  <c:v>TRIAJE INFOP</c:v>
                </c:pt>
                <c:pt idx="4">
                  <c:v>CEMESA</c:v>
                </c:pt>
                <c:pt idx="5">
                  <c:v>HOSPITAL BELDAÑA</c:v>
                </c:pt>
                <c:pt idx="6">
                  <c:v>HOSPITAL MARIA</c:v>
                </c:pt>
              </c:strCache>
            </c:strRef>
          </c:cat>
          <c:val>
            <c:numRef>
              <c:f>'[Gráfico 2 en Microsoft Word]Hoja1'!$C$2:$C$8</c:f>
              <c:numCache>
                <c:formatCode>General</c:formatCode>
                <c:ptCount val="7"/>
                <c:pt idx="0">
                  <c:v>42.67</c:v>
                </c:pt>
                <c:pt idx="1">
                  <c:v>42.29</c:v>
                </c:pt>
                <c:pt idx="2">
                  <c:v>12.34</c:v>
                </c:pt>
                <c:pt idx="3">
                  <c:v>1.54</c:v>
                </c:pt>
                <c:pt idx="4">
                  <c:v>0.64</c:v>
                </c:pt>
                <c:pt idx="5">
                  <c:v>0.26</c:v>
                </c:pt>
                <c:pt idx="6">
                  <c:v>0.26</c:v>
                </c:pt>
              </c:numCache>
            </c:numRef>
          </c:val>
          <c:extLst>
            <c:ext xmlns:c16="http://schemas.microsoft.com/office/drawing/2014/chart" uri="{C3380CC4-5D6E-409C-BE32-E72D297353CC}">
              <c16:uniqueId val="{0000001D-E34F-4571-B512-679005CA79E1}"/>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Mortalidad en otros hospitales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pieChart>
        <c:varyColors val="1"/>
        <c:ser>
          <c:idx val="0"/>
          <c:order val="0"/>
          <c:tx>
            <c:strRef>
              <c:f>Hoja1!$B$1</c:f>
              <c:strCache>
                <c:ptCount val="1"/>
                <c:pt idx="0">
                  <c:v>Mortalidad en Otros Hospitales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59-413E-8842-B3C1BE06D9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59-413E-8842-B3C1BE06D98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559-413E-8842-B3C1BE06D98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559-413E-8842-B3C1BE06D98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559-413E-8842-B3C1BE06D980}"/>
              </c:ext>
            </c:extLst>
          </c:dPt>
          <c:dLbls>
            <c:dLbl>
              <c:idx val="0"/>
              <c:layout>
                <c:manualLayout>
                  <c:x val="9.8573281452658881E-2"/>
                  <c:y val="9.07029478458050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559-413E-8842-B3C1BE06D980}"/>
                </c:ext>
              </c:extLst>
            </c:dLbl>
            <c:dLbl>
              <c:idx val="1"/>
              <c:layout>
                <c:manualLayout>
                  <c:x val="6.4850843060959798E-2"/>
                  <c:y val="-0.1541950113378684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559-413E-8842-B3C1BE06D980}"/>
                </c:ext>
              </c:extLst>
            </c:dLbl>
            <c:dLbl>
              <c:idx val="2"/>
              <c:layout>
                <c:manualLayout>
                  <c:x val="-1.0376134889753566E-2"/>
                  <c:y val="-5.442176870748299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559-413E-8842-B3C1BE06D980}"/>
                </c:ext>
              </c:extLst>
            </c:dLbl>
            <c:dLbl>
              <c:idx val="3"/>
              <c:layout>
                <c:manualLayout>
                  <c:x val="-0.15304798962386512"/>
                  <c:y val="0.263038548752834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559-413E-8842-B3C1BE06D980}"/>
                </c:ext>
              </c:extLst>
            </c:dLbl>
            <c:dLbl>
              <c:idx val="4"/>
              <c:layout>
                <c:manualLayout>
                  <c:x val="-0.15045395590142671"/>
                  <c:y val="0.158730158730158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559-413E-8842-B3C1BE06D98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Hoja1!$A$2:$A$6</c:f>
              <c:strCache>
                <c:ptCount val="5"/>
                <c:pt idx="0">
                  <c:v>HOSPITAL MARIA (TGU)</c:v>
                </c:pt>
                <c:pt idx="1">
                  <c:v>HRO Hospital Regional Occidente (SRC)</c:v>
                </c:pt>
                <c:pt idx="2">
                  <c:v>HSBI Hospital Santa Bárbara Integrado (SB)</c:v>
                </c:pt>
                <c:pt idx="3">
                  <c:v>HEU Hospital Escuela Universitario(TGU)</c:v>
                </c:pt>
                <c:pt idx="4">
                  <c:v>Hospital Progreso (PROGRESO,YORO)</c:v>
                </c:pt>
              </c:strCache>
            </c:strRef>
          </c:cat>
          <c:val>
            <c:numRef>
              <c:f>Hoja1!$B$2:$B$6</c:f>
              <c:numCache>
                <c:formatCode>General</c:formatCode>
                <c:ptCount val="5"/>
                <c:pt idx="0">
                  <c:v>2</c:v>
                </c:pt>
                <c:pt idx="1">
                  <c:v>2</c:v>
                </c:pt>
                <c:pt idx="2">
                  <c:v>2</c:v>
                </c:pt>
                <c:pt idx="3">
                  <c:v>1</c:v>
                </c:pt>
                <c:pt idx="4">
                  <c:v>1</c:v>
                </c:pt>
              </c:numCache>
            </c:numRef>
          </c:val>
          <c:extLst>
            <c:ext xmlns:c16="http://schemas.microsoft.com/office/drawing/2014/chart" uri="{C3380CC4-5D6E-409C-BE32-E72D297353CC}">
              <c16:uniqueId val="{0000000A-6559-413E-8842-B3C1BE06D980}"/>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noFill/>
      <a:round/>
    </a:ln>
    <a:effectLst/>
  </c:spPr>
  <c:txPr>
    <a:bodyPr/>
    <a:lstStyle/>
    <a:p>
      <a:pPr>
        <a:defRPr/>
      </a:pPr>
      <a:endParaRPr lang="es-C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pieChart>
        <c:varyColors val="1"/>
        <c:ser>
          <c:idx val="0"/>
          <c:order val="0"/>
          <c:tx>
            <c:strRef>
              <c:f>Hoja1!$B$1</c:f>
              <c:strCache>
                <c:ptCount val="1"/>
                <c:pt idx="0">
                  <c:v>Total de casos reportados en 2020-2021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E46-4E8F-A963-31719524D0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E46-4E8F-A963-31719524D07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numRef>
              <c:f>Hoja1!$A$2:$A$3</c:f>
              <c:numCache>
                <c:formatCode>General</c:formatCode>
                <c:ptCount val="2"/>
                <c:pt idx="0">
                  <c:v>2020</c:v>
                </c:pt>
                <c:pt idx="1">
                  <c:v>2021</c:v>
                </c:pt>
              </c:numCache>
            </c:numRef>
          </c:cat>
          <c:val>
            <c:numRef>
              <c:f>Hoja1!$B$2:$B$3</c:f>
              <c:numCache>
                <c:formatCode>General</c:formatCode>
                <c:ptCount val="2"/>
                <c:pt idx="0">
                  <c:v>3174</c:v>
                </c:pt>
                <c:pt idx="1">
                  <c:v>5209</c:v>
                </c:pt>
              </c:numCache>
            </c:numRef>
          </c:val>
          <c:extLst>
            <c:ext xmlns:c16="http://schemas.microsoft.com/office/drawing/2014/chart" uri="{C3380CC4-5D6E-409C-BE32-E72D297353CC}">
              <c16:uniqueId val="{00000004-4E46-4E8F-A963-31719524D07A}"/>
            </c:ext>
          </c:extLst>
        </c:ser>
        <c:ser>
          <c:idx val="1"/>
          <c:order val="1"/>
          <c:tx>
            <c:strRef>
              <c:f>Hoja1!$C$1</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4E46-4E8F-A963-31719524D0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4E46-4E8F-A963-31719524D07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numRef>
              <c:f>Hoja1!$A$2:$A$3</c:f>
              <c:numCache>
                <c:formatCode>General</c:formatCode>
                <c:ptCount val="2"/>
                <c:pt idx="0">
                  <c:v>2020</c:v>
                </c:pt>
                <c:pt idx="1">
                  <c:v>2021</c:v>
                </c:pt>
              </c:numCache>
            </c:numRef>
          </c:cat>
          <c:val>
            <c:numRef>
              <c:f>Hoja1!$C$2:$C$3</c:f>
              <c:numCache>
                <c:formatCode>0%</c:formatCode>
                <c:ptCount val="2"/>
                <c:pt idx="0">
                  <c:v>0.39</c:v>
                </c:pt>
                <c:pt idx="1">
                  <c:v>0.61</c:v>
                </c:pt>
              </c:numCache>
            </c:numRef>
          </c:val>
          <c:extLst>
            <c:ext xmlns:c16="http://schemas.microsoft.com/office/drawing/2014/chart" uri="{C3380CC4-5D6E-409C-BE32-E72D297353CC}">
              <c16:uniqueId val="{00000009-4E46-4E8F-A963-31719524D07A}"/>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no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5CCA8-4AA0-4156-82A6-6B7B345C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2159</TotalTime>
  <Pages>12</Pages>
  <Words>3782</Words>
  <Characters>20803</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73</cp:revision>
  <cp:lastPrinted>2022-03-10T18:06:00Z</cp:lastPrinted>
  <dcterms:created xsi:type="dcterms:W3CDTF">2022-04-25T01:39:00Z</dcterms:created>
  <dcterms:modified xsi:type="dcterms:W3CDTF">2024-04-03T02:48:00Z</dcterms:modified>
</cp:coreProperties>
</file>