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79"/>
        <w:gridCol w:w="714"/>
        <w:gridCol w:w="1165"/>
        <w:gridCol w:w="1152"/>
        <w:gridCol w:w="1189"/>
        <w:gridCol w:w="606"/>
        <w:gridCol w:w="2848"/>
      </w:tblGrid>
      <w:tr w:rsidR="005860BC" w:rsidRPr="002A3A62" w14:paraId="25C20707" w14:textId="77777777" w:rsidTr="00221512">
        <w:trPr>
          <w:trHeight w:val="247"/>
          <w:jc w:val="center"/>
        </w:trPr>
        <w:tc>
          <w:tcPr>
            <w:tcW w:w="1781" w:type="dxa"/>
            <w:vMerge w:val="restart"/>
          </w:tcPr>
          <w:p w14:paraId="1E8BB467" w14:textId="77777777" w:rsidR="005860BC" w:rsidRDefault="005860BC" w:rsidP="003757A9">
            <w:pPr>
              <w:jc w:val="right"/>
              <w:rPr>
                <w:rFonts w:ascii="Arial" w:eastAsia="Arial" w:hAnsi="Arial" w:cs="Arial"/>
                <w:color w:val="000000"/>
                <w:sz w:val="16"/>
                <w:szCs w:val="16"/>
              </w:rPr>
            </w:pPr>
            <w:r w:rsidRPr="009132A2">
              <w:rPr>
                <w:rFonts w:ascii="Yu Gothic Light" w:eastAsia="Yu Gothic Light" w:hAnsi="Yu Gothic Light"/>
                <w:b/>
                <w:noProof/>
                <w:color w:val="002060"/>
                <w:sz w:val="36"/>
                <w:szCs w:val="72"/>
                <w:lang w:val="es-CR" w:eastAsia="es-CR"/>
              </w:rPr>
              <w:drawing>
                <wp:anchor distT="0" distB="0" distL="114300" distR="114300" simplePos="0" relativeHeight="251661312" behindDoc="0" locked="0" layoutInCell="1" allowOverlap="1" wp14:anchorId="44F3EFE8" wp14:editId="5D477B62">
                  <wp:simplePos x="0" y="0"/>
                  <wp:positionH relativeFrom="column">
                    <wp:posOffset>77470</wp:posOffset>
                  </wp:positionH>
                  <wp:positionV relativeFrom="paragraph">
                    <wp:posOffset>830</wp:posOffset>
                  </wp:positionV>
                  <wp:extent cx="609600" cy="586105"/>
                  <wp:effectExtent l="0" t="0" r="0" b="4445"/>
                  <wp:wrapNone/>
                  <wp:docPr id="10"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9600" cy="586105"/>
                          </a:xfrm>
                          <a:prstGeom prst="rect">
                            <a:avLst/>
                          </a:prstGeom>
                          <a:noFill/>
                        </pic:spPr>
                      </pic:pic>
                    </a:graphicData>
                  </a:graphic>
                  <wp14:sizeRelH relativeFrom="page">
                    <wp14:pctWidth>0</wp14:pctWidth>
                  </wp14:sizeRelH>
                  <wp14:sizeRelV relativeFrom="page">
                    <wp14:pctHeight>0</wp14:pctHeight>
                  </wp14:sizeRelV>
                </wp:anchor>
              </w:drawing>
            </w:r>
          </w:p>
          <w:p w14:paraId="7094A71C" w14:textId="77777777" w:rsidR="005860BC" w:rsidRDefault="005860BC" w:rsidP="003757A9">
            <w:pPr>
              <w:jc w:val="right"/>
              <w:rPr>
                <w:rFonts w:ascii="Arial" w:hAnsi="Arial" w:cs="Arial"/>
                <w:b/>
                <w:sz w:val="24"/>
                <w:szCs w:val="28"/>
              </w:rPr>
            </w:pPr>
          </w:p>
        </w:tc>
        <w:tc>
          <w:tcPr>
            <w:tcW w:w="3020" w:type="dxa"/>
            <w:gridSpan w:val="3"/>
            <w:vMerge w:val="restart"/>
            <w:vAlign w:val="center"/>
          </w:tcPr>
          <w:p w14:paraId="11DBD942" w14:textId="77777777" w:rsidR="005860BC" w:rsidRPr="004E5DEB" w:rsidRDefault="005860BC" w:rsidP="003757A9">
            <w:pPr>
              <w:spacing w:line="276" w:lineRule="auto"/>
              <w:jc w:val="center"/>
              <w:rPr>
                <w:rFonts w:ascii="Arial" w:eastAsia="Arial" w:hAnsi="Arial" w:cs="Arial"/>
                <w:color w:val="000000"/>
                <w:sz w:val="17"/>
                <w:szCs w:val="17"/>
              </w:rPr>
            </w:pPr>
            <w:r w:rsidRPr="004E5DEB">
              <w:rPr>
                <w:rFonts w:ascii="Arial" w:eastAsia="Arial" w:hAnsi="Arial" w:cs="Arial"/>
                <w:color w:val="000000"/>
                <w:sz w:val="17"/>
                <w:szCs w:val="17"/>
              </w:rPr>
              <w:t>Revista Médica Sinergia</w:t>
            </w:r>
          </w:p>
          <w:p w14:paraId="3A2A64A9" w14:textId="3E09E9F4" w:rsidR="005860BC" w:rsidRDefault="005860BC" w:rsidP="00806F56">
            <w:pPr>
              <w:spacing w:line="276" w:lineRule="auto"/>
              <w:ind w:left="-47" w:right="-134"/>
              <w:jc w:val="center"/>
              <w:rPr>
                <w:rFonts w:ascii="Arial" w:hAnsi="Arial" w:cs="Arial"/>
                <w:b/>
                <w:sz w:val="24"/>
                <w:szCs w:val="28"/>
              </w:rPr>
            </w:pPr>
            <w:r w:rsidRPr="004E5DEB">
              <w:rPr>
                <w:rFonts w:ascii="Arial" w:eastAsia="Arial" w:hAnsi="Arial" w:cs="Arial"/>
                <w:color w:val="000000"/>
                <w:sz w:val="17"/>
                <w:szCs w:val="17"/>
              </w:rPr>
              <w:t>Vol.</w:t>
            </w:r>
            <w:r w:rsidR="00806F56">
              <w:rPr>
                <w:rFonts w:ascii="Arial" w:eastAsia="Arial" w:hAnsi="Arial" w:cs="Arial"/>
                <w:color w:val="000000"/>
                <w:sz w:val="17"/>
                <w:szCs w:val="17"/>
              </w:rPr>
              <w:t xml:space="preserve"> 9</w:t>
            </w:r>
            <w:r>
              <w:rPr>
                <w:rFonts w:ascii="Arial" w:eastAsia="Arial" w:hAnsi="Arial" w:cs="Arial"/>
                <w:color w:val="000000"/>
                <w:sz w:val="17"/>
                <w:szCs w:val="17"/>
              </w:rPr>
              <w:t>,</w:t>
            </w:r>
            <w:r w:rsidRPr="004E5DEB">
              <w:rPr>
                <w:rFonts w:ascii="Arial" w:eastAsia="Arial" w:hAnsi="Arial" w:cs="Arial"/>
                <w:color w:val="000000"/>
                <w:sz w:val="17"/>
                <w:szCs w:val="17"/>
              </w:rPr>
              <w:t xml:space="preserve"> N</w:t>
            </w:r>
            <w:r>
              <w:rPr>
                <w:rFonts w:ascii="Arial" w:eastAsia="Arial" w:hAnsi="Arial" w:cs="Arial"/>
                <w:color w:val="000000"/>
                <w:sz w:val="17"/>
                <w:szCs w:val="17"/>
              </w:rPr>
              <w:t>ú</w:t>
            </w:r>
            <w:r w:rsidRPr="004E5DEB">
              <w:rPr>
                <w:rFonts w:ascii="Arial" w:eastAsia="Arial" w:hAnsi="Arial" w:cs="Arial"/>
                <w:color w:val="000000"/>
                <w:sz w:val="17"/>
                <w:szCs w:val="17"/>
              </w:rPr>
              <w:t>m.</w:t>
            </w:r>
            <w:r>
              <w:rPr>
                <w:rFonts w:ascii="Arial" w:eastAsia="Arial" w:hAnsi="Arial" w:cs="Arial"/>
                <w:color w:val="000000"/>
                <w:sz w:val="17"/>
                <w:szCs w:val="17"/>
              </w:rPr>
              <w:t xml:space="preserve"> </w:t>
            </w:r>
            <w:r w:rsidR="00FC2E2D">
              <w:rPr>
                <w:rFonts w:ascii="Arial" w:eastAsia="Arial" w:hAnsi="Arial" w:cs="Arial"/>
                <w:color w:val="000000"/>
                <w:sz w:val="17"/>
                <w:szCs w:val="17"/>
              </w:rPr>
              <w:t>1</w:t>
            </w:r>
            <w:r w:rsidRPr="004E5DEB">
              <w:rPr>
                <w:rFonts w:ascii="Arial" w:eastAsia="Arial" w:hAnsi="Arial" w:cs="Arial"/>
                <w:color w:val="000000"/>
                <w:sz w:val="17"/>
                <w:szCs w:val="17"/>
              </w:rPr>
              <w:t xml:space="preserve">, </w:t>
            </w:r>
            <w:r w:rsidR="00806F56">
              <w:rPr>
                <w:rFonts w:ascii="Arial" w:eastAsia="Arial" w:hAnsi="Arial" w:cs="Arial"/>
                <w:color w:val="000000"/>
                <w:sz w:val="17"/>
                <w:szCs w:val="17"/>
              </w:rPr>
              <w:t>enero</w:t>
            </w:r>
            <w:r>
              <w:rPr>
                <w:rFonts w:ascii="Arial" w:eastAsia="Arial" w:hAnsi="Arial" w:cs="Arial"/>
                <w:color w:val="000000"/>
                <w:sz w:val="17"/>
                <w:szCs w:val="17"/>
              </w:rPr>
              <w:t xml:space="preserve"> </w:t>
            </w:r>
            <w:r w:rsidRPr="004E5DEB">
              <w:rPr>
                <w:rFonts w:ascii="Arial" w:eastAsia="Arial" w:hAnsi="Arial" w:cs="Arial"/>
                <w:sz w:val="17"/>
                <w:szCs w:val="17"/>
              </w:rPr>
              <w:t>202</w:t>
            </w:r>
            <w:r w:rsidR="00806F56">
              <w:rPr>
                <w:rFonts w:ascii="Arial" w:eastAsia="Arial" w:hAnsi="Arial" w:cs="Arial"/>
                <w:sz w:val="17"/>
                <w:szCs w:val="17"/>
              </w:rPr>
              <w:t>4</w:t>
            </w:r>
            <w:r w:rsidRPr="004E5DEB">
              <w:rPr>
                <w:rFonts w:ascii="Arial" w:eastAsia="Arial" w:hAnsi="Arial" w:cs="Arial"/>
                <w:sz w:val="17"/>
                <w:szCs w:val="17"/>
              </w:rPr>
              <w:t>,</w:t>
            </w:r>
            <w:r w:rsidR="00563D26">
              <w:rPr>
                <w:rFonts w:ascii="Arial" w:eastAsia="Arial" w:hAnsi="Arial" w:cs="Arial"/>
                <w:sz w:val="17"/>
                <w:szCs w:val="17"/>
              </w:rPr>
              <w:t xml:space="preserve"> </w:t>
            </w:r>
            <w:r w:rsidR="00C26E22">
              <w:rPr>
                <w:rFonts w:ascii="Arial" w:eastAsia="Arial" w:hAnsi="Arial" w:cs="Arial"/>
                <w:sz w:val="17"/>
                <w:szCs w:val="17"/>
              </w:rPr>
              <w:t>e</w:t>
            </w:r>
            <w:r w:rsidR="00B71FE4">
              <w:rPr>
                <w:rFonts w:ascii="Arial" w:eastAsia="Arial" w:hAnsi="Arial" w:cs="Arial"/>
                <w:sz w:val="17"/>
                <w:szCs w:val="17"/>
              </w:rPr>
              <w:t>1130</w:t>
            </w:r>
          </w:p>
        </w:tc>
        <w:tc>
          <w:tcPr>
            <w:tcW w:w="1260" w:type="dxa"/>
            <w:vMerge w:val="restart"/>
            <w:vAlign w:val="center"/>
          </w:tcPr>
          <w:p w14:paraId="07647D44" w14:textId="77777777" w:rsidR="005860BC" w:rsidRDefault="005860BC" w:rsidP="003757A9">
            <w:pPr>
              <w:rPr>
                <w:rFonts w:ascii="Arial" w:hAnsi="Arial" w:cs="Arial"/>
                <w:b/>
                <w:sz w:val="24"/>
                <w:szCs w:val="28"/>
              </w:rPr>
            </w:pPr>
          </w:p>
        </w:tc>
        <w:tc>
          <w:tcPr>
            <w:tcW w:w="606" w:type="dxa"/>
          </w:tcPr>
          <w:p w14:paraId="35265353" w14:textId="77777777" w:rsidR="005860BC" w:rsidRDefault="005860BC" w:rsidP="003757A9">
            <w:pPr>
              <w:rPr>
                <w:rFonts w:ascii="Arial" w:hAnsi="Arial" w:cs="Arial"/>
                <w:b/>
                <w:sz w:val="24"/>
                <w:szCs w:val="28"/>
              </w:rPr>
            </w:pPr>
            <w:r>
              <w:rPr>
                <w:b/>
                <w:noProof/>
                <w:sz w:val="24"/>
                <w:szCs w:val="28"/>
                <w:lang w:val="es-CR" w:eastAsia="es-CR"/>
              </w:rPr>
              <w:drawing>
                <wp:inline distT="0" distB="0" distL="0" distR="0" wp14:anchorId="1A555238" wp14:editId="563FEC3C">
                  <wp:extent cx="239151" cy="239151"/>
                  <wp:effectExtent l="0" t="0" r="8890" b="8890"/>
                  <wp:docPr id="9" name="Picture 9"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Logo, icon&#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7139" cy="247139"/>
                          </a:xfrm>
                          <a:prstGeom prst="rect">
                            <a:avLst/>
                          </a:prstGeom>
                        </pic:spPr>
                      </pic:pic>
                    </a:graphicData>
                  </a:graphic>
                </wp:inline>
              </w:drawing>
            </w:r>
          </w:p>
        </w:tc>
        <w:tc>
          <w:tcPr>
            <w:tcW w:w="2759" w:type="dxa"/>
            <w:vAlign w:val="center"/>
          </w:tcPr>
          <w:p w14:paraId="1A5764C8" w14:textId="6C648557" w:rsidR="005860BC" w:rsidRPr="00B71FE4" w:rsidRDefault="00B71FE4" w:rsidP="00E87B35">
            <w:pPr>
              <w:ind w:left="-99"/>
              <w:jc w:val="right"/>
              <w:rPr>
                <w:sz w:val="16"/>
                <w:szCs w:val="16"/>
                <w:u w:val="single"/>
                <w:lang w:val="es-CR"/>
              </w:rPr>
            </w:pPr>
            <w:hyperlink r:id="rId10" w:history="1">
              <w:r w:rsidRPr="00B71FE4">
                <w:rPr>
                  <w:rStyle w:val="Hipervnculo"/>
                  <w:bCs/>
                  <w:sz w:val="16"/>
                  <w:szCs w:val="16"/>
                </w:rPr>
                <w:t>https://doi.org/10.31434/rms.v9i1.1130</w:t>
              </w:r>
            </w:hyperlink>
            <w:r w:rsidRPr="00B71FE4">
              <w:rPr>
                <w:bCs/>
                <w:sz w:val="16"/>
                <w:szCs w:val="16"/>
              </w:rPr>
              <w:t xml:space="preserve"> </w:t>
            </w:r>
          </w:p>
        </w:tc>
      </w:tr>
      <w:tr w:rsidR="005860BC" w14:paraId="60FFB9C6" w14:textId="77777777" w:rsidTr="00221512">
        <w:trPr>
          <w:trHeight w:val="404"/>
          <w:jc w:val="center"/>
        </w:trPr>
        <w:tc>
          <w:tcPr>
            <w:tcW w:w="1781" w:type="dxa"/>
            <w:vMerge/>
          </w:tcPr>
          <w:p w14:paraId="1F945E21" w14:textId="77777777" w:rsidR="005860BC" w:rsidRPr="009132A2" w:rsidRDefault="005860BC" w:rsidP="003757A9">
            <w:pPr>
              <w:jc w:val="right"/>
              <w:rPr>
                <w:rFonts w:ascii="Yu Gothic Light" w:eastAsia="Yu Gothic Light" w:hAnsi="Yu Gothic Light"/>
                <w:b/>
                <w:noProof/>
                <w:color w:val="002060"/>
                <w:sz w:val="36"/>
                <w:szCs w:val="72"/>
                <w:lang w:eastAsia="es-PE"/>
              </w:rPr>
            </w:pPr>
          </w:p>
        </w:tc>
        <w:tc>
          <w:tcPr>
            <w:tcW w:w="3020" w:type="dxa"/>
            <w:gridSpan w:val="3"/>
            <w:vMerge/>
          </w:tcPr>
          <w:p w14:paraId="19EBCF83" w14:textId="77777777" w:rsidR="005860BC" w:rsidRDefault="005860BC" w:rsidP="003757A9">
            <w:pPr>
              <w:jc w:val="center"/>
              <w:rPr>
                <w:rFonts w:ascii="Arial" w:eastAsia="Arial" w:hAnsi="Arial" w:cs="Arial"/>
                <w:color w:val="000000"/>
                <w:sz w:val="16"/>
                <w:szCs w:val="16"/>
              </w:rPr>
            </w:pPr>
          </w:p>
        </w:tc>
        <w:tc>
          <w:tcPr>
            <w:tcW w:w="1260" w:type="dxa"/>
            <w:vMerge/>
          </w:tcPr>
          <w:p w14:paraId="06849EEC" w14:textId="77777777" w:rsidR="005860BC" w:rsidRDefault="005860BC" w:rsidP="003757A9">
            <w:pPr>
              <w:jc w:val="center"/>
              <w:rPr>
                <w:rFonts w:ascii="Arial" w:eastAsia="Arial" w:hAnsi="Arial" w:cs="Arial"/>
                <w:color w:val="000000"/>
                <w:sz w:val="16"/>
                <w:szCs w:val="16"/>
              </w:rPr>
            </w:pPr>
          </w:p>
        </w:tc>
        <w:tc>
          <w:tcPr>
            <w:tcW w:w="606" w:type="dxa"/>
            <w:vAlign w:val="center"/>
          </w:tcPr>
          <w:p w14:paraId="28D17E68" w14:textId="77777777" w:rsidR="005860BC" w:rsidRDefault="005860BC" w:rsidP="003757A9">
            <w:pPr>
              <w:jc w:val="center"/>
              <w:rPr>
                <w:rFonts w:ascii="Arial" w:hAnsi="Arial" w:cs="Arial"/>
                <w:b/>
                <w:sz w:val="24"/>
                <w:szCs w:val="28"/>
              </w:rPr>
            </w:pPr>
            <w:r>
              <w:rPr>
                <w:noProof/>
                <w:lang w:val="es-CR" w:eastAsia="es-CR"/>
              </w:rPr>
              <w:drawing>
                <wp:anchor distT="0" distB="0" distL="114300" distR="114300" simplePos="0" relativeHeight="251662336" behindDoc="1" locked="0" layoutInCell="1" allowOverlap="1" wp14:anchorId="6D5694FB" wp14:editId="2D9E638F">
                  <wp:simplePos x="0" y="0"/>
                  <wp:positionH relativeFrom="column">
                    <wp:posOffset>-1612</wp:posOffset>
                  </wp:positionH>
                  <wp:positionV relativeFrom="paragraph">
                    <wp:posOffset>3566</wp:posOffset>
                  </wp:positionV>
                  <wp:extent cx="267286" cy="216698"/>
                  <wp:effectExtent l="0" t="0" r="0" b="0"/>
                  <wp:wrapNone/>
                  <wp:docPr id="13" name="Imagen 10" descr="Resultado de imagen de correo electronico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sultado de imagen de correo electronico image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0617" cy="219399"/>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759" w:type="dxa"/>
            <w:vAlign w:val="center"/>
          </w:tcPr>
          <w:p w14:paraId="07EB17E1" w14:textId="77777777" w:rsidR="005860BC" w:rsidRPr="005557B5" w:rsidRDefault="00A4220A" w:rsidP="003757A9">
            <w:pPr>
              <w:jc w:val="right"/>
              <w:rPr>
                <w:rFonts w:ascii="Arial" w:hAnsi="Arial" w:cs="Arial"/>
                <w:b/>
                <w:sz w:val="16"/>
                <w:szCs w:val="16"/>
              </w:rPr>
            </w:pPr>
            <w:hyperlink r:id="rId12" w:history="1">
              <w:r w:rsidR="005860BC" w:rsidRPr="005557B5">
                <w:rPr>
                  <w:rStyle w:val="Hipervnculo"/>
                  <w:rFonts w:ascii="Arial" w:hAnsi="Arial" w:cs="Arial"/>
                  <w:sz w:val="16"/>
                  <w:szCs w:val="16"/>
                </w:rPr>
                <w:t>revistamedicasinergia@gmail.com</w:t>
              </w:r>
            </w:hyperlink>
          </w:p>
        </w:tc>
      </w:tr>
      <w:tr w:rsidR="005860BC" w:rsidRPr="00221512" w14:paraId="77F99B58" w14:textId="77777777" w:rsidTr="00221512">
        <w:trPr>
          <w:jc w:val="center"/>
        </w:trPr>
        <w:tc>
          <w:tcPr>
            <w:tcW w:w="9426" w:type="dxa"/>
            <w:gridSpan w:val="7"/>
            <w:vAlign w:val="center"/>
          </w:tcPr>
          <w:p w14:paraId="11CA0451" w14:textId="77777777" w:rsidR="00E05531" w:rsidRPr="00233C0B" w:rsidRDefault="00E05531" w:rsidP="00E05531">
            <w:pPr>
              <w:rPr>
                <w:rFonts w:eastAsia="TimesNewRomanPS-BoldMT"/>
                <w:b/>
                <w:bCs/>
                <w:color w:val="000000"/>
                <w:sz w:val="28"/>
                <w:szCs w:val="28"/>
                <w:lang w:val="es-CR"/>
              </w:rPr>
            </w:pPr>
          </w:p>
          <w:p w14:paraId="6F5CBFA2" w14:textId="77777777" w:rsidR="00221512" w:rsidRDefault="00221512" w:rsidP="000169A7">
            <w:pPr>
              <w:spacing w:line="276" w:lineRule="auto"/>
              <w:jc w:val="center"/>
              <w:rPr>
                <w:rFonts w:eastAsia="TimesNewRomanPS-BoldMT"/>
                <w:b/>
                <w:bCs/>
                <w:color w:val="000000"/>
                <w:sz w:val="28"/>
                <w:szCs w:val="28"/>
                <w:lang w:val="es-CR"/>
              </w:rPr>
            </w:pPr>
            <w:r w:rsidRPr="00221512">
              <w:rPr>
                <w:rFonts w:eastAsia="TimesNewRomanPS-BoldMT"/>
                <w:b/>
                <w:bCs/>
                <w:color w:val="000000"/>
                <w:sz w:val="28"/>
                <w:szCs w:val="28"/>
                <w:lang w:val="es-CR"/>
              </w:rPr>
              <w:t>El impacto emergente del delirium tremens en la salud de los adultos mayores</w:t>
            </w:r>
          </w:p>
          <w:p w14:paraId="5DE01103" w14:textId="3BF5ABD7" w:rsidR="00601DC5" w:rsidRPr="00221512" w:rsidRDefault="00221512" w:rsidP="00221512">
            <w:pPr>
              <w:spacing w:line="276" w:lineRule="auto"/>
              <w:jc w:val="center"/>
              <w:rPr>
                <w:rFonts w:ascii="Arial" w:hAnsi="Arial" w:cs="Arial"/>
                <w:sz w:val="26"/>
                <w:szCs w:val="26"/>
                <w:lang w:val="en-US"/>
              </w:rPr>
            </w:pPr>
            <w:r w:rsidRPr="00221512">
              <w:rPr>
                <w:rFonts w:ascii="Arial" w:hAnsi="Arial" w:cs="Arial"/>
                <w:sz w:val="26"/>
                <w:szCs w:val="26"/>
                <w:lang w:val="en-US"/>
              </w:rPr>
              <w:t>The emerging impact of delirium tremens on the health of older adults</w:t>
            </w:r>
          </w:p>
        </w:tc>
      </w:tr>
      <w:tr w:rsidR="005860BC" w:rsidRPr="00FC2E2D" w14:paraId="0C5B1BB9" w14:textId="77777777" w:rsidTr="00221512">
        <w:trPr>
          <w:jc w:val="center"/>
        </w:trPr>
        <w:tc>
          <w:tcPr>
            <w:tcW w:w="2355" w:type="dxa"/>
            <w:gridSpan w:val="2"/>
            <w:vAlign w:val="center"/>
          </w:tcPr>
          <w:p w14:paraId="3DC97774" w14:textId="0855708B" w:rsidR="005860BC" w:rsidRPr="00221512" w:rsidRDefault="003F722B" w:rsidP="003757A9">
            <w:pPr>
              <w:jc w:val="center"/>
              <w:rPr>
                <w:rFonts w:ascii="Arial" w:hAnsi="Arial" w:cs="Arial"/>
                <w:b/>
                <w:sz w:val="24"/>
                <w:szCs w:val="28"/>
                <w:lang w:val="en-US"/>
              </w:rPr>
            </w:pPr>
            <w:r>
              <w:rPr>
                <w:noProof/>
              </w:rPr>
              <w:drawing>
                <wp:inline distT="0" distB="0" distL="0" distR="0" wp14:anchorId="50CB3FFD" wp14:editId="10B1D36C">
                  <wp:extent cx="1422000" cy="1440000"/>
                  <wp:effectExtent l="0" t="0" r="6985" b="8255"/>
                  <wp:docPr id="143892600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8926003" name=""/>
                          <pic:cNvPicPr/>
                        </pic:nvPicPr>
                        <pic:blipFill>
                          <a:blip r:embed="rId13"/>
                          <a:stretch>
                            <a:fillRect/>
                          </a:stretch>
                        </pic:blipFill>
                        <pic:spPr>
                          <a:xfrm>
                            <a:off x="0" y="0"/>
                            <a:ext cx="1422000" cy="1440000"/>
                          </a:xfrm>
                          <a:prstGeom prst="rect">
                            <a:avLst/>
                          </a:prstGeom>
                        </pic:spPr>
                      </pic:pic>
                    </a:graphicData>
                  </a:graphic>
                </wp:inline>
              </w:drawing>
            </w:r>
          </w:p>
        </w:tc>
        <w:tc>
          <w:tcPr>
            <w:tcW w:w="7071" w:type="dxa"/>
            <w:gridSpan w:val="5"/>
            <w:vAlign w:val="center"/>
          </w:tcPr>
          <w:p w14:paraId="0875A3D9" w14:textId="77777777" w:rsidR="00507BEF" w:rsidRPr="00221512" w:rsidRDefault="00507BEF" w:rsidP="001333F2">
            <w:pPr>
              <w:spacing w:line="276" w:lineRule="auto"/>
              <w:jc w:val="right"/>
              <w:rPr>
                <w:rFonts w:ascii="Arial" w:hAnsi="Arial" w:cs="Arial"/>
                <w:b/>
                <w:bCs/>
                <w:sz w:val="20"/>
                <w:szCs w:val="20"/>
                <w:vertAlign w:val="superscript"/>
                <w:lang w:val="en-US"/>
              </w:rPr>
            </w:pPr>
          </w:p>
          <w:p w14:paraId="1ABDD7D0" w14:textId="12700572" w:rsidR="009E2369" w:rsidRDefault="00AE5EA0" w:rsidP="001333F2">
            <w:pPr>
              <w:spacing w:line="276" w:lineRule="auto"/>
              <w:jc w:val="right"/>
              <w:rPr>
                <w:rFonts w:ascii="Arial" w:hAnsi="Arial" w:cs="Arial"/>
                <w:b/>
                <w:bCs/>
                <w:sz w:val="20"/>
                <w:szCs w:val="20"/>
                <w:lang w:val="es-CR"/>
              </w:rPr>
            </w:pPr>
            <w:r w:rsidRPr="00AE5EA0">
              <w:rPr>
                <w:rFonts w:ascii="Arial" w:hAnsi="Arial" w:cs="Arial"/>
                <w:b/>
                <w:bCs/>
                <w:sz w:val="20"/>
                <w:szCs w:val="20"/>
                <w:vertAlign w:val="superscript"/>
                <w:lang w:val="es-CR"/>
              </w:rPr>
              <w:t>1</w:t>
            </w:r>
            <w:r w:rsidR="004E0917">
              <w:t xml:space="preserve"> </w:t>
            </w:r>
            <w:r w:rsidR="00A26B89" w:rsidRPr="00A26B89">
              <w:rPr>
                <w:rFonts w:ascii="Arial" w:hAnsi="Arial" w:cs="Arial"/>
                <w:b/>
                <w:bCs/>
                <w:sz w:val="20"/>
                <w:szCs w:val="20"/>
                <w:lang w:val="es-CR"/>
              </w:rPr>
              <w:t>Dr</w:t>
            </w:r>
            <w:r w:rsidR="00221512">
              <w:rPr>
                <w:rFonts w:ascii="Arial" w:hAnsi="Arial" w:cs="Arial"/>
                <w:b/>
                <w:bCs/>
                <w:sz w:val="20"/>
                <w:szCs w:val="20"/>
                <w:lang w:val="es-CR"/>
              </w:rPr>
              <w:t>a</w:t>
            </w:r>
            <w:r w:rsidR="00A26B89" w:rsidRPr="00A26B89">
              <w:rPr>
                <w:rFonts w:ascii="Arial" w:hAnsi="Arial" w:cs="Arial"/>
                <w:b/>
                <w:bCs/>
                <w:sz w:val="20"/>
                <w:szCs w:val="20"/>
                <w:lang w:val="es-CR"/>
              </w:rPr>
              <w:t xml:space="preserve">. </w:t>
            </w:r>
            <w:r w:rsidR="00221512" w:rsidRPr="00221512">
              <w:rPr>
                <w:rFonts w:ascii="Arial" w:hAnsi="Arial" w:cs="Arial"/>
                <w:b/>
                <w:bCs/>
                <w:sz w:val="20"/>
                <w:szCs w:val="20"/>
                <w:lang w:val="es-CR"/>
              </w:rPr>
              <w:t>Joseline Cisneros Orozco</w:t>
            </w:r>
          </w:p>
          <w:p w14:paraId="0C32AA29" w14:textId="41A4077D" w:rsidR="004D7BD5" w:rsidRPr="004D7BD5" w:rsidRDefault="00344B39" w:rsidP="004D7BD5">
            <w:pPr>
              <w:pStyle w:val="Prrafodelista"/>
              <w:spacing w:line="276" w:lineRule="auto"/>
              <w:jc w:val="right"/>
              <w:rPr>
                <w:color w:val="0000FF"/>
                <w:sz w:val="18"/>
                <w:szCs w:val="18"/>
                <w:u w:val="single"/>
                <w:lang w:val="es-CR"/>
              </w:rPr>
            </w:pPr>
            <w:r w:rsidRPr="00344B39">
              <w:rPr>
                <w:rFonts w:ascii="Arial" w:hAnsi="Arial" w:cs="Arial"/>
                <w:sz w:val="18"/>
                <w:szCs w:val="18"/>
                <w:lang w:val="es-CR"/>
              </w:rPr>
              <w:t>Hospital Rafael Ángel Calderón Guardia, San José, Costa Rica</w:t>
            </w:r>
            <w:r w:rsidR="004D7BD5" w:rsidRPr="004D7BD5">
              <w:rPr>
                <w:rFonts w:ascii="Arial" w:hAnsi="Arial" w:cs="Arial"/>
                <w:sz w:val="18"/>
                <w:szCs w:val="18"/>
                <w:lang w:val="es-CR"/>
              </w:rPr>
              <w:t xml:space="preserve"> </w:t>
            </w:r>
          </w:p>
          <w:p w14:paraId="6D2AEBED" w14:textId="0B2ABD6D" w:rsidR="00221512" w:rsidRDefault="00A4220A" w:rsidP="00221512">
            <w:pPr>
              <w:pStyle w:val="Prrafodelista"/>
              <w:numPr>
                <w:ilvl w:val="0"/>
                <w:numId w:val="1"/>
              </w:numPr>
              <w:jc w:val="right"/>
              <w:rPr>
                <w:sz w:val="18"/>
                <w:szCs w:val="18"/>
                <w:lang w:val="es-CR"/>
              </w:rPr>
            </w:pPr>
            <w:hyperlink r:id="rId14" w:history="1">
              <w:r w:rsidR="00D94F08" w:rsidRPr="00977F54">
                <w:rPr>
                  <w:rStyle w:val="Hipervnculo"/>
                  <w:sz w:val="18"/>
                  <w:szCs w:val="18"/>
                  <w:lang w:val="es-CR"/>
                </w:rPr>
                <w:t>https://orcid.org/</w:t>
              </w:r>
              <w:r w:rsidR="00221512" w:rsidRPr="00221512">
                <w:rPr>
                  <w:rStyle w:val="Hipervnculo"/>
                  <w:sz w:val="18"/>
                  <w:szCs w:val="18"/>
                  <w:lang w:val="es-CR"/>
                </w:rPr>
                <w:t>0000-0002-0749-1477</w:t>
              </w:r>
            </w:hyperlink>
            <w:r w:rsidR="005669C3">
              <w:rPr>
                <w:sz w:val="18"/>
                <w:szCs w:val="18"/>
                <w:lang w:val="es-CR"/>
              </w:rPr>
              <w:t xml:space="preserve"> </w:t>
            </w:r>
          </w:p>
          <w:p w14:paraId="472B8F30" w14:textId="77777777" w:rsidR="00221512" w:rsidRDefault="00221512" w:rsidP="00221512">
            <w:pPr>
              <w:jc w:val="right"/>
              <w:rPr>
                <w:sz w:val="18"/>
                <w:szCs w:val="18"/>
                <w:lang w:val="es-CR"/>
              </w:rPr>
            </w:pPr>
          </w:p>
          <w:p w14:paraId="264BF585" w14:textId="177F68B2" w:rsidR="00221512" w:rsidRDefault="00221512" w:rsidP="00221512">
            <w:pPr>
              <w:spacing w:line="276" w:lineRule="auto"/>
              <w:jc w:val="right"/>
              <w:rPr>
                <w:rFonts w:ascii="Arial" w:hAnsi="Arial" w:cs="Arial"/>
                <w:b/>
                <w:bCs/>
                <w:sz w:val="20"/>
                <w:szCs w:val="20"/>
                <w:lang w:val="es-CR"/>
              </w:rPr>
            </w:pPr>
            <w:r>
              <w:rPr>
                <w:rFonts w:ascii="Arial" w:hAnsi="Arial" w:cs="Arial"/>
                <w:b/>
                <w:bCs/>
                <w:sz w:val="20"/>
                <w:szCs w:val="20"/>
                <w:vertAlign w:val="superscript"/>
                <w:lang w:val="es-CR"/>
              </w:rPr>
              <w:t>2</w:t>
            </w:r>
            <w:r>
              <w:t xml:space="preserve"> </w:t>
            </w:r>
            <w:r w:rsidRPr="00A26B89">
              <w:rPr>
                <w:rFonts w:ascii="Arial" w:hAnsi="Arial" w:cs="Arial"/>
                <w:b/>
                <w:bCs/>
                <w:sz w:val="20"/>
                <w:szCs w:val="20"/>
                <w:lang w:val="es-CR"/>
              </w:rPr>
              <w:t xml:space="preserve">Dr. </w:t>
            </w:r>
            <w:r w:rsidRPr="00221512">
              <w:rPr>
                <w:rFonts w:ascii="Arial" w:hAnsi="Arial" w:cs="Arial"/>
                <w:b/>
                <w:bCs/>
                <w:sz w:val="20"/>
                <w:szCs w:val="20"/>
                <w:lang w:val="es-CR"/>
              </w:rPr>
              <w:t>José Ricardo De La O Díaz</w:t>
            </w:r>
          </w:p>
          <w:p w14:paraId="4B16A497" w14:textId="0CAE1F82" w:rsidR="00221512" w:rsidRPr="004D7BD5" w:rsidRDefault="00875DEB" w:rsidP="00221512">
            <w:pPr>
              <w:pStyle w:val="Prrafodelista"/>
              <w:spacing w:line="276" w:lineRule="auto"/>
              <w:jc w:val="right"/>
              <w:rPr>
                <w:color w:val="0000FF"/>
                <w:sz w:val="18"/>
                <w:szCs w:val="18"/>
                <w:u w:val="single"/>
                <w:lang w:val="es-CR"/>
              </w:rPr>
            </w:pPr>
            <w:r w:rsidRPr="00875DEB">
              <w:rPr>
                <w:rFonts w:ascii="Arial" w:hAnsi="Arial" w:cs="Arial"/>
                <w:sz w:val="18"/>
                <w:szCs w:val="18"/>
                <w:lang w:val="es-CR"/>
              </w:rPr>
              <w:t>Hospital Rafael Ángel Calderón Guardia, San José, Costa Rica</w:t>
            </w:r>
            <w:r w:rsidR="00221512" w:rsidRPr="004D7BD5">
              <w:rPr>
                <w:rFonts w:ascii="Arial" w:hAnsi="Arial" w:cs="Arial"/>
                <w:sz w:val="18"/>
                <w:szCs w:val="18"/>
                <w:lang w:val="es-CR"/>
              </w:rPr>
              <w:t xml:space="preserve"> </w:t>
            </w:r>
          </w:p>
          <w:p w14:paraId="08C18108" w14:textId="57B13A6C" w:rsidR="00FC2E2D" w:rsidRPr="00221512" w:rsidRDefault="00A4220A" w:rsidP="00221512">
            <w:pPr>
              <w:pStyle w:val="Prrafodelista"/>
              <w:numPr>
                <w:ilvl w:val="0"/>
                <w:numId w:val="1"/>
              </w:numPr>
              <w:jc w:val="right"/>
              <w:rPr>
                <w:sz w:val="18"/>
                <w:szCs w:val="18"/>
                <w:lang w:val="es-CR"/>
              </w:rPr>
            </w:pPr>
            <w:hyperlink r:id="rId15" w:history="1">
              <w:r w:rsidR="00221512" w:rsidRPr="00221512">
                <w:rPr>
                  <w:rStyle w:val="Hipervnculo"/>
                  <w:sz w:val="18"/>
                  <w:szCs w:val="18"/>
                  <w:lang w:val="es-CR"/>
                </w:rPr>
                <w:t>https://orcid.org/0000-0003-4576-3186</w:t>
              </w:r>
            </w:hyperlink>
            <w:r w:rsidR="00221512" w:rsidRPr="00221512">
              <w:rPr>
                <w:sz w:val="18"/>
                <w:szCs w:val="18"/>
                <w:lang w:val="es-CR"/>
              </w:rPr>
              <w:t xml:space="preserve">  </w:t>
            </w:r>
          </w:p>
          <w:p w14:paraId="7D45866E" w14:textId="6F431448" w:rsidR="00221512" w:rsidRDefault="00221512" w:rsidP="00221512">
            <w:pPr>
              <w:jc w:val="right"/>
              <w:rPr>
                <w:sz w:val="18"/>
                <w:szCs w:val="18"/>
                <w:lang w:val="es-CR"/>
              </w:rPr>
            </w:pPr>
          </w:p>
          <w:p w14:paraId="46B9C1B9" w14:textId="3AEA6BDA" w:rsidR="00221512" w:rsidRDefault="00221512" w:rsidP="00221512">
            <w:pPr>
              <w:spacing w:line="276" w:lineRule="auto"/>
              <w:jc w:val="right"/>
              <w:rPr>
                <w:rFonts w:ascii="Arial" w:hAnsi="Arial" w:cs="Arial"/>
                <w:b/>
                <w:bCs/>
                <w:sz w:val="20"/>
                <w:szCs w:val="20"/>
                <w:lang w:val="es-CR"/>
              </w:rPr>
            </w:pPr>
            <w:r>
              <w:rPr>
                <w:rFonts w:ascii="Arial" w:hAnsi="Arial" w:cs="Arial"/>
                <w:b/>
                <w:bCs/>
                <w:sz w:val="20"/>
                <w:szCs w:val="20"/>
                <w:vertAlign w:val="superscript"/>
                <w:lang w:val="es-CR"/>
              </w:rPr>
              <w:t>3</w:t>
            </w:r>
            <w:r>
              <w:t xml:space="preserve"> </w:t>
            </w:r>
            <w:r w:rsidRPr="00A26B89">
              <w:rPr>
                <w:rFonts w:ascii="Arial" w:hAnsi="Arial" w:cs="Arial"/>
                <w:b/>
                <w:bCs/>
                <w:sz w:val="20"/>
                <w:szCs w:val="20"/>
                <w:lang w:val="es-CR"/>
              </w:rPr>
              <w:t xml:space="preserve">Dr. </w:t>
            </w:r>
            <w:r w:rsidRPr="00221512">
              <w:rPr>
                <w:rFonts w:ascii="Arial" w:hAnsi="Arial" w:cs="Arial"/>
                <w:b/>
                <w:bCs/>
                <w:sz w:val="20"/>
                <w:szCs w:val="20"/>
                <w:lang w:val="es-CR"/>
              </w:rPr>
              <w:t>Anthony Geovanny Mata Brenes</w:t>
            </w:r>
          </w:p>
          <w:p w14:paraId="5F49AD0C" w14:textId="1F8698BE" w:rsidR="00221512" w:rsidRPr="004D7BD5" w:rsidRDefault="002B5B56" w:rsidP="00221512">
            <w:pPr>
              <w:pStyle w:val="Prrafodelista"/>
              <w:spacing w:line="276" w:lineRule="auto"/>
              <w:jc w:val="right"/>
              <w:rPr>
                <w:color w:val="0000FF"/>
                <w:sz w:val="18"/>
                <w:szCs w:val="18"/>
                <w:u w:val="single"/>
                <w:lang w:val="es-CR"/>
              </w:rPr>
            </w:pPr>
            <w:r w:rsidRPr="002B5B56">
              <w:rPr>
                <w:rFonts w:ascii="Arial" w:hAnsi="Arial" w:cs="Arial"/>
                <w:sz w:val="18"/>
                <w:szCs w:val="18"/>
                <w:lang w:val="es-CR"/>
              </w:rPr>
              <w:t xml:space="preserve">Coronado Medical Center, San José, </w:t>
            </w:r>
            <w:r w:rsidR="00221512" w:rsidRPr="00806F56">
              <w:rPr>
                <w:rFonts w:ascii="Arial" w:hAnsi="Arial" w:cs="Arial"/>
                <w:sz w:val="18"/>
                <w:szCs w:val="18"/>
                <w:lang w:val="es-CR"/>
              </w:rPr>
              <w:t>Costa Rica</w:t>
            </w:r>
          </w:p>
          <w:p w14:paraId="7B6E04C4" w14:textId="0B386BF7" w:rsidR="00221512" w:rsidRPr="00221512" w:rsidRDefault="00A4220A" w:rsidP="00221512">
            <w:pPr>
              <w:pStyle w:val="Prrafodelista"/>
              <w:numPr>
                <w:ilvl w:val="0"/>
                <w:numId w:val="1"/>
              </w:numPr>
              <w:jc w:val="right"/>
              <w:rPr>
                <w:sz w:val="18"/>
                <w:szCs w:val="18"/>
                <w:lang w:val="es-CR"/>
              </w:rPr>
            </w:pPr>
            <w:hyperlink r:id="rId16" w:history="1">
              <w:r w:rsidR="00221512" w:rsidRPr="00221512">
                <w:rPr>
                  <w:rStyle w:val="Hipervnculo"/>
                  <w:sz w:val="18"/>
                  <w:szCs w:val="18"/>
                  <w:lang w:val="es-CR"/>
                </w:rPr>
                <w:t>https://orcid.org/0009-0006-8622-8373</w:t>
              </w:r>
            </w:hyperlink>
            <w:r w:rsidR="00221512" w:rsidRPr="00221512">
              <w:rPr>
                <w:sz w:val="18"/>
                <w:szCs w:val="18"/>
                <w:lang w:val="es-CR"/>
              </w:rPr>
              <w:t xml:space="preserve">  </w:t>
            </w:r>
          </w:p>
          <w:p w14:paraId="700509EF" w14:textId="6A7D16D3" w:rsidR="005860BC" w:rsidRPr="00590B18" w:rsidRDefault="005860BC" w:rsidP="008F4548">
            <w:pPr>
              <w:jc w:val="right"/>
              <w:rPr>
                <w:color w:val="0000FF"/>
                <w:sz w:val="18"/>
                <w:szCs w:val="18"/>
                <w:u w:val="single"/>
                <w:lang w:val="es-CR"/>
              </w:rPr>
            </w:pPr>
          </w:p>
        </w:tc>
      </w:tr>
      <w:tr w:rsidR="005860BC" w14:paraId="46C2D20E" w14:textId="77777777" w:rsidTr="00221512">
        <w:trPr>
          <w:trHeight w:val="432"/>
          <w:jc w:val="center"/>
        </w:trPr>
        <w:tc>
          <w:tcPr>
            <w:tcW w:w="3594" w:type="dxa"/>
            <w:gridSpan w:val="3"/>
            <w:vAlign w:val="center"/>
          </w:tcPr>
          <w:p w14:paraId="1E435277" w14:textId="77777777" w:rsidR="005860BC" w:rsidRPr="004B37EC" w:rsidRDefault="005860BC" w:rsidP="003757A9">
            <w:pPr>
              <w:spacing w:line="276" w:lineRule="auto"/>
              <w:jc w:val="center"/>
              <w:rPr>
                <w:rFonts w:ascii="Arial" w:eastAsia="Arial" w:hAnsi="Arial" w:cs="Arial"/>
                <w:sz w:val="16"/>
                <w:szCs w:val="16"/>
              </w:rPr>
            </w:pPr>
            <w:r w:rsidRPr="004B37EC">
              <w:rPr>
                <w:rFonts w:ascii="Arial" w:eastAsia="Arial" w:hAnsi="Arial" w:cs="Arial"/>
                <w:sz w:val="16"/>
                <w:szCs w:val="16"/>
              </w:rPr>
              <w:t>Recibido</w:t>
            </w:r>
          </w:p>
          <w:p w14:paraId="17BF52EF" w14:textId="514842DA" w:rsidR="005860BC" w:rsidRPr="004B37EC" w:rsidRDefault="004B37EC" w:rsidP="003757A9">
            <w:pPr>
              <w:jc w:val="center"/>
              <w:rPr>
                <w:rFonts w:ascii="Arial" w:eastAsia="Arial" w:hAnsi="Arial" w:cs="Arial"/>
                <w:sz w:val="15"/>
                <w:szCs w:val="15"/>
              </w:rPr>
            </w:pPr>
            <w:r w:rsidRPr="004B37EC">
              <w:rPr>
                <w:rFonts w:ascii="Arial" w:eastAsia="Arial" w:hAnsi="Arial" w:cs="Arial"/>
                <w:sz w:val="15"/>
                <w:szCs w:val="15"/>
              </w:rPr>
              <w:t>17</w:t>
            </w:r>
            <w:r w:rsidR="005860BC" w:rsidRPr="004B37EC">
              <w:rPr>
                <w:rFonts w:ascii="Arial" w:eastAsia="Arial" w:hAnsi="Arial" w:cs="Arial"/>
                <w:sz w:val="15"/>
                <w:szCs w:val="15"/>
              </w:rPr>
              <w:t>/</w:t>
            </w:r>
            <w:r w:rsidRPr="004B37EC">
              <w:rPr>
                <w:rFonts w:ascii="Arial" w:eastAsia="Arial" w:hAnsi="Arial" w:cs="Arial"/>
                <w:sz w:val="15"/>
                <w:szCs w:val="15"/>
              </w:rPr>
              <w:t>11</w:t>
            </w:r>
            <w:r w:rsidR="005860BC" w:rsidRPr="004B37EC">
              <w:rPr>
                <w:rFonts w:ascii="Arial" w:eastAsia="Arial" w:hAnsi="Arial" w:cs="Arial"/>
                <w:sz w:val="15"/>
                <w:szCs w:val="15"/>
              </w:rPr>
              <w:t>/202</w:t>
            </w:r>
            <w:r w:rsidR="006A1A38" w:rsidRPr="004B37EC">
              <w:rPr>
                <w:rFonts w:ascii="Arial" w:eastAsia="Arial" w:hAnsi="Arial" w:cs="Arial"/>
                <w:sz w:val="15"/>
                <w:szCs w:val="15"/>
              </w:rPr>
              <w:t>3</w:t>
            </w:r>
          </w:p>
          <w:p w14:paraId="21DD5B0A" w14:textId="77777777" w:rsidR="005860BC" w:rsidRPr="004B37EC" w:rsidRDefault="005860BC" w:rsidP="003757A9">
            <w:pPr>
              <w:jc w:val="center"/>
              <w:rPr>
                <w:rFonts w:ascii="Arial" w:eastAsia="Arial" w:hAnsi="Arial" w:cs="Arial"/>
                <w:sz w:val="15"/>
                <w:szCs w:val="15"/>
              </w:rPr>
            </w:pPr>
          </w:p>
        </w:tc>
        <w:tc>
          <w:tcPr>
            <w:tcW w:w="2467" w:type="dxa"/>
            <w:gridSpan w:val="2"/>
            <w:vAlign w:val="center"/>
          </w:tcPr>
          <w:p w14:paraId="43FA5BA9" w14:textId="77777777" w:rsidR="005860BC" w:rsidRPr="004B37EC" w:rsidRDefault="005860BC" w:rsidP="003757A9">
            <w:pPr>
              <w:spacing w:line="276" w:lineRule="auto"/>
              <w:jc w:val="center"/>
              <w:rPr>
                <w:rFonts w:ascii="Arial" w:eastAsia="Arial" w:hAnsi="Arial" w:cs="Arial"/>
                <w:sz w:val="16"/>
                <w:szCs w:val="16"/>
              </w:rPr>
            </w:pPr>
            <w:r w:rsidRPr="004B37EC">
              <w:rPr>
                <w:rFonts w:ascii="Arial" w:eastAsia="Arial" w:hAnsi="Arial" w:cs="Arial"/>
                <w:sz w:val="16"/>
                <w:szCs w:val="16"/>
              </w:rPr>
              <w:t>Corregido</w:t>
            </w:r>
          </w:p>
          <w:p w14:paraId="769B31BE" w14:textId="5FC9B1FF" w:rsidR="005860BC" w:rsidRPr="004B37EC" w:rsidRDefault="004B37EC" w:rsidP="003757A9">
            <w:pPr>
              <w:jc w:val="center"/>
              <w:rPr>
                <w:rFonts w:ascii="Arial" w:eastAsia="Arial" w:hAnsi="Arial" w:cs="Arial"/>
                <w:sz w:val="15"/>
                <w:szCs w:val="15"/>
              </w:rPr>
            </w:pPr>
            <w:r w:rsidRPr="004B37EC">
              <w:rPr>
                <w:rFonts w:ascii="Arial" w:eastAsia="Arial" w:hAnsi="Arial" w:cs="Arial"/>
                <w:sz w:val="15"/>
                <w:szCs w:val="15"/>
              </w:rPr>
              <w:t>19</w:t>
            </w:r>
            <w:r w:rsidR="005860BC" w:rsidRPr="004B37EC">
              <w:rPr>
                <w:rFonts w:ascii="Arial" w:eastAsia="Arial" w:hAnsi="Arial" w:cs="Arial"/>
                <w:sz w:val="15"/>
                <w:szCs w:val="15"/>
              </w:rPr>
              <w:t>/</w:t>
            </w:r>
            <w:r w:rsidRPr="004B37EC">
              <w:rPr>
                <w:rFonts w:ascii="Arial" w:eastAsia="Arial" w:hAnsi="Arial" w:cs="Arial"/>
                <w:sz w:val="15"/>
                <w:szCs w:val="15"/>
              </w:rPr>
              <w:t>12</w:t>
            </w:r>
            <w:r w:rsidR="006A1A38" w:rsidRPr="004B37EC">
              <w:rPr>
                <w:rFonts w:ascii="Arial" w:eastAsia="Arial" w:hAnsi="Arial" w:cs="Arial"/>
                <w:sz w:val="15"/>
                <w:szCs w:val="15"/>
              </w:rPr>
              <w:t>/2023</w:t>
            </w:r>
          </w:p>
          <w:p w14:paraId="3AD02D93" w14:textId="77777777" w:rsidR="005860BC" w:rsidRPr="004B37EC" w:rsidRDefault="005860BC" w:rsidP="003757A9">
            <w:pPr>
              <w:jc w:val="center"/>
              <w:rPr>
                <w:rFonts w:ascii="Arial" w:eastAsia="Arial" w:hAnsi="Arial" w:cs="Arial"/>
                <w:sz w:val="15"/>
                <w:szCs w:val="15"/>
              </w:rPr>
            </w:pPr>
          </w:p>
        </w:tc>
        <w:tc>
          <w:tcPr>
            <w:tcW w:w="3365" w:type="dxa"/>
            <w:gridSpan w:val="2"/>
            <w:vAlign w:val="center"/>
          </w:tcPr>
          <w:p w14:paraId="5F713B70" w14:textId="77777777" w:rsidR="005860BC" w:rsidRPr="004B37EC" w:rsidRDefault="005860BC" w:rsidP="003757A9">
            <w:pPr>
              <w:jc w:val="center"/>
              <w:rPr>
                <w:rFonts w:ascii="Arial" w:hAnsi="Arial" w:cs="Arial"/>
                <w:sz w:val="16"/>
                <w:szCs w:val="16"/>
              </w:rPr>
            </w:pPr>
            <w:r w:rsidRPr="004B37EC">
              <w:rPr>
                <w:rFonts w:ascii="Arial" w:hAnsi="Arial" w:cs="Arial"/>
                <w:sz w:val="16"/>
                <w:szCs w:val="16"/>
              </w:rPr>
              <w:t>Aceptado</w:t>
            </w:r>
          </w:p>
          <w:p w14:paraId="3CCE9887" w14:textId="4A5C9A1D" w:rsidR="00C21442" w:rsidRPr="004B37EC" w:rsidRDefault="004B37EC" w:rsidP="00C21442">
            <w:pPr>
              <w:jc w:val="center"/>
              <w:rPr>
                <w:rFonts w:ascii="Arial" w:eastAsia="Arial" w:hAnsi="Arial" w:cs="Arial"/>
                <w:sz w:val="15"/>
                <w:szCs w:val="15"/>
              </w:rPr>
            </w:pPr>
            <w:r w:rsidRPr="004B37EC">
              <w:rPr>
                <w:rFonts w:ascii="Arial" w:eastAsia="Arial" w:hAnsi="Arial" w:cs="Arial"/>
                <w:sz w:val="15"/>
                <w:szCs w:val="15"/>
              </w:rPr>
              <w:t>20</w:t>
            </w:r>
            <w:r w:rsidR="0073664C" w:rsidRPr="004B37EC">
              <w:rPr>
                <w:rFonts w:ascii="Arial" w:eastAsia="Arial" w:hAnsi="Arial" w:cs="Arial"/>
                <w:sz w:val="15"/>
                <w:szCs w:val="15"/>
              </w:rPr>
              <w:t>/</w:t>
            </w:r>
            <w:r w:rsidRPr="004B37EC">
              <w:rPr>
                <w:rFonts w:ascii="Arial" w:eastAsia="Arial" w:hAnsi="Arial" w:cs="Arial"/>
                <w:sz w:val="15"/>
                <w:szCs w:val="15"/>
              </w:rPr>
              <w:t>12</w:t>
            </w:r>
            <w:r w:rsidR="002E2D23" w:rsidRPr="004B37EC">
              <w:rPr>
                <w:rFonts w:ascii="Arial" w:eastAsia="Arial" w:hAnsi="Arial" w:cs="Arial"/>
                <w:sz w:val="15"/>
                <w:szCs w:val="15"/>
              </w:rPr>
              <w:t>/2023</w:t>
            </w:r>
          </w:p>
          <w:p w14:paraId="6C63ABCD" w14:textId="77777777" w:rsidR="005860BC" w:rsidRPr="004B37EC" w:rsidRDefault="005860BC" w:rsidP="003757A9">
            <w:pPr>
              <w:jc w:val="center"/>
              <w:rPr>
                <w:rFonts w:ascii="Arial" w:eastAsia="Arial" w:hAnsi="Arial" w:cs="Arial"/>
                <w:sz w:val="15"/>
                <w:szCs w:val="15"/>
              </w:rPr>
            </w:pPr>
          </w:p>
        </w:tc>
      </w:tr>
      <w:tr w:rsidR="00221512" w:rsidRPr="00221512" w14:paraId="4DE2D6FF" w14:textId="77777777" w:rsidTr="00221512">
        <w:tblPrEx>
          <w:jc w:val="left"/>
        </w:tblPrEx>
        <w:tc>
          <w:tcPr>
            <w:tcW w:w="9426" w:type="dxa"/>
            <w:gridSpan w:val="7"/>
            <w:shd w:val="clear" w:color="auto" w:fill="C6D9F1" w:themeFill="text2" w:themeFillTint="33"/>
          </w:tcPr>
          <w:p w14:paraId="403E5B12" w14:textId="77777777" w:rsidR="00221512" w:rsidRPr="00EC0E85" w:rsidRDefault="00221512" w:rsidP="00221512">
            <w:pPr>
              <w:spacing w:line="276" w:lineRule="auto"/>
              <w:jc w:val="both"/>
              <w:rPr>
                <w:rFonts w:eastAsia="Arial" w:cstheme="minorHAnsi"/>
              </w:rPr>
            </w:pPr>
          </w:p>
          <w:p w14:paraId="33388833" w14:textId="77777777" w:rsidR="00221512" w:rsidRPr="00EC0E85" w:rsidRDefault="00221512" w:rsidP="00221512">
            <w:pPr>
              <w:shd w:val="clear" w:color="auto" w:fill="C6D9F1"/>
              <w:spacing w:line="276" w:lineRule="auto"/>
              <w:ind w:right="56"/>
              <w:jc w:val="center"/>
              <w:rPr>
                <w:rFonts w:eastAsia="Arial" w:cstheme="minorHAnsi"/>
                <w:b/>
                <w:sz w:val="24"/>
              </w:rPr>
            </w:pPr>
            <w:r w:rsidRPr="00EC0E85">
              <w:rPr>
                <w:rFonts w:cstheme="minorHAnsi"/>
                <w:b/>
              </w:rPr>
              <w:t>RESUMEN</w:t>
            </w:r>
          </w:p>
          <w:p w14:paraId="1ACDCB05" w14:textId="77777777" w:rsidR="00221512" w:rsidRPr="00EC0E85" w:rsidRDefault="00221512" w:rsidP="00221512">
            <w:pPr>
              <w:spacing w:line="276" w:lineRule="auto"/>
              <w:jc w:val="both"/>
              <w:rPr>
                <w:rFonts w:cstheme="minorHAnsi"/>
              </w:rPr>
            </w:pPr>
            <w:r w:rsidRPr="00EC0E85">
              <w:rPr>
                <w:rFonts w:cstheme="minorHAnsi"/>
              </w:rPr>
              <w:t>El delirium tremens (DT) en adultos mayores, como consecuencia de dejar de beber alcohol, plantea verdaderos desafíos tanto en el diagnóstico como en el tratamiento. Para diagnosticarlo, se parte de los síntomas que presenta la persona, como cambios en su estado mental, desorientación, agitación y alteraciones en su capacidad cognitiva. Es esencial diferenciar el DT de otras condiciones médicas que puedan tener síntomas parecidos, lo que demanda un cuidadoso proceso de diagnóstico diferencial para descartar otras causas.</w:t>
            </w:r>
          </w:p>
          <w:p w14:paraId="63F24506" w14:textId="77777777" w:rsidR="00221512" w:rsidRPr="00EC0E85" w:rsidRDefault="00221512" w:rsidP="00221512">
            <w:pPr>
              <w:spacing w:line="276" w:lineRule="auto"/>
              <w:jc w:val="both"/>
              <w:rPr>
                <w:rFonts w:cstheme="minorHAnsi"/>
              </w:rPr>
            </w:pPr>
            <w:r w:rsidRPr="00EC0E85">
              <w:rPr>
                <w:rFonts w:cstheme="minorHAnsi"/>
              </w:rPr>
              <w:t>En cuanto al tratamiento, se hace énfasis en estabilizar al paciente médicamente y prevenir complicaciones graves. En la mayoría de los casos, es necesario hospitalizar al paciente para administrar tratamientos médicos, como benzodiazepinas, que ayudan a controlar los síntomas agudos. La duración del tratamiento varía según la gravedad de los síntomas y cómo responde cada paciente a la medicación que recibe.</w:t>
            </w:r>
          </w:p>
          <w:p w14:paraId="604ED896" w14:textId="77777777" w:rsidR="00221512" w:rsidRPr="00EC0E85" w:rsidRDefault="00221512" w:rsidP="00221512">
            <w:pPr>
              <w:widowControl w:val="0"/>
              <w:pBdr>
                <w:top w:val="nil"/>
                <w:left w:val="nil"/>
                <w:bottom w:val="nil"/>
                <w:right w:val="nil"/>
                <w:between w:val="nil"/>
              </w:pBdr>
              <w:shd w:val="clear" w:color="auto" w:fill="C6D9F1"/>
              <w:spacing w:line="276" w:lineRule="auto"/>
              <w:ind w:left="22" w:right="56" w:hanging="22"/>
              <w:jc w:val="both"/>
              <w:rPr>
                <w:rFonts w:cstheme="minorHAnsi"/>
              </w:rPr>
            </w:pPr>
            <w:r w:rsidRPr="00EC0E85">
              <w:rPr>
                <w:rFonts w:cstheme="minorHAnsi"/>
              </w:rPr>
              <w:t xml:space="preserve">La frecuencia del DT en adultos mayores varía dependiendo de varios factores, incluyendo su historial de consumo de alcohol y las condiciones médicas previas que puedan tener. Sin embargo, debido a la dificultad que a menudo conlleva su diagnóstico y a las posibles complicaciones, se considera una condición médica grave que necesita atención inmediata y específica por parte del personal médico. </w:t>
            </w:r>
          </w:p>
          <w:p w14:paraId="4BD7D16D" w14:textId="77777777" w:rsidR="00221512" w:rsidRPr="00EC0E85" w:rsidRDefault="00221512" w:rsidP="00221512">
            <w:pPr>
              <w:widowControl w:val="0"/>
              <w:pBdr>
                <w:top w:val="nil"/>
                <w:left w:val="nil"/>
                <w:bottom w:val="nil"/>
                <w:right w:val="nil"/>
                <w:between w:val="nil"/>
              </w:pBdr>
              <w:shd w:val="clear" w:color="auto" w:fill="C6D9F1"/>
              <w:spacing w:line="276" w:lineRule="auto"/>
              <w:ind w:left="22" w:right="56" w:hanging="22"/>
              <w:jc w:val="both"/>
              <w:rPr>
                <w:rFonts w:cstheme="minorHAnsi"/>
              </w:rPr>
            </w:pPr>
          </w:p>
          <w:p w14:paraId="318A21C2" w14:textId="393662EC" w:rsidR="00221512" w:rsidRPr="00EC0E85" w:rsidRDefault="00221512" w:rsidP="00221512">
            <w:pPr>
              <w:widowControl w:val="0"/>
              <w:pBdr>
                <w:top w:val="nil"/>
                <w:left w:val="nil"/>
                <w:bottom w:val="nil"/>
                <w:right w:val="nil"/>
                <w:between w:val="nil"/>
              </w:pBdr>
              <w:shd w:val="clear" w:color="auto" w:fill="C6D9F1"/>
              <w:spacing w:line="276" w:lineRule="auto"/>
              <w:ind w:right="56"/>
              <w:jc w:val="both"/>
              <w:rPr>
                <w:rFonts w:eastAsia="Arial" w:cstheme="minorHAnsi"/>
              </w:rPr>
            </w:pPr>
            <w:r w:rsidRPr="00EC0E85">
              <w:rPr>
                <w:rFonts w:cstheme="minorHAnsi"/>
                <w:b/>
              </w:rPr>
              <w:t>PALABRAS CLAVE:</w:t>
            </w:r>
            <w:r w:rsidRPr="00EC0E85">
              <w:rPr>
                <w:rFonts w:cstheme="minorHAnsi"/>
              </w:rPr>
              <w:t xml:space="preserve"> </w:t>
            </w:r>
            <w:r w:rsidR="003340F0">
              <w:rPr>
                <w:rFonts w:cstheme="minorHAnsi"/>
              </w:rPr>
              <w:t>d</w:t>
            </w:r>
            <w:r w:rsidRPr="00EC0E85">
              <w:rPr>
                <w:rFonts w:cstheme="minorHAnsi"/>
              </w:rPr>
              <w:t>elirium tremens</w:t>
            </w:r>
            <w:r w:rsidR="00E00F49">
              <w:rPr>
                <w:rFonts w:cstheme="minorHAnsi"/>
              </w:rPr>
              <w:t>;</w:t>
            </w:r>
            <w:r w:rsidRPr="00EC0E85">
              <w:rPr>
                <w:rFonts w:cstheme="minorHAnsi"/>
              </w:rPr>
              <w:t xml:space="preserve"> </w:t>
            </w:r>
            <w:r w:rsidR="003B0466">
              <w:rPr>
                <w:rFonts w:cstheme="minorHAnsi"/>
              </w:rPr>
              <w:t xml:space="preserve">delirio por </w:t>
            </w:r>
            <w:r w:rsidRPr="00EC0E85">
              <w:rPr>
                <w:rFonts w:cstheme="minorHAnsi"/>
              </w:rPr>
              <w:t>abstinencia de alcohol</w:t>
            </w:r>
            <w:r w:rsidR="00E00F49">
              <w:rPr>
                <w:rFonts w:cstheme="minorHAnsi"/>
              </w:rPr>
              <w:t>;</w:t>
            </w:r>
            <w:r w:rsidRPr="00EC0E85">
              <w:rPr>
                <w:rFonts w:cstheme="minorHAnsi"/>
              </w:rPr>
              <w:t xml:space="preserve"> </w:t>
            </w:r>
            <w:r w:rsidR="003340F0">
              <w:rPr>
                <w:rFonts w:cstheme="minorHAnsi"/>
              </w:rPr>
              <w:t>a</w:t>
            </w:r>
            <w:r w:rsidR="003340F0" w:rsidRPr="003340F0">
              <w:rPr>
                <w:rFonts w:cstheme="minorHAnsi"/>
              </w:rPr>
              <w:t>bstinencia de alcohol</w:t>
            </w:r>
            <w:r w:rsidR="00E00F49">
              <w:rPr>
                <w:rFonts w:cstheme="minorHAnsi"/>
              </w:rPr>
              <w:t>;</w:t>
            </w:r>
            <w:r w:rsidR="003340F0">
              <w:rPr>
                <w:rFonts w:cstheme="minorHAnsi"/>
              </w:rPr>
              <w:t xml:space="preserve"> </w:t>
            </w:r>
            <w:r w:rsidRPr="00EC0E85">
              <w:rPr>
                <w:rFonts w:cstheme="minorHAnsi"/>
              </w:rPr>
              <w:t xml:space="preserve">adulto mayor. </w:t>
            </w:r>
          </w:p>
          <w:p w14:paraId="1B3DDD2E" w14:textId="77777777" w:rsidR="00221512" w:rsidRPr="00EC0E85" w:rsidRDefault="00221512" w:rsidP="00221512">
            <w:pPr>
              <w:widowControl w:val="0"/>
              <w:pBdr>
                <w:top w:val="nil"/>
                <w:left w:val="nil"/>
                <w:bottom w:val="nil"/>
                <w:right w:val="nil"/>
                <w:between w:val="nil"/>
              </w:pBdr>
              <w:shd w:val="clear" w:color="auto" w:fill="C6D9F1"/>
              <w:spacing w:line="276" w:lineRule="auto"/>
              <w:ind w:right="56" w:hanging="691"/>
              <w:jc w:val="both"/>
              <w:rPr>
                <w:rFonts w:eastAsia="Arial" w:cstheme="minorHAnsi"/>
              </w:rPr>
            </w:pPr>
          </w:p>
          <w:p w14:paraId="2F5AEF0D" w14:textId="77777777" w:rsidR="00221512" w:rsidRPr="00EC0E85" w:rsidRDefault="00221512" w:rsidP="00221512">
            <w:pPr>
              <w:widowControl w:val="0"/>
              <w:pBdr>
                <w:top w:val="nil"/>
                <w:left w:val="nil"/>
                <w:bottom w:val="nil"/>
                <w:right w:val="nil"/>
                <w:between w:val="nil"/>
              </w:pBdr>
              <w:shd w:val="clear" w:color="auto" w:fill="C6D9F1"/>
              <w:spacing w:line="276" w:lineRule="auto"/>
              <w:ind w:right="56"/>
              <w:jc w:val="center"/>
              <w:rPr>
                <w:rFonts w:eastAsia="Arial" w:cstheme="minorHAnsi"/>
                <w:b/>
                <w:lang w:val="en-US"/>
              </w:rPr>
            </w:pPr>
            <w:r w:rsidRPr="00EC0E85">
              <w:rPr>
                <w:rFonts w:cstheme="minorHAnsi"/>
                <w:b/>
                <w:lang w:val="en-US"/>
              </w:rPr>
              <w:t>ABSTRACT</w:t>
            </w:r>
          </w:p>
          <w:p w14:paraId="4E91882F" w14:textId="77777777" w:rsidR="00221512" w:rsidRPr="00EC0E85" w:rsidRDefault="00221512" w:rsidP="00221512">
            <w:pPr>
              <w:widowControl w:val="0"/>
              <w:shd w:val="clear" w:color="auto" w:fill="C6D9F1"/>
              <w:spacing w:line="276" w:lineRule="auto"/>
              <w:ind w:left="22" w:right="56" w:hanging="22"/>
              <w:jc w:val="both"/>
              <w:rPr>
                <w:rFonts w:cstheme="minorHAnsi"/>
                <w:sz w:val="24"/>
                <w:lang w:val="en-US"/>
              </w:rPr>
            </w:pPr>
            <w:r w:rsidRPr="00EC0E85">
              <w:rPr>
                <w:rFonts w:cstheme="minorHAnsi"/>
                <w:lang w:val="en-US"/>
              </w:rPr>
              <w:t xml:space="preserve">Delirium Tremens (DT) in older adults resulting from alcohol withdrawal poses significant diagnostic and treatment challenges. Diagnosis relies on observing clinical symptoms like </w:t>
            </w:r>
            <w:r w:rsidRPr="00EC0E85">
              <w:rPr>
                <w:rFonts w:cstheme="minorHAnsi"/>
                <w:lang w:val="en-US"/>
              </w:rPr>
              <w:lastRenderedPageBreak/>
              <w:t>changes in mental state, disorientation, agitation, and cognitive function changes. It's crucial to distinguish DT from other medical conditions with similar symptoms, demanding careful differential diagnosis to rule out other causes.</w:t>
            </w:r>
          </w:p>
          <w:p w14:paraId="40225156" w14:textId="77777777" w:rsidR="00221512" w:rsidRPr="00EC0E85" w:rsidRDefault="00221512" w:rsidP="00221512">
            <w:pPr>
              <w:widowControl w:val="0"/>
              <w:shd w:val="clear" w:color="auto" w:fill="C6D9F1"/>
              <w:spacing w:line="276" w:lineRule="auto"/>
              <w:ind w:left="22" w:right="56" w:hanging="22"/>
              <w:jc w:val="both"/>
              <w:rPr>
                <w:rFonts w:cstheme="minorHAnsi"/>
                <w:sz w:val="24"/>
                <w:lang w:val="en-US"/>
              </w:rPr>
            </w:pPr>
            <w:r w:rsidRPr="00EC0E85">
              <w:rPr>
                <w:rFonts w:cstheme="minorHAnsi"/>
                <w:lang w:val="en-US"/>
              </w:rPr>
              <w:t>Treatment focuses on medical stabilization and preventing severe complications. Hospitalization is often necessary to administer medical therapies, such as benzodiazepines, to manage acute symptoms. The duration of treatment varies based on symptom severity and the patient's response to medication.</w:t>
            </w:r>
          </w:p>
          <w:p w14:paraId="7F97170C" w14:textId="77777777" w:rsidR="00221512" w:rsidRPr="00EC0E85" w:rsidRDefault="00221512" w:rsidP="00221512">
            <w:pPr>
              <w:widowControl w:val="0"/>
              <w:shd w:val="clear" w:color="auto" w:fill="C6D9F1"/>
              <w:spacing w:line="276" w:lineRule="auto"/>
              <w:ind w:left="22" w:right="56" w:hanging="22"/>
              <w:jc w:val="both"/>
              <w:rPr>
                <w:rFonts w:cstheme="minorHAnsi"/>
                <w:sz w:val="24"/>
                <w:lang w:val="en-US"/>
              </w:rPr>
            </w:pPr>
            <w:r w:rsidRPr="00EC0E85">
              <w:rPr>
                <w:rFonts w:cstheme="minorHAnsi"/>
                <w:lang w:val="en-US"/>
              </w:rPr>
              <w:t>The prevalence of DT in older adults varies due to factors like alcohol consumption history and pre-existing medical conditions. However, given the often challenging diagnosis and potential complications, it's considered a serious medical condition requiring immediate and specific medical attention.</w:t>
            </w:r>
          </w:p>
          <w:p w14:paraId="625C1A26" w14:textId="77777777" w:rsidR="00221512" w:rsidRPr="00EC0E85" w:rsidRDefault="00221512" w:rsidP="00221512">
            <w:pPr>
              <w:widowControl w:val="0"/>
              <w:shd w:val="clear" w:color="auto" w:fill="C6D9F1"/>
              <w:spacing w:line="276" w:lineRule="auto"/>
              <w:ind w:left="22" w:right="56" w:hanging="22"/>
              <w:jc w:val="both"/>
              <w:rPr>
                <w:rFonts w:cstheme="minorHAnsi"/>
                <w:lang w:val="en-US"/>
              </w:rPr>
            </w:pPr>
          </w:p>
          <w:p w14:paraId="48E3D622" w14:textId="41D7CCBF" w:rsidR="00221512" w:rsidRPr="00EC0E85" w:rsidRDefault="00221512" w:rsidP="00221512">
            <w:pPr>
              <w:spacing w:line="276" w:lineRule="auto"/>
              <w:rPr>
                <w:rFonts w:eastAsia="Arial" w:cstheme="minorHAnsi"/>
                <w:lang w:val="en-US"/>
              </w:rPr>
            </w:pPr>
            <w:r w:rsidRPr="00EC0E85">
              <w:rPr>
                <w:rFonts w:cstheme="minorHAnsi"/>
                <w:b/>
                <w:bCs/>
                <w:lang w:val="en-US"/>
              </w:rPr>
              <w:t>KEYWORDS:</w:t>
            </w:r>
            <w:r w:rsidRPr="00EC0E85">
              <w:rPr>
                <w:rFonts w:cstheme="minorHAnsi"/>
                <w:lang w:val="en-US"/>
              </w:rPr>
              <w:t xml:space="preserve"> </w:t>
            </w:r>
            <w:r w:rsidR="007726EC">
              <w:rPr>
                <w:rFonts w:cstheme="minorHAnsi"/>
                <w:lang w:val="en-US"/>
              </w:rPr>
              <w:t>d</w:t>
            </w:r>
            <w:r w:rsidRPr="00EC0E85">
              <w:rPr>
                <w:rFonts w:cstheme="minorHAnsi"/>
                <w:lang w:val="en-US"/>
              </w:rPr>
              <w:t>elirium tremens</w:t>
            </w:r>
            <w:r w:rsidR="00E00F49">
              <w:rPr>
                <w:rFonts w:cstheme="minorHAnsi"/>
                <w:lang w:val="en-US"/>
              </w:rPr>
              <w:t>;</w:t>
            </w:r>
            <w:r w:rsidRPr="00EC0E85">
              <w:rPr>
                <w:rFonts w:cstheme="minorHAnsi"/>
                <w:lang w:val="en-US"/>
              </w:rPr>
              <w:t xml:space="preserve"> alcohol withdrawal</w:t>
            </w:r>
            <w:r w:rsidR="00E00F49">
              <w:rPr>
                <w:rFonts w:cstheme="minorHAnsi"/>
                <w:lang w:val="en-US"/>
              </w:rPr>
              <w:t>;</w:t>
            </w:r>
            <w:r w:rsidRPr="00EC0E85">
              <w:rPr>
                <w:rFonts w:cstheme="minorHAnsi"/>
                <w:lang w:val="en-US"/>
              </w:rPr>
              <w:t xml:space="preserve"> </w:t>
            </w:r>
            <w:r w:rsidR="003340F0" w:rsidRPr="003340F0">
              <w:rPr>
                <w:rFonts w:cstheme="minorHAnsi"/>
                <w:lang w:val="en-US"/>
              </w:rPr>
              <w:t>alcohol abstinence</w:t>
            </w:r>
            <w:r w:rsidR="00E00F49">
              <w:rPr>
                <w:rFonts w:cstheme="minorHAnsi"/>
                <w:lang w:val="en-US"/>
              </w:rPr>
              <w:t>; aged</w:t>
            </w:r>
            <w:r w:rsidRPr="00EC0E85">
              <w:rPr>
                <w:rFonts w:cstheme="minorHAnsi"/>
                <w:lang w:val="en-US"/>
              </w:rPr>
              <w:t>.</w:t>
            </w:r>
          </w:p>
          <w:p w14:paraId="7BD13174" w14:textId="09440F97" w:rsidR="00221512" w:rsidRPr="00221512" w:rsidRDefault="00221512" w:rsidP="00221512">
            <w:pPr>
              <w:spacing w:line="276" w:lineRule="auto"/>
              <w:rPr>
                <w:sz w:val="20"/>
                <w:lang w:val="en-US"/>
              </w:rPr>
            </w:pPr>
          </w:p>
        </w:tc>
      </w:tr>
      <w:tr w:rsidR="00221512" w:rsidRPr="00F20670" w14:paraId="4ECC3E1F" w14:textId="77777777" w:rsidTr="00221512">
        <w:trPr>
          <w:trHeight w:val="579"/>
          <w:jc w:val="center"/>
        </w:trPr>
        <w:tc>
          <w:tcPr>
            <w:tcW w:w="9426" w:type="dxa"/>
            <w:gridSpan w:val="7"/>
            <w:shd w:val="clear" w:color="auto" w:fill="FFFFFF" w:themeFill="background1"/>
          </w:tcPr>
          <w:p w14:paraId="66FDE8D0" w14:textId="77777777" w:rsidR="00221512" w:rsidRPr="00221512" w:rsidRDefault="00221512" w:rsidP="00221512">
            <w:pPr>
              <w:pStyle w:val="NormalWeb"/>
              <w:spacing w:before="160" w:after="0" w:afterAutospacing="0"/>
              <w:jc w:val="both"/>
              <w:rPr>
                <w:rFonts w:ascii="Arial" w:hAnsi="Arial" w:cs="Arial"/>
                <w:sz w:val="14"/>
                <w:szCs w:val="14"/>
                <w:vertAlign w:val="superscript"/>
              </w:rPr>
            </w:pPr>
          </w:p>
          <w:p w14:paraId="3D9180DD" w14:textId="21B19908" w:rsidR="00221512" w:rsidRDefault="00221512" w:rsidP="00221512">
            <w:pPr>
              <w:pStyle w:val="NormalWeb"/>
              <w:spacing w:before="0" w:beforeAutospacing="0" w:after="0" w:afterAutospacing="0"/>
              <w:jc w:val="both"/>
              <w:rPr>
                <w:rFonts w:ascii="Arial" w:hAnsi="Arial" w:cs="Arial"/>
                <w:sz w:val="14"/>
                <w:szCs w:val="14"/>
                <w:lang w:val="es-CR"/>
              </w:rPr>
            </w:pPr>
            <w:r w:rsidRPr="000D6A22">
              <w:rPr>
                <w:rFonts w:ascii="Arial" w:hAnsi="Arial" w:cs="Arial"/>
                <w:sz w:val="14"/>
                <w:szCs w:val="14"/>
                <w:vertAlign w:val="superscript"/>
                <w:lang w:val="es-CR"/>
              </w:rPr>
              <w:t xml:space="preserve">1 </w:t>
            </w:r>
            <w:r w:rsidR="00F20670" w:rsidRPr="00F20670">
              <w:rPr>
                <w:rFonts w:ascii="Arial" w:hAnsi="Arial" w:cs="Arial"/>
                <w:sz w:val="14"/>
                <w:szCs w:val="14"/>
                <w:lang w:val="es-CR"/>
              </w:rPr>
              <w:t xml:space="preserve">Médica general, graduada de la Universidad de Iberoamérica (UNIBE). Código médico: </w:t>
            </w:r>
            <w:hyperlink r:id="rId17" w:history="1">
              <w:r w:rsidR="00F20670" w:rsidRPr="006724E0">
                <w:rPr>
                  <w:rStyle w:val="Hipervnculo"/>
                  <w:rFonts w:ascii="Arial" w:hAnsi="Arial" w:cs="Arial"/>
                  <w:sz w:val="14"/>
                  <w:szCs w:val="14"/>
                  <w:lang w:val="es-CR"/>
                </w:rPr>
                <w:t>MED16725</w:t>
              </w:r>
            </w:hyperlink>
            <w:r w:rsidR="00F20670" w:rsidRPr="00F20670">
              <w:rPr>
                <w:rFonts w:ascii="Arial" w:hAnsi="Arial" w:cs="Arial"/>
                <w:sz w:val="14"/>
                <w:szCs w:val="14"/>
                <w:lang w:val="es-CR"/>
              </w:rPr>
              <w:t>. Correo: josyci@hotmail.com</w:t>
            </w:r>
          </w:p>
          <w:p w14:paraId="40A14620" w14:textId="34688F72" w:rsidR="00221512" w:rsidRDefault="00221512" w:rsidP="00221512">
            <w:pPr>
              <w:pStyle w:val="NormalWeb"/>
              <w:spacing w:before="0" w:beforeAutospacing="0" w:after="0" w:afterAutospacing="0"/>
              <w:jc w:val="both"/>
              <w:rPr>
                <w:rFonts w:ascii="Arial" w:hAnsi="Arial" w:cs="Arial"/>
                <w:sz w:val="14"/>
                <w:szCs w:val="14"/>
                <w:lang w:val="es-CR"/>
              </w:rPr>
            </w:pPr>
            <w:r>
              <w:rPr>
                <w:rFonts w:ascii="Arial" w:hAnsi="Arial" w:cs="Arial"/>
                <w:sz w:val="14"/>
                <w:szCs w:val="14"/>
                <w:vertAlign w:val="superscript"/>
                <w:lang w:val="es-CR"/>
              </w:rPr>
              <w:t>2</w:t>
            </w:r>
            <w:r w:rsidRPr="000D6A22">
              <w:rPr>
                <w:rFonts w:ascii="Arial" w:hAnsi="Arial" w:cs="Arial"/>
                <w:sz w:val="14"/>
                <w:szCs w:val="14"/>
                <w:vertAlign w:val="superscript"/>
                <w:lang w:val="es-CR"/>
              </w:rPr>
              <w:t xml:space="preserve"> </w:t>
            </w:r>
            <w:r w:rsidR="00F20670" w:rsidRPr="00F20670">
              <w:rPr>
                <w:rFonts w:ascii="Arial" w:hAnsi="Arial" w:cs="Arial"/>
                <w:sz w:val="14"/>
                <w:szCs w:val="14"/>
                <w:lang w:val="es-CR"/>
              </w:rPr>
              <w:t xml:space="preserve">Médico general, graduado de la Universidad de Ciencias Médicas (UCIMED). Código médico: </w:t>
            </w:r>
            <w:hyperlink r:id="rId18" w:history="1">
              <w:r w:rsidR="00F20670" w:rsidRPr="006724E0">
                <w:rPr>
                  <w:rStyle w:val="Hipervnculo"/>
                  <w:rFonts w:ascii="Arial" w:hAnsi="Arial" w:cs="Arial"/>
                  <w:sz w:val="14"/>
                  <w:szCs w:val="14"/>
                  <w:lang w:val="es-CR"/>
                </w:rPr>
                <w:t>MED16102</w:t>
              </w:r>
            </w:hyperlink>
            <w:r w:rsidR="00F20670" w:rsidRPr="00F20670">
              <w:rPr>
                <w:rFonts w:ascii="Arial" w:hAnsi="Arial" w:cs="Arial"/>
                <w:sz w:val="14"/>
                <w:szCs w:val="14"/>
                <w:lang w:val="es-CR"/>
              </w:rPr>
              <w:t>. Correo: jocdelao@yahoo.com</w:t>
            </w:r>
          </w:p>
          <w:p w14:paraId="397B6B32" w14:textId="55F00C7B" w:rsidR="00221512" w:rsidRPr="00A26B89" w:rsidRDefault="00221512" w:rsidP="00221512">
            <w:pPr>
              <w:pStyle w:val="NormalWeb"/>
              <w:spacing w:before="0" w:beforeAutospacing="0" w:after="0" w:afterAutospacing="0"/>
              <w:jc w:val="both"/>
              <w:rPr>
                <w:rFonts w:ascii="Arial" w:hAnsi="Arial" w:cs="Arial"/>
                <w:sz w:val="14"/>
                <w:szCs w:val="14"/>
                <w:lang w:val="es-CR"/>
              </w:rPr>
            </w:pPr>
            <w:r>
              <w:rPr>
                <w:rFonts w:ascii="Arial" w:hAnsi="Arial" w:cs="Arial"/>
                <w:sz w:val="14"/>
                <w:szCs w:val="14"/>
                <w:vertAlign w:val="superscript"/>
                <w:lang w:val="es-CR"/>
              </w:rPr>
              <w:t>3</w:t>
            </w:r>
            <w:r w:rsidRPr="000D6A22">
              <w:rPr>
                <w:rFonts w:ascii="Arial" w:hAnsi="Arial" w:cs="Arial"/>
                <w:sz w:val="14"/>
                <w:szCs w:val="14"/>
                <w:vertAlign w:val="superscript"/>
                <w:lang w:val="es-CR"/>
              </w:rPr>
              <w:t xml:space="preserve"> </w:t>
            </w:r>
            <w:r w:rsidR="000E5A06" w:rsidRPr="000E5A06">
              <w:rPr>
                <w:rFonts w:ascii="Arial" w:hAnsi="Arial" w:cs="Arial"/>
                <w:sz w:val="14"/>
                <w:szCs w:val="14"/>
                <w:lang w:val="es-CR"/>
              </w:rPr>
              <w:t xml:space="preserve">Médico general, graduado de la Universidad Latina de Costa Rica (ULatina). Código médico: </w:t>
            </w:r>
            <w:hyperlink r:id="rId19" w:history="1">
              <w:r w:rsidR="000E5A06" w:rsidRPr="0072458C">
                <w:rPr>
                  <w:rStyle w:val="Hipervnculo"/>
                  <w:rFonts w:ascii="Arial" w:hAnsi="Arial" w:cs="Arial"/>
                  <w:sz w:val="14"/>
                  <w:szCs w:val="14"/>
                  <w:lang w:val="es-CR"/>
                </w:rPr>
                <w:t>MED</w:t>
              </w:r>
              <w:r w:rsidR="00DD7FA2" w:rsidRPr="0072458C">
                <w:rPr>
                  <w:rStyle w:val="Hipervnculo"/>
                  <w:rFonts w:ascii="Arial" w:hAnsi="Arial" w:cs="Arial"/>
                  <w:sz w:val="14"/>
                  <w:szCs w:val="14"/>
                  <w:lang w:val="es-CR"/>
                </w:rPr>
                <w:t>16853</w:t>
              </w:r>
            </w:hyperlink>
            <w:r w:rsidR="000E5A06" w:rsidRPr="000E5A06">
              <w:rPr>
                <w:rFonts w:ascii="Arial" w:hAnsi="Arial" w:cs="Arial"/>
                <w:sz w:val="14"/>
                <w:szCs w:val="14"/>
                <w:lang w:val="es-CR"/>
              </w:rPr>
              <w:t>. Correo: thonny.mata@gmail.com</w:t>
            </w:r>
          </w:p>
        </w:tc>
      </w:tr>
    </w:tbl>
    <w:p w14:paraId="0C7806C1" w14:textId="77777777" w:rsidR="005860BC" w:rsidRPr="004D7BD5" w:rsidRDefault="005860BC" w:rsidP="005860BC">
      <w:pPr>
        <w:tabs>
          <w:tab w:val="left" w:pos="5610"/>
        </w:tabs>
        <w:rPr>
          <w:lang w:val="es-CR"/>
        </w:rPr>
      </w:pPr>
    </w:p>
    <w:p w14:paraId="6C69026A" w14:textId="77777777" w:rsidR="001D7EE2" w:rsidRPr="004D7BD5" w:rsidRDefault="001D7EE2" w:rsidP="00590B18">
      <w:pPr>
        <w:pStyle w:val="Ttulo1"/>
        <w:spacing w:after="0"/>
        <w:ind w:right="-45"/>
        <w:jc w:val="left"/>
        <w:sectPr w:rsidR="001D7EE2" w:rsidRPr="004D7BD5" w:rsidSect="00EA46DB">
          <w:headerReference w:type="default" r:id="rId20"/>
          <w:footerReference w:type="default" r:id="rId21"/>
          <w:footerReference w:type="first" r:id="rId22"/>
          <w:type w:val="continuous"/>
          <w:pgSz w:w="12240" w:h="15840"/>
          <w:pgMar w:top="1380" w:right="1467" w:bottom="280" w:left="1320" w:header="720" w:footer="720" w:gutter="0"/>
          <w:cols w:space="720"/>
          <w:titlePg/>
          <w:docGrid w:linePitch="299"/>
        </w:sectPr>
      </w:pPr>
    </w:p>
    <w:p w14:paraId="2EC093D9" w14:textId="77777777" w:rsidR="00FB2E51" w:rsidRPr="00FB2E51" w:rsidRDefault="00FB2E51" w:rsidP="008F4548">
      <w:pPr>
        <w:pStyle w:val="Ttulo"/>
      </w:pPr>
      <w:r w:rsidRPr="008F4548">
        <w:t>INTRODUCCIÓN</w:t>
      </w:r>
    </w:p>
    <w:p w14:paraId="788CEED4" w14:textId="77777777" w:rsidR="00221512" w:rsidRPr="00221512" w:rsidRDefault="00221512" w:rsidP="00221512">
      <w:pPr>
        <w:jc w:val="both"/>
        <w:rPr>
          <w:lang w:val="es-CR"/>
        </w:rPr>
      </w:pPr>
      <w:r w:rsidRPr="00221512">
        <w:rPr>
          <w:lang w:val="es-CR"/>
        </w:rPr>
        <w:t>En contexto mundial actual, se ha evidenciado un incremento considerable en cuanto las personas en edad avanzada, lo que ha implicado en para instituciones rectoras en materia de salud (1). Esto puede evidenciar en la proporción de crecimiento en el que las personas de edad avanzada correspondían en el año de 1994 al 9% de la población mundial, en año 2014 representaba el 12% y se espera que para el año 2050 corresponda al 21% (2).</w:t>
      </w:r>
    </w:p>
    <w:p w14:paraId="51B33CCA" w14:textId="77777777" w:rsidR="00221512" w:rsidRPr="00221512" w:rsidRDefault="00221512" w:rsidP="00221512">
      <w:pPr>
        <w:jc w:val="both"/>
        <w:rPr>
          <w:lang w:val="es-CR"/>
        </w:rPr>
      </w:pPr>
      <w:r w:rsidRPr="00221512">
        <w:rPr>
          <w:lang w:val="es-CR"/>
        </w:rPr>
        <w:t>Considerando los datos anteriores, es alta la incidencia de emergencias de la población adulta mayor, que visitan los departamentos de emergencias y las admisiones que estos pueden tener en unidades de cuidados intensivos debido a las posibles complicaciones que puedan presentar. La atención de emergencias en esta población se caracteriza por ser en muchos casos complicada y multifacética, principalmente por la baja capacidad física, las múltiples comorbilidades y la mayor gravedad de las enfermedades que pueden presentar (2).</w:t>
      </w:r>
    </w:p>
    <w:p w14:paraId="6430024C" w14:textId="232EFF6F" w:rsidR="00221512" w:rsidRPr="00221512" w:rsidRDefault="00221512" w:rsidP="00221512">
      <w:pPr>
        <w:jc w:val="both"/>
        <w:rPr>
          <w:lang w:val="es-CR"/>
        </w:rPr>
      </w:pPr>
      <w:r w:rsidRPr="00221512">
        <w:rPr>
          <w:lang w:val="es-CR"/>
        </w:rPr>
        <w:t xml:space="preserve">Desde esta perspectiva, una de las patologías que se presentan y en las que la </w:t>
      </w:r>
      <w:r w:rsidRPr="00221512">
        <w:rPr>
          <w:lang w:val="es-CR"/>
        </w:rPr>
        <w:t>edad es uno de los factores predisponentes es el delirium. Este es caracterizado por un inicio agudo de confusión que varía durante el día. En el caso específico del delirium tremens, sus características principales son la agitación, taquicardia, temblores e hipertensión que son generadas como consecuencia de la deprivación de alcohol (3).</w:t>
      </w:r>
    </w:p>
    <w:p w14:paraId="20D5138C" w14:textId="77777777" w:rsidR="00221512" w:rsidRPr="00221512" w:rsidRDefault="00221512" w:rsidP="00221512">
      <w:pPr>
        <w:jc w:val="both"/>
        <w:rPr>
          <w:lang w:val="es-CR"/>
        </w:rPr>
      </w:pPr>
    </w:p>
    <w:p w14:paraId="295BB7F4" w14:textId="1EECE73E" w:rsidR="00221512" w:rsidRPr="00F72F87" w:rsidRDefault="00221512" w:rsidP="00221512">
      <w:pPr>
        <w:pStyle w:val="Ttulo1"/>
      </w:pPr>
      <w:r w:rsidRPr="00F72F87">
        <w:t>MÉTODO</w:t>
      </w:r>
    </w:p>
    <w:p w14:paraId="3EACDA2A" w14:textId="77777777" w:rsidR="00221512" w:rsidRPr="00221512" w:rsidRDefault="00221512" w:rsidP="00221512">
      <w:pPr>
        <w:jc w:val="both"/>
        <w:rPr>
          <w:lang w:val="es-CR"/>
        </w:rPr>
      </w:pPr>
      <w:r w:rsidRPr="00221512">
        <w:rPr>
          <w:lang w:val="es-CR"/>
        </w:rPr>
        <w:t xml:space="preserve">Se elaboró un estudio descriptivo donde se hizo uso de la literatura científica existente en torno al delirium tremens en el adulto mayor crítico. Los artículos revisados están publicados en revistas científicas en idiomas inglés y español. Dichas revistas están dispuestas en directorios académicos como PubMed, Science Direct, SciELO y Springer. El periodo objeto de análisis fue entre 2018 y 2023. </w:t>
      </w:r>
    </w:p>
    <w:p w14:paraId="083A64E3" w14:textId="77777777" w:rsidR="00221512" w:rsidRPr="00221512" w:rsidRDefault="00221512" w:rsidP="00221512">
      <w:pPr>
        <w:jc w:val="both"/>
        <w:rPr>
          <w:lang w:val="es-CR"/>
        </w:rPr>
      </w:pPr>
    </w:p>
    <w:p w14:paraId="433D13F5" w14:textId="77777777" w:rsidR="00221512" w:rsidRPr="00F72F87" w:rsidRDefault="00221512" w:rsidP="00221512">
      <w:pPr>
        <w:pStyle w:val="Ttulo1"/>
      </w:pPr>
      <w:bookmarkStart w:id="0" w:name="_heading=h.fmupa1s50wup" w:colFirst="0" w:colLast="0"/>
      <w:bookmarkEnd w:id="0"/>
      <w:r w:rsidRPr="00F72F87">
        <w:t>ADULTO MAYOR CRÓNICO</w:t>
      </w:r>
    </w:p>
    <w:p w14:paraId="19338063" w14:textId="77777777" w:rsidR="00221512" w:rsidRPr="00221512" w:rsidRDefault="00221512" w:rsidP="00221512">
      <w:pPr>
        <w:jc w:val="both"/>
        <w:rPr>
          <w:lang w:val="es-CR"/>
        </w:rPr>
      </w:pPr>
      <w:r w:rsidRPr="00221512">
        <w:rPr>
          <w:lang w:val="es-CR"/>
        </w:rPr>
        <w:t xml:space="preserve">En la actualidad, la literatura científica ha documentado una serie de enfermedades que carecen de una solución definitiva en las </w:t>
      </w:r>
      <w:r w:rsidRPr="00221512">
        <w:rPr>
          <w:lang w:val="es-CR"/>
        </w:rPr>
        <w:lastRenderedPageBreak/>
        <w:t>personas adultas mayores, y cuya intervención se realiza por medio de tratamientos que tienen como propósito mantener a las personas en un estado funcional. Estas patologías representan al menos, en términos de muertes y discapacidades a nivel mundial, el 46%. Dentro de estas se incluyen enfermedades tales como la hipertensión, la diabetes, osteoporosis, cáncer, enfermedades pulmonares, deficiencias sensoriales, enfermedades osteomusculares, demencias, incontinencia urinaria y enfermedades cerebrovasculares. Las principales manifestaciones clínicas de estas enfermedades se muestran en la clara disminución de su funcionalidad física, cognitiva y sensorial, siendo un aspecto característico la reducción de la autonomía y el incremento de la dependencia hacia familiares o cuidadores (4).</w:t>
      </w:r>
    </w:p>
    <w:p w14:paraId="67D11C65" w14:textId="77777777" w:rsidR="00221512" w:rsidRPr="00221512" w:rsidRDefault="00221512" w:rsidP="00221512">
      <w:pPr>
        <w:jc w:val="both"/>
        <w:rPr>
          <w:lang w:val="es-CR"/>
        </w:rPr>
      </w:pPr>
      <w:r w:rsidRPr="00221512">
        <w:rPr>
          <w:lang w:val="es-CR"/>
        </w:rPr>
        <w:t>Igualmente, se identifica en la literatura que, tanto en países desarrollados como en vías de desarrollo, uno de los factores asociados que incrementa el surgimiento de enfermedades es el consumo de alcohol, que para efectos de este estudio se vincula con el surgimiento del delirium tremens en la población adulta mayor (5).</w:t>
      </w:r>
    </w:p>
    <w:p w14:paraId="5C3B4500" w14:textId="77777777" w:rsidR="00221512" w:rsidRPr="00221512" w:rsidRDefault="00221512" w:rsidP="00221512">
      <w:pPr>
        <w:jc w:val="both"/>
        <w:rPr>
          <w:sz w:val="20"/>
          <w:szCs w:val="20"/>
          <w:lang w:val="es-CR"/>
        </w:rPr>
      </w:pPr>
    </w:p>
    <w:p w14:paraId="68D309EF" w14:textId="77777777" w:rsidR="00221512" w:rsidRPr="00EC0E85" w:rsidRDefault="00221512" w:rsidP="00221512">
      <w:pPr>
        <w:pStyle w:val="Ttulo1"/>
      </w:pPr>
      <w:r w:rsidRPr="00F72F87">
        <w:t xml:space="preserve">DELIRIUM TREMENS </w:t>
      </w:r>
    </w:p>
    <w:p w14:paraId="0330F61C" w14:textId="77777777" w:rsidR="00221512" w:rsidRPr="00221512" w:rsidRDefault="00221512" w:rsidP="00221512">
      <w:pPr>
        <w:jc w:val="both"/>
        <w:rPr>
          <w:lang w:val="es-CR"/>
        </w:rPr>
      </w:pPr>
      <w:r w:rsidRPr="00221512">
        <w:rPr>
          <w:lang w:val="es-CR"/>
        </w:rPr>
        <w:t>El delirium tremens, dentro del ámbito médico, ha sido extensamente estudiado en adultos mayores, siendo uno de sus rasgos distintivos el inicio repentino de confusión que fluctúa a lo largo del día. Este estado, provocado por la privación de alcohol, se manifiesta con síntomas como confusión aguda, taquicardia, temblores e hipertensión. Considerado el nivel más grave de abstinencia alcohólica, el delirium tremens se aborda con frecuencia en entornos hospitalarios durante las fases críticas de los pacientes (3).</w:t>
      </w:r>
    </w:p>
    <w:p w14:paraId="085E5350" w14:textId="77777777" w:rsidR="00221512" w:rsidRPr="00221512" w:rsidRDefault="00221512" w:rsidP="00221512">
      <w:pPr>
        <w:jc w:val="both"/>
        <w:rPr>
          <w:lang w:val="es-CR"/>
        </w:rPr>
      </w:pPr>
      <w:r w:rsidRPr="00221512">
        <w:rPr>
          <w:lang w:val="es-CR"/>
        </w:rPr>
        <w:t>Sin embargo, en la literatura actual, las definiciones y clasificaciones del delirium tremens muestran discrepancias, lo que dificulta su diagnóstico preciso en casos clínicos. Se ha identificado como crucial para su identificación la presencia del síndrome confusional, junto con los síntomas mencionados anteriormente, como temblores, trastornos autonómicos graves y alucinaciones.</w:t>
      </w:r>
    </w:p>
    <w:p w14:paraId="25AECDF4" w14:textId="77777777" w:rsidR="00221512" w:rsidRPr="00221512" w:rsidRDefault="00221512" w:rsidP="00221512">
      <w:pPr>
        <w:jc w:val="both"/>
        <w:rPr>
          <w:lang w:val="es-CR"/>
        </w:rPr>
      </w:pPr>
      <w:r w:rsidRPr="00221512">
        <w:rPr>
          <w:lang w:val="es-CR"/>
        </w:rPr>
        <w:t>Algunos investigadores han propuesto una forma menos grave del delirium tremens, caracterizada por temblores, taquicardia y trastornos del sueño, mientras que la forma clásica y más severa incluye delirios, alucinaciones, elevación del estado de ánimo, taquicardia, hipertensión y sudoración excesiva.</w:t>
      </w:r>
    </w:p>
    <w:p w14:paraId="3E1FC25A" w14:textId="77777777" w:rsidR="00221512" w:rsidRPr="00221512" w:rsidRDefault="00221512" w:rsidP="00221512">
      <w:pPr>
        <w:jc w:val="both"/>
        <w:rPr>
          <w:lang w:val="es-CR"/>
        </w:rPr>
      </w:pPr>
      <w:r w:rsidRPr="00221512">
        <w:rPr>
          <w:lang w:val="es-CR"/>
        </w:rPr>
        <w:t>El diagnóstico puede ser desafiante debido a la presencia de otras condiciones clínicas, como lesiones cerebrales traumáticas o convulsiones recientes, lo que dificulta el trabajo de los profesionales de la salud. Además, se ha observado que los pacientes hospitalizados con delirium tremens suelen ser difíciles de manejar y su estancia tiende a prolongarse (4).</w:t>
      </w:r>
    </w:p>
    <w:p w14:paraId="636FD48B" w14:textId="77777777" w:rsidR="00221512" w:rsidRPr="00221512" w:rsidRDefault="00221512" w:rsidP="00221512">
      <w:pPr>
        <w:jc w:val="both"/>
        <w:rPr>
          <w:lang w:val="es-CR"/>
        </w:rPr>
      </w:pPr>
      <w:r w:rsidRPr="00221512">
        <w:rPr>
          <w:lang w:val="es-CR"/>
        </w:rPr>
        <w:t>El consumo de alcohol deprime el funcionamiento del sistema nervioso central, aumentando la actividad del ácido gamma-aminobutírico (GABA), un neurotransmisor encargado de reducir la actividad de los neurotransmisores excitatorios. El alcohol potencia la producción de GABA, lo que altera su funcionamiento y modifica los receptores asociados.</w:t>
      </w:r>
    </w:p>
    <w:p w14:paraId="5439B28F" w14:textId="77777777" w:rsidR="00221512" w:rsidRPr="00221512" w:rsidRDefault="00221512" w:rsidP="00221512">
      <w:pPr>
        <w:jc w:val="both"/>
        <w:rPr>
          <w:lang w:val="es-CR"/>
        </w:rPr>
      </w:pPr>
      <w:r w:rsidRPr="00221512">
        <w:rPr>
          <w:lang w:val="es-CR"/>
        </w:rPr>
        <w:t>Este desequilibrio neuroquímico resultante del consumo de alcohol subraya la complejidad del delirium tremens y su impacto en la salud mental y física de los pacientes adultos mayores (5).</w:t>
      </w:r>
    </w:p>
    <w:p w14:paraId="4483FE87" w14:textId="77777777" w:rsidR="00221512" w:rsidRPr="00221512" w:rsidRDefault="00221512" w:rsidP="00221512">
      <w:pPr>
        <w:jc w:val="both"/>
        <w:rPr>
          <w:lang w:val="es-CR"/>
        </w:rPr>
      </w:pPr>
    </w:p>
    <w:p w14:paraId="16C84E12" w14:textId="77777777" w:rsidR="00221512" w:rsidRPr="003A39CD" w:rsidRDefault="00221512" w:rsidP="00221512">
      <w:pPr>
        <w:pStyle w:val="Ttulo1"/>
      </w:pPr>
      <w:r w:rsidRPr="003A39CD">
        <w:t>DIAGNÓSTICO DEL DT</w:t>
      </w:r>
    </w:p>
    <w:p w14:paraId="2F502FC7" w14:textId="77777777" w:rsidR="0030142E" w:rsidRDefault="0030142E" w:rsidP="00221512">
      <w:pPr>
        <w:jc w:val="both"/>
        <w:rPr>
          <w:lang w:val="es-CR"/>
        </w:rPr>
      </w:pPr>
    </w:p>
    <w:p w14:paraId="1D67D7E4" w14:textId="3245C042" w:rsidR="00221512" w:rsidRPr="00221512" w:rsidRDefault="00221512" w:rsidP="00221512">
      <w:pPr>
        <w:jc w:val="both"/>
        <w:rPr>
          <w:lang w:val="es-CR"/>
        </w:rPr>
      </w:pPr>
      <w:r w:rsidRPr="00221512">
        <w:rPr>
          <w:lang w:val="es-CR"/>
        </w:rPr>
        <w:lastRenderedPageBreak/>
        <w:t>En el contexto del delirium tremens (DT), identificarlo de manera temprana es fundamental para prevenir posibles complicaciones graves y, en consecuencia, reducir tanto la morbilidad como la mortalidad asociada. Como se ha mencionado previamente, el diagnóstico se basa en diversos aspectos, como los antecedentes de consumo de alcohol, las manifestaciones clínicas, la gravedad y la evolución de los síntomas, su duración y la evaluación de la gravedad (6).</w:t>
      </w:r>
    </w:p>
    <w:p w14:paraId="33D20704" w14:textId="77777777" w:rsidR="00221512" w:rsidRPr="00221512" w:rsidRDefault="00221512" w:rsidP="00221512">
      <w:pPr>
        <w:jc w:val="both"/>
        <w:rPr>
          <w:lang w:val="es-CR"/>
        </w:rPr>
      </w:pPr>
      <w:r w:rsidRPr="00221512">
        <w:rPr>
          <w:lang w:val="es-CR"/>
        </w:rPr>
        <w:t>Los antecedentes de consumo excesivo y prolongado de alcohol son indicativos de riesgo para el desarrollo del DT, aunque no constituyen un predictor directo. Las manifestaciones clínicas suelen incluir delirio hipercinético, temblores, alucinaciones, hipertermia y problemas graves de autonomía. Los síntomas de abstinencia del alcohol suelen aparecer en las primeras 6 a 8 horas tras la interrupción del consumo (7).</w:t>
      </w:r>
    </w:p>
    <w:p w14:paraId="1B63FF58" w14:textId="77777777" w:rsidR="00221512" w:rsidRPr="00221512" w:rsidRDefault="00221512" w:rsidP="00221512">
      <w:pPr>
        <w:jc w:val="both"/>
        <w:rPr>
          <w:lang w:val="es-CR"/>
        </w:rPr>
      </w:pPr>
      <w:r w:rsidRPr="00221512">
        <w:rPr>
          <w:lang w:val="es-CR"/>
        </w:rPr>
        <w:t>La gravedad y la evolución de los síntomas tienden a empeorar en las primeras 48 a 72 horas después de la última ingesta alcohólica. El DT puede presentarse entre el segundo y el quinto día de abstinencia, aunque existen casos en los que este inicio se retrasa hasta una semana. Por lo general, los síntomas tienen una duración aproximada de 2 a 5 días, aunque la mayoría de los pacientes los manifiestan durante períodos más cortos, inferiores a cinco días.</w:t>
      </w:r>
    </w:p>
    <w:p w14:paraId="6647931B" w14:textId="77777777" w:rsidR="00221512" w:rsidRPr="00221512" w:rsidRDefault="00221512" w:rsidP="00221512">
      <w:pPr>
        <w:jc w:val="both"/>
        <w:rPr>
          <w:lang w:val="es-CR"/>
        </w:rPr>
      </w:pPr>
      <w:r w:rsidRPr="00221512">
        <w:rPr>
          <w:lang w:val="es-CR"/>
        </w:rPr>
        <w:t>Para evaluar la gravedad, se utilizan escalas como la Clinical Institute Withdrawal Assessment for Alcohol, Revised Scale (CIWA-Ar). Esta escala permite evaluar la gravedad de los síntomas de abstinencia, siendo mayor el riesgo de DT cuando las puntuaciones son altas según esta escala.</w:t>
      </w:r>
    </w:p>
    <w:p w14:paraId="62E35F3A" w14:textId="77777777" w:rsidR="00221512" w:rsidRDefault="00221512" w:rsidP="00221512">
      <w:pPr>
        <w:jc w:val="both"/>
      </w:pPr>
      <w:r w:rsidRPr="00221512">
        <w:rPr>
          <w:lang w:val="es-CR"/>
        </w:rPr>
        <w:t xml:space="preserve">El reconocimiento temprano de estos factores es esencial para intervenir de manera efectiva y evitar complicaciones </w:t>
      </w:r>
      <w:r w:rsidRPr="00221512">
        <w:rPr>
          <w:lang w:val="es-CR"/>
        </w:rPr>
        <w:t xml:space="preserve">graves en pacientes con delirium tremens relacionado con la abstinencia de alcohol. </w:t>
      </w:r>
      <w:r>
        <w:t>(7)</w:t>
      </w:r>
    </w:p>
    <w:p w14:paraId="47C92DE7" w14:textId="77777777" w:rsidR="00221512" w:rsidRDefault="00221512" w:rsidP="00221512">
      <w:pPr>
        <w:jc w:val="both"/>
      </w:pPr>
    </w:p>
    <w:tbl>
      <w:tblPr>
        <w:tblStyle w:val="Tablaconcuadrcula"/>
        <w:tblW w:w="0" w:type="auto"/>
        <w:tblLook w:val="04A0" w:firstRow="1" w:lastRow="0" w:firstColumn="1" w:lastColumn="0" w:noHBand="0" w:noVBand="1"/>
      </w:tblPr>
      <w:tblGrid>
        <w:gridCol w:w="4296"/>
      </w:tblGrid>
      <w:tr w:rsidR="0030142E" w14:paraId="79101F83" w14:textId="77777777" w:rsidTr="00FE0B2B">
        <w:tc>
          <w:tcPr>
            <w:tcW w:w="4296" w:type="dxa"/>
          </w:tcPr>
          <w:p w14:paraId="0B453508" w14:textId="77777777" w:rsidR="0030142E" w:rsidRDefault="0030142E" w:rsidP="00FE0B2B">
            <w:pPr>
              <w:jc w:val="both"/>
              <w:rPr>
                <w:lang w:val="es-CR"/>
              </w:rPr>
            </w:pPr>
            <w:r w:rsidRPr="008F4121">
              <w:rPr>
                <w:b/>
              </w:rPr>
              <w:t>Figura 1</w:t>
            </w:r>
            <w:r>
              <w:t>. Algoritmo del diagnóstico</w:t>
            </w:r>
          </w:p>
        </w:tc>
      </w:tr>
      <w:tr w:rsidR="0030142E" w14:paraId="61D3645F" w14:textId="77777777" w:rsidTr="00FE0B2B">
        <w:tc>
          <w:tcPr>
            <w:tcW w:w="4296" w:type="dxa"/>
          </w:tcPr>
          <w:p w14:paraId="7A95D9D9" w14:textId="77777777" w:rsidR="0030142E" w:rsidRDefault="0030142E" w:rsidP="00FE0B2B">
            <w:pPr>
              <w:jc w:val="center"/>
              <w:rPr>
                <w:lang w:val="es-CR"/>
              </w:rPr>
            </w:pPr>
            <w:r w:rsidRPr="00203DD6">
              <w:rPr>
                <w:rFonts w:ascii="Times New Roman" w:eastAsia="Times New Roman" w:hAnsi="Times New Roman" w:cs="Times New Roman"/>
                <w:noProof/>
                <w:sz w:val="24"/>
                <w:szCs w:val="24"/>
                <w:lang w:val="es-CR" w:eastAsia="es-CR"/>
              </w:rPr>
              <w:drawing>
                <wp:inline distT="0" distB="0" distL="0" distR="0" wp14:anchorId="05BE8B2C" wp14:editId="79EDD7B8">
                  <wp:extent cx="2291374" cy="4515901"/>
                  <wp:effectExtent l="0" t="0" r="0" b="0"/>
                  <wp:docPr id="120086035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300368" cy="4533627"/>
                          </a:xfrm>
                          <a:prstGeom prst="rect">
                            <a:avLst/>
                          </a:prstGeom>
                          <a:noFill/>
                          <a:ln>
                            <a:noFill/>
                          </a:ln>
                        </pic:spPr>
                      </pic:pic>
                    </a:graphicData>
                  </a:graphic>
                </wp:inline>
              </w:drawing>
            </w:r>
          </w:p>
        </w:tc>
      </w:tr>
    </w:tbl>
    <w:p w14:paraId="4E7F78AC" w14:textId="77777777" w:rsidR="0030142E" w:rsidRDefault="0030142E" w:rsidP="00221512">
      <w:pPr>
        <w:jc w:val="both"/>
      </w:pPr>
    </w:p>
    <w:p w14:paraId="6DCE3F00" w14:textId="77777777" w:rsidR="00221512" w:rsidRPr="003A39CD" w:rsidRDefault="00221512" w:rsidP="00221512">
      <w:pPr>
        <w:pStyle w:val="Ttulo1"/>
      </w:pPr>
      <w:r w:rsidRPr="003A39CD">
        <w:t>DIAGN</w:t>
      </w:r>
      <w:r>
        <w:t>Ó</w:t>
      </w:r>
      <w:r w:rsidRPr="003A39CD">
        <w:t>STICO DIFERENCIAL</w:t>
      </w:r>
    </w:p>
    <w:p w14:paraId="1C53C95B" w14:textId="77777777" w:rsidR="00221512" w:rsidRPr="00221512" w:rsidRDefault="00221512" w:rsidP="00221512">
      <w:pPr>
        <w:jc w:val="both"/>
        <w:rPr>
          <w:lang w:val="es-CR"/>
        </w:rPr>
      </w:pPr>
      <w:r w:rsidRPr="00221512">
        <w:rPr>
          <w:lang w:val="es-CR"/>
        </w:rPr>
        <w:t xml:space="preserve">Como se mencionó anteriormente, algunos autores equiparan las manifestaciones clínicas del síndrome de supresión alcohólica con las del delirium tremens (DT). Estos signos y síntomas surgen tras la interrupción del consumo de alcohol en personas que han desarrollado una dependencia de esta sustancia. Las presentaciones clínicas varían en su expresión. Mientras que los casos menos complicados pueden no requerir tratamiento específico, los más graves demandan </w:t>
      </w:r>
      <w:r w:rsidRPr="00221512">
        <w:rPr>
          <w:lang w:val="es-CR"/>
        </w:rPr>
        <w:lastRenderedPageBreak/>
        <w:t>atención intensiva y apoyo para varios órganos del cuerpo (7).</w:t>
      </w:r>
    </w:p>
    <w:p w14:paraId="55606054" w14:textId="77777777" w:rsidR="00221512" w:rsidRPr="00221512" w:rsidRDefault="00221512" w:rsidP="00221512">
      <w:pPr>
        <w:jc w:val="both"/>
        <w:rPr>
          <w:lang w:val="es-CR"/>
        </w:rPr>
      </w:pPr>
      <w:r w:rsidRPr="00221512">
        <w:rPr>
          <w:lang w:val="es-CR"/>
        </w:rPr>
        <w:t xml:space="preserve">El diagnóstico de delirium tremens se confirma cuando el paciente presenta delirio junto con el síndrome de supresión alcohólica. Según el DSM-5, el historial clínico del paciente juega un papel crucial en la orientación diagnóstica del médico, ya que ayuda a determinar la gravedad del cuadro y la elección del tratamiento más apropiado. </w:t>
      </w:r>
    </w:p>
    <w:p w14:paraId="6D5C6029" w14:textId="77777777" w:rsidR="00221512" w:rsidRPr="00221512" w:rsidRDefault="00221512" w:rsidP="00221512">
      <w:pPr>
        <w:jc w:val="both"/>
        <w:rPr>
          <w:lang w:val="es-CR"/>
        </w:rPr>
      </w:pPr>
      <w:r w:rsidRPr="00221512">
        <w:rPr>
          <w:lang w:val="es-CR"/>
        </w:rPr>
        <w:t>En esta línea el médico también debe considerar la historia clínica del paciente, a efectos de tener claro si existen otras posibles patologías coexistentes que se vinculan con la dependencia del alcohol, y de esta forma descartar otras posibles frecuentes alteraciones sistémicas tales como los desequilibrios de electrolitos, la desnutrición, problemas cardiacos y neuromusculares (7).</w:t>
      </w:r>
    </w:p>
    <w:p w14:paraId="0BE20972" w14:textId="77777777" w:rsidR="00221512" w:rsidRPr="00221512" w:rsidRDefault="00221512" w:rsidP="00221512">
      <w:pPr>
        <w:jc w:val="both"/>
        <w:rPr>
          <w:lang w:val="es-CR"/>
        </w:rPr>
      </w:pPr>
      <w:r w:rsidRPr="00221512">
        <w:rPr>
          <w:lang w:val="es-CR"/>
        </w:rPr>
        <w:t>Con esta revisión detallada en cuanto a la historia clínica, el profesional sanitario puede comprender el panorama de salud del paciente y determinar a partir de esto las formas más adecuadas para abordar eficazmente las complicaciones.</w:t>
      </w:r>
    </w:p>
    <w:p w14:paraId="2241B7D5" w14:textId="77777777" w:rsidR="00221512" w:rsidRPr="00221512" w:rsidRDefault="00221512" w:rsidP="00221512">
      <w:pPr>
        <w:jc w:val="both"/>
        <w:rPr>
          <w:lang w:val="es-CR"/>
        </w:rPr>
      </w:pPr>
      <w:r w:rsidRPr="00221512">
        <w:rPr>
          <w:lang w:val="es-CR"/>
        </w:rPr>
        <w:t xml:space="preserve">Esta revisión detallada de la historia clínica permite al médico entender mejor el </w:t>
      </w:r>
    </w:p>
    <w:tbl>
      <w:tblPr>
        <w:tblStyle w:val="Tablaconcuadrcula"/>
        <w:tblpPr w:leftFromText="141" w:rightFromText="141" w:vertAnchor="text" w:horzAnchor="margin" w:tblpY="505"/>
        <w:tblOverlap w:val="never"/>
        <w:tblW w:w="9351" w:type="dxa"/>
        <w:tblCellMar>
          <w:top w:w="57" w:type="dxa"/>
          <w:bottom w:w="57" w:type="dxa"/>
        </w:tblCellMar>
        <w:tblLook w:val="04A0" w:firstRow="1" w:lastRow="0" w:firstColumn="1" w:lastColumn="0" w:noHBand="0" w:noVBand="1"/>
      </w:tblPr>
      <w:tblGrid>
        <w:gridCol w:w="4390"/>
        <w:gridCol w:w="4961"/>
      </w:tblGrid>
      <w:tr w:rsidR="00D460F1" w:rsidRPr="002A3A62" w14:paraId="650BE007" w14:textId="77777777" w:rsidTr="00D460F1">
        <w:tc>
          <w:tcPr>
            <w:tcW w:w="9351" w:type="dxa"/>
            <w:gridSpan w:val="2"/>
            <w:tcBorders>
              <w:top w:val="nil"/>
              <w:left w:val="nil"/>
              <w:bottom w:val="single" w:sz="4" w:space="0" w:color="auto"/>
              <w:right w:val="nil"/>
            </w:tcBorders>
          </w:tcPr>
          <w:p w14:paraId="095D8D8C" w14:textId="77777777" w:rsidR="00D460F1" w:rsidRPr="00D460F1" w:rsidRDefault="00D460F1" w:rsidP="00D460F1">
            <w:pPr>
              <w:jc w:val="both"/>
              <w:rPr>
                <w:b/>
                <w:sz w:val="12"/>
                <w:szCs w:val="12"/>
              </w:rPr>
            </w:pPr>
          </w:p>
        </w:tc>
      </w:tr>
      <w:tr w:rsidR="00D460F1" w:rsidRPr="002A3A62" w14:paraId="3D505918" w14:textId="77777777" w:rsidTr="00D460F1">
        <w:tc>
          <w:tcPr>
            <w:tcW w:w="9351" w:type="dxa"/>
            <w:gridSpan w:val="2"/>
            <w:tcBorders>
              <w:top w:val="single" w:sz="4" w:space="0" w:color="auto"/>
            </w:tcBorders>
          </w:tcPr>
          <w:p w14:paraId="139E5C87" w14:textId="77777777" w:rsidR="00D460F1" w:rsidRPr="005D6816" w:rsidRDefault="00D460F1" w:rsidP="00D460F1">
            <w:pPr>
              <w:spacing w:line="276" w:lineRule="auto"/>
              <w:jc w:val="both"/>
            </w:pPr>
            <w:r w:rsidRPr="00EC0E85">
              <w:rPr>
                <w:b/>
              </w:rPr>
              <w:t>Tabla 1</w:t>
            </w:r>
            <w:r w:rsidRPr="005D6816">
              <w:t>.</w:t>
            </w:r>
            <w:r>
              <w:t xml:space="preserve"> Diagnóstico diferencial entre el síndrome de supresión etílica y el delirium tremens.</w:t>
            </w:r>
          </w:p>
        </w:tc>
      </w:tr>
      <w:tr w:rsidR="00D460F1" w14:paraId="1089BC46" w14:textId="77777777" w:rsidTr="00D460F1">
        <w:tc>
          <w:tcPr>
            <w:tcW w:w="4390" w:type="dxa"/>
          </w:tcPr>
          <w:p w14:paraId="4E76D472" w14:textId="77777777" w:rsidR="00D460F1" w:rsidRPr="00BF4F09" w:rsidRDefault="00D460F1" w:rsidP="00D460F1">
            <w:pPr>
              <w:spacing w:line="276" w:lineRule="auto"/>
              <w:jc w:val="center"/>
              <w:rPr>
                <w:b/>
                <w:bCs/>
                <w:sz w:val="20"/>
                <w:szCs w:val="20"/>
              </w:rPr>
            </w:pPr>
            <w:r w:rsidRPr="00BF4F09">
              <w:rPr>
                <w:b/>
                <w:bCs/>
                <w:sz w:val="20"/>
                <w:szCs w:val="20"/>
              </w:rPr>
              <w:t>Criterios del DSM-5 de síndrome de supresión</w:t>
            </w:r>
            <w:r>
              <w:rPr>
                <w:b/>
                <w:bCs/>
                <w:sz w:val="20"/>
                <w:szCs w:val="20"/>
              </w:rPr>
              <w:t xml:space="preserve"> </w:t>
            </w:r>
            <w:r w:rsidRPr="00BF4F09">
              <w:rPr>
                <w:b/>
                <w:bCs/>
                <w:sz w:val="20"/>
                <w:szCs w:val="20"/>
              </w:rPr>
              <w:t>etílica</w:t>
            </w:r>
          </w:p>
        </w:tc>
        <w:tc>
          <w:tcPr>
            <w:tcW w:w="4961" w:type="dxa"/>
          </w:tcPr>
          <w:p w14:paraId="3FC0F461" w14:textId="77777777" w:rsidR="00D460F1" w:rsidRPr="00BF4F09" w:rsidRDefault="00D460F1" w:rsidP="00D460F1">
            <w:pPr>
              <w:spacing w:line="276" w:lineRule="auto"/>
              <w:jc w:val="center"/>
              <w:rPr>
                <w:b/>
                <w:bCs/>
                <w:sz w:val="20"/>
                <w:szCs w:val="20"/>
              </w:rPr>
            </w:pPr>
            <w:r w:rsidRPr="00BF4F09">
              <w:rPr>
                <w:b/>
                <w:bCs/>
                <w:sz w:val="20"/>
                <w:szCs w:val="20"/>
              </w:rPr>
              <w:t>Criterios de diagnóstico de delirium tremens</w:t>
            </w:r>
          </w:p>
          <w:p w14:paraId="686BF458" w14:textId="77777777" w:rsidR="00D460F1" w:rsidRPr="00BF4F09" w:rsidRDefault="00D460F1" w:rsidP="00D460F1">
            <w:pPr>
              <w:spacing w:line="276" w:lineRule="auto"/>
              <w:jc w:val="center"/>
              <w:rPr>
                <w:sz w:val="20"/>
                <w:szCs w:val="20"/>
              </w:rPr>
            </w:pPr>
            <w:r w:rsidRPr="00BF4F09">
              <w:rPr>
                <w:b/>
                <w:bCs/>
                <w:sz w:val="20"/>
                <w:szCs w:val="20"/>
              </w:rPr>
              <w:t>según el DSM-5</w:t>
            </w:r>
          </w:p>
        </w:tc>
      </w:tr>
      <w:tr w:rsidR="00D460F1" w:rsidRPr="002A3A62" w14:paraId="19BDBF5D" w14:textId="77777777" w:rsidTr="00D460F1">
        <w:tc>
          <w:tcPr>
            <w:tcW w:w="4390" w:type="dxa"/>
            <w:tcBorders>
              <w:bottom w:val="single" w:sz="4" w:space="0" w:color="auto"/>
            </w:tcBorders>
          </w:tcPr>
          <w:p w14:paraId="0F0876EA" w14:textId="77777777" w:rsidR="00D460F1" w:rsidRPr="00BF4F09" w:rsidRDefault="00D460F1" w:rsidP="00D460F1">
            <w:pPr>
              <w:spacing w:line="276" w:lineRule="auto"/>
              <w:jc w:val="both"/>
              <w:rPr>
                <w:sz w:val="20"/>
                <w:szCs w:val="20"/>
              </w:rPr>
            </w:pPr>
            <w:r w:rsidRPr="00BF4F09">
              <w:rPr>
                <w:sz w:val="20"/>
                <w:szCs w:val="20"/>
              </w:rPr>
              <w:t>Ansiedad.</w:t>
            </w:r>
          </w:p>
          <w:p w14:paraId="52C6AC4C" w14:textId="77777777" w:rsidR="00D460F1" w:rsidRPr="00BF4F09" w:rsidRDefault="00D460F1" w:rsidP="00D460F1">
            <w:pPr>
              <w:spacing w:line="276" w:lineRule="auto"/>
              <w:jc w:val="both"/>
              <w:rPr>
                <w:sz w:val="20"/>
                <w:szCs w:val="20"/>
              </w:rPr>
            </w:pPr>
            <w:r w:rsidRPr="00BF4F09">
              <w:rPr>
                <w:sz w:val="20"/>
                <w:szCs w:val="20"/>
              </w:rPr>
              <w:t>Temblor.</w:t>
            </w:r>
          </w:p>
          <w:p w14:paraId="2ACCCFC7" w14:textId="77777777" w:rsidR="00D460F1" w:rsidRPr="00BF4F09" w:rsidRDefault="00D460F1" w:rsidP="00D460F1">
            <w:pPr>
              <w:spacing w:line="276" w:lineRule="auto"/>
              <w:jc w:val="both"/>
              <w:rPr>
                <w:sz w:val="20"/>
                <w:szCs w:val="20"/>
              </w:rPr>
            </w:pPr>
            <w:r w:rsidRPr="00BF4F09">
              <w:rPr>
                <w:sz w:val="20"/>
                <w:szCs w:val="20"/>
              </w:rPr>
              <w:t>Cefalea (semiología similar a la cefalea por resaca).</w:t>
            </w:r>
          </w:p>
          <w:p w14:paraId="0E4BDBEA" w14:textId="77777777" w:rsidR="00D460F1" w:rsidRPr="00BF4F09" w:rsidRDefault="00D460F1" w:rsidP="00D460F1">
            <w:pPr>
              <w:spacing w:line="276" w:lineRule="auto"/>
              <w:jc w:val="both"/>
              <w:rPr>
                <w:sz w:val="20"/>
                <w:szCs w:val="20"/>
              </w:rPr>
            </w:pPr>
            <w:r w:rsidRPr="00BF4F09">
              <w:rPr>
                <w:sz w:val="20"/>
                <w:szCs w:val="20"/>
              </w:rPr>
              <w:t>Desorientación visuoespacial.</w:t>
            </w:r>
          </w:p>
          <w:p w14:paraId="0F405296" w14:textId="77777777" w:rsidR="00D460F1" w:rsidRPr="00BF4F09" w:rsidRDefault="00D460F1" w:rsidP="00D460F1">
            <w:pPr>
              <w:spacing w:line="276" w:lineRule="auto"/>
              <w:jc w:val="both"/>
              <w:rPr>
                <w:sz w:val="20"/>
                <w:szCs w:val="20"/>
              </w:rPr>
            </w:pPr>
            <w:r w:rsidRPr="00BF4F09">
              <w:rPr>
                <w:sz w:val="20"/>
                <w:szCs w:val="20"/>
              </w:rPr>
              <w:t>Agitación.</w:t>
            </w:r>
          </w:p>
          <w:p w14:paraId="31AD0F46" w14:textId="77777777" w:rsidR="00D460F1" w:rsidRPr="00BF4F09" w:rsidRDefault="00D460F1" w:rsidP="00D460F1">
            <w:pPr>
              <w:spacing w:line="276" w:lineRule="auto"/>
              <w:jc w:val="both"/>
              <w:rPr>
                <w:sz w:val="20"/>
                <w:szCs w:val="20"/>
              </w:rPr>
            </w:pPr>
            <w:r w:rsidRPr="00BF4F09">
              <w:rPr>
                <w:sz w:val="20"/>
                <w:szCs w:val="20"/>
              </w:rPr>
              <w:t>Delirio.</w:t>
            </w:r>
          </w:p>
          <w:p w14:paraId="572FAE8B" w14:textId="77777777" w:rsidR="00D460F1" w:rsidRPr="00BF4F09" w:rsidRDefault="00D460F1" w:rsidP="00D460F1">
            <w:pPr>
              <w:spacing w:line="276" w:lineRule="auto"/>
              <w:jc w:val="both"/>
              <w:rPr>
                <w:sz w:val="20"/>
                <w:szCs w:val="20"/>
              </w:rPr>
            </w:pPr>
            <w:r w:rsidRPr="00BF4F09">
              <w:rPr>
                <w:sz w:val="20"/>
                <w:szCs w:val="20"/>
              </w:rPr>
              <w:t>Alucinaciones (táctiles, visuales, auditivas).</w:t>
            </w:r>
          </w:p>
          <w:p w14:paraId="5B47FA96" w14:textId="77777777" w:rsidR="00D460F1" w:rsidRPr="00BF4F09" w:rsidRDefault="00D460F1" w:rsidP="00D460F1">
            <w:pPr>
              <w:spacing w:line="276" w:lineRule="auto"/>
              <w:jc w:val="both"/>
              <w:rPr>
                <w:sz w:val="20"/>
                <w:szCs w:val="20"/>
              </w:rPr>
            </w:pPr>
            <w:r w:rsidRPr="00BF4F09">
              <w:rPr>
                <w:sz w:val="20"/>
                <w:szCs w:val="20"/>
              </w:rPr>
              <w:t>Diaforesis.</w:t>
            </w:r>
          </w:p>
          <w:p w14:paraId="73654280" w14:textId="77777777" w:rsidR="00D460F1" w:rsidRPr="00BF4F09" w:rsidRDefault="00D460F1" w:rsidP="00D460F1">
            <w:pPr>
              <w:spacing w:line="276" w:lineRule="auto"/>
              <w:jc w:val="both"/>
              <w:rPr>
                <w:sz w:val="20"/>
                <w:szCs w:val="20"/>
              </w:rPr>
            </w:pPr>
            <w:r w:rsidRPr="00BF4F09">
              <w:rPr>
                <w:sz w:val="20"/>
                <w:szCs w:val="20"/>
              </w:rPr>
              <w:t>Taquicardia.</w:t>
            </w:r>
          </w:p>
          <w:p w14:paraId="0EB52BED" w14:textId="77777777" w:rsidR="00D460F1" w:rsidRPr="00BF4F09" w:rsidRDefault="00D460F1" w:rsidP="00D460F1">
            <w:pPr>
              <w:spacing w:line="276" w:lineRule="auto"/>
              <w:jc w:val="both"/>
              <w:rPr>
                <w:sz w:val="20"/>
                <w:szCs w:val="20"/>
              </w:rPr>
            </w:pPr>
            <w:r w:rsidRPr="00BF4F09">
              <w:rPr>
                <w:sz w:val="20"/>
                <w:szCs w:val="20"/>
              </w:rPr>
              <w:t>Crisis hipertensiva.</w:t>
            </w:r>
          </w:p>
        </w:tc>
        <w:tc>
          <w:tcPr>
            <w:tcW w:w="4961" w:type="dxa"/>
            <w:tcBorders>
              <w:bottom w:val="single" w:sz="4" w:space="0" w:color="auto"/>
            </w:tcBorders>
          </w:tcPr>
          <w:p w14:paraId="5762EDA6" w14:textId="77777777" w:rsidR="00D460F1" w:rsidRPr="00BF4F09" w:rsidRDefault="00D460F1" w:rsidP="00D460F1">
            <w:pPr>
              <w:spacing w:line="276" w:lineRule="auto"/>
              <w:jc w:val="both"/>
              <w:rPr>
                <w:sz w:val="20"/>
                <w:szCs w:val="20"/>
              </w:rPr>
            </w:pPr>
            <w:r w:rsidRPr="00BF4F09">
              <w:rPr>
                <w:sz w:val="20"/>
                <w:szCs w:val="20"/>
              </w:rPr>
              <w:t>Disminución súbita de la atención y la conciencia.</w:t>
            </w:r>
          </w:p>
          <w:p w14:paraId="0943EF3F" w14:textId="77777777" w:rsidR="00D460F1" w:rsidRPr="00BF4F09" w:rsidRDefault="00D460F1" w:rsidP="00D460F1">
            <w:pPr>
              <w:spacing w:line="276" w:lineRule="auto"/>
              <w:jc w:val="both"/>
              <w:rPr>
                <w:sz w:val="20"/>
                <w:szCs w:val="20"/>
              </w:rPr>
            </w:pPr>
            <w:r w:rsidRPr="00BF4F09">
              <w:rPr>
                <w:sz w:val="20"/>
                <w:szCs w:val="20"/>
              </w:rPr>
              <w:t>Alteración en la atención, conciencia, memoria, orientación, lenguaje, capacidad visuoespacial, percepción de todas estas habilidades que produzca un cambio del nivel normal y fluctúe en intensidad durante el día.</w:t>
            </w:r>
          </w:p>
          <w:p w14:paraId="0E3DF39F" w14:textId="77777777" w:rsidR="00D460F1" w:rsidRPr="00BF4F09" w:rsidRDefault="00D460F1" w:rsidP="00D460F1">
            <w:pPr>
              <w:spacing w:line="276" w:lineRule="auto"/>
              <w:jc w:val="both"/>
              <w:rPr>
                <w:sz w:val="20"/>
                <w:szCs w:val="20"/>
              </w:rPr>
            </w:pPr>
            <w:r w:rsidRPr="00BF4F09">
              <w:rPr>
                <w:sz w:val="20"/>
                <w:szCs w:val="20"/>
              </w:rPr>
              <w:t>Alteraciones en la memoria, orientación, lenguaje, capacidad visuoespacial o percepción.</w:t>
            </w:r>
          </w:p>
          <w:p w14:paraId="79B7C2EC" w14:textId="77777777" w:rsidR="00D460F1" w:rsidRPr="00BF4F09" w:rsidRDefault="00D460F1" w:rsidP="00D460F1">
            <w:pPr>
              <w:spacing w:line="276" w:lineRule="auto"/>
              <w:jc w:val="both"/>
              <w:rPr>
                <w:sz w:val="20"/>
                <w:szCs w:val="20"/>
              </w:rPr>
            </w:pPr>
            <w:r w:rsidRPr="00BF4F09">
              <w:rPr>
                <w:sz w:val="20"/>
                <w:szCs w:val="20"/>
              </w:rPr>
              <w:t>Ausencia de evidencia de coma u otros trastornos neurocognitivos en evolución o crónicos con diagnóstico previo.</w:t>
            </w:r>
          </w:p>
        </w:tc>
      </w:tr>
    </w:tbl>
    <w:p w14:paraId="79911A53" w14:textId="3C0B8D8A" w:rsidR="00221512" w:rsidRPr="00221512" w:rsidRDefault="00221512" w:rsidP="00221512">
      <w:pPr>
        <w:jc w:val="both"/>
        <w:rPr>
          <w:lang w:val="es-CR"/>
        </w:rPr>
      </w:pPr>
      <w:r w:rsidRPr="00221512">
        <w:rPr>
          <w:lang w:val="es-CR"/>
        </w:rPr>
        <w:t>panorama completo de la salud del paciente y abordar de manera más eficaz las complicaciones asociadas con la abstinencia del alcohol y sus repercusiones sistémicas (7).</w:t>
      </w:r>
    </w:p>
    <w:p w14:paraId="7A5AAFA2" w14:textId="77777777" w:rsidR="00221512" w:rsidRPr="00221512" w:rsidRDefault="00221512" w:rsidP="00221512">
      <w:pPr>
        <w:jc w:val="both"/>
        <w:rPr>
          <w:lang w:val="es-CR"/>
        </w:rPr>
      </w:pPr>
      <w:bookmarkStart w:id="1" w:name="_heading=h.yxetsi5a2qog" w:colFirst="0" w:colLast="0"/>
      <w:bookmarkEnd w:id="1"/>
    </w:p>
    <w:p w14:paraId="0410CF58" w14:textId="77777777" w:rsidR="00221512" w:rsidRPr="00F72F87" w:rsidRDefault="00221512" w:rsidP="00221512">
      <w:pPr>
        <w:pStyle w:val="Ttulo1"/>
      </w:pPr>
      <w:r w:rsidRPr="00F72F87">
        <w:t>PREVALENCIA</w:t>
      </w:r>
    </w:p>
    <w:p w14:paraId="13EF0F41" w14:textId="77777777" w:rsidR="00221512" w:rsidRPr="00221512" w:rsidRDefault="00221512" w:rsidP="00221512">
      <w:pPr>
        <w:jc w:val="both"/>
        <w:rPr>
          <w:lang w:val="es-CR"/>
        </w:rPr>
      </w:pPr>
      <w:r w:rsidRPr="00221512">
        <w:rPr>
          <w:lang w:val="es-CR"/>
        </w:rPr>
        <w:t>La frecuencia con la que se presenta el delirium tremens varía según el país o la región donde se realice el diagnóstico, así como los criterios empleados para identificarlo en los pacientes. En estudios realizados en Alemania, se observó que el 6.7% de los pacientes hospitalizados mostraban síntomas de DT, pero el porcentaje fue mayor, llegando al 13.5%, en aquellos ingresados por trastornos vinculados al consumo de alcohol (7).</w:t>
      </w:r>
    </w:p>
    <w:p w14:paraId="5528F180" w14:textId="77777777" w:rsidR="00221512" w:rsidRPr="00221512" w:rsidRDefault="00221512" w:rsidP="00221512">
      <w:pPr>
        <w:jc w:val="both"/>
        <w:rPr>
          <w:lang w:val="es-CR"/>
        </w:rPr>
      </w:pPr>
      <w:r w:rsidRPr="00221512">
        <w:rPr>
          <w:lang w:val="es-CR"/>
        </w:rPr>
        <w:t>En cuanto a los servicios médicos especializados en el tratamiento de problemas relacionados con el consumo de alcohol, se reportan diferentes tasas de delirium tremens, que oscilan entre el 5% y el 11%. En el caso de pacientes hospitalizados por abstinencia de alcohol, estos índices varían entre el 4% y el 15%. Un dato relevante de la prevalencia se obtuvo en estudios clínicos que evaluaron tratamientos farmacológicos; se encontró que el 5% de las personas con dependencia al alcohol desarrollaron DT cuando se les administró un placebo (7).</w:t>
      </w:r>
    </w:p>
    <w:p w14:paraId="1EC5A0E1" w14:textId="77777777" w:rsidR="00221512" w:rsidRPr="00221512" w:rsidRDefault="00221512" w:rsidP="00221512">
      <w:pPr>
        <w:jc w:val="both"/>
        <w:rPr>
          <w:lang w:val="es-CR"/>
        </w:rPr>
      </w:pPr>
      <w:r w:rsidRPr="00221512">
        <w:rPr>
          <w:lang w:val="es-CR"/>
        </w:rPr>
        <w:lastRenderedPageBreak/>
        <w:t>Estas cifras muestran notables fluctuaciones entre los diversos estudios realizados, destacando la importancia de los criterios de diagnóstico y las características específicas de la población estudiada. Sin embargo, existe un consenso general en la literatura que sugiere que entre el 5% y el 10% de las personas con síntomas de abstinencia de alcohol pueden experimentar el desarrollo de delirium tremens.</w:t>
      </w:r>
    </w:p>
    <w:p w14:paraId="1EB9A85D" w14:textId="77777777" w:rsidR="00221512" w:rsidRPr="00221512" w:rsidRDefault="00221512" w:rsidP="00221512">
      <w:pPr>
        <w:jc w:val="both"/>
        <w:rPr>
          <w:lang w:val="es-CR"/>
        </w:rPr>
      </w:pPr>
      <w:r w:rsidRPr="00221512">
        <w:rPr>
          <w:lang w:val="es-CR"/>
        </w:rPr>
        <w:t>Estas variaciones en las estadísticas subrayan la complejidad de este trastorno y cómo su frecuencia puede verse influenciada por múltiples factores, haciendo hincapié en la necesidad de un enfoque preciso y personalizado en su diagnóstico y tratamiento (7).</w:t>
      </w:r>
    </w:p>
    <w:p w14:paraId="537CBC58" w14:textId="77777777" w:rsidR="00221512" w:rsidRPr="00221512" w:rsidRDefault="00221512" w:rsidP="00221512">
      <w:pPr>
        <w:jc w:val="both"/>
        <w:rPr>
          <w:lang w:val="es-CR"/>
        </w:rPr>
      </w:pPr>
    </w:p>
    <w:p w14:paraId="73525D86" w14:textId="77777777" w:rsidR="00221512" w:rsidRPr="00F72F87" w:rsidRDefault="00221512" w:rsidP="00221512">
      <w:pPr>
        <w:pStyle w:val="Ttulo1"/>
      </w:pPr>
      <w:r w:rsidRPr="00F72F87">
        <w:t>PREDICCIÓN DEL DELIRIUM TREMENS</w:t>
      </w:r>
    </w:p>
    <w:p w14:paraId="39DACA8D" w14:textId="77777777" w:rsidR="00221512" w:rsidRPr="00221512" w:rsidRDefault="00221512" w:rsidP="00221512">
      <w:pPr>
        <w:jc w:val="both"/>
        <w:rPr>
          <w:lang w:val="es-CR"/>
        </w:rPr>
      </w:pPr>
      <w:r w:rsidRPr="00221512">
        <w:rPr>
          <w:lang w:val="es-CR"/>
        </w:rPr>
        <w:t>Hay ciertos factores estrechamente relacionados con la aparición del delirium tremens, especialmente en personas que enfrentan la abstinencia de alcohol. Uno de ellos, señalado en la literatura, es la cantidad de alcohol consumida en un período de 24 horas, así como experiencias previas de abstinencia, el uso excesivo de benzodiazepinas y la presencia de condiciones médicas concurrentes (7).</w:t>
      </w:r>
    </w:p>
    <w:p w14:paraId="19995A38" w14:textId="77777777" w:rsidR="00221512" w:rsidRPr="00221512" w:rsidRDefault="00221512" w:rsidP="00221512">
      <w:pPr>
        <w:jc w:val="both"/>
        <w:rPr>
          <w:lang w:val="es-CR"/>
        </w:rPr>
      </w:pPr>
      <w:r w:rsidRPr="00221512">
        <w:rPr>
          <w:lang w:val="es-CR"/>
        </w:rPr>
        <w:t>No obstante, es importante destacar que la precisión de estos factores no siempre es clara ni uniforme en diferentes estudios. Se ha mencionado la posible influencia de factores genéticos que podrían predisponer a la aparición del delirium tremens, así como la presencia de convulsiones durante la abstinencia, problemas médicos agudos o crónicos, enfermedades hepáticas, infecciones, y la gravedad actual de los síntomas, incluyendo la hiperactividad autonómica y alteraciones bioquímicas (7).</w:t>
      </w:r>
    </w:p>
    <w:p w14:paraId="2B26C566" w14:textId="77777777" w:rsidR="00221512" w:rsidRPr="00221512" w:rsidRDefault="00221512" w:rsidP="00221512">
      <w:pPr>
        <w:jc w:val="both"/>
        <w:rPr>
          <w:lang w:val="es-CR"/>
        </w:rPr>
      </w:pPr>
      <w:r w:rsidRPr="00221512">
        <w:rPr>
          <w:lang w:val="es-CR"/>
        </w:rPr>
        <w:t xml:space="preserve">El concepto </w:t>
      </w:r>
      <w:r w:rsidRPr="00221512">
        <w:rPr>
          <w:i/>
          <w:lang w:val="es-CR"/>
        </w:rPr>
        <w:t>kindling</w:t>
      </w:r>
      <w:r w:rsidRPr="00221512">
        <w:rPr>
          <w:lang w:val="es-CR"/>
        </w:rPr>
        <w:t xml:space="preserve"> ha sido mencionado, el cual sugiere un aumento en la gravedad de complicaciones como el delirium tremens o las convulsiones, debido a episodios repetidos de abstinencia. Aunque la falta de estudios prospectivos claros plantea incertidumbre sobre la capacidad predictiva de estos factores, se considera que antecedentes de dependencia severa de alcohol, experiencias previas de delirium tremens y convulsiones asociadas a la abstinencia, condiciones médicas coexistentes y la gravedad actual de los síntomas podrían ser indicadores significativos del delirium tremens (7).</w:t>
      </w:r>
    </w:p>
    <w:p w14:paraId="096FB698" w14:textId="77777777" w:rsidR="00221512" w:rsidRPr="00221512" w:rsidRDefault="00221512" w:rsidP="00221512">
      <w:pPr>
        <w:jc w:val="both"/>
        <w:rPr>
          <w:lang w:val="es-CR"/>
        </w:rPr>
      </w:pPr>
      <w:r w:rsidRPr="00221512">
        <w:rPr>
          <w:lang w:val="es-CR"/>
        </w:rPr>
        <w:t>Estos factores, aunque su interpretación puede ser compleja, podrían ser de utilidad en la práctica clínica para identificar a aquellos con un mayor riesgo de desarrollar delirium tremens durante la abstinencia de alcohol.</w:t>
      </w:r>
    </w:p>
    <w:p w14:paraId="7D88346C" w14:textId="77777777" w:rsidR="00221512" w:rsidRPr="00221512" w:rsidRDefault="00221512" w:rsidP="00221512">
      <w:pPr>
        <w:jc w:val="both"/>
        <w:rPr>
          <w:lang w:val="es-CR"/>
        </w:rPr>
      </w:pPr>
    </w:p>
    <w:p w14:paraId="691AC0BC" w14:textId="77777777" w:rsidR="00221512" w:rsidRPr="00F72F87" w:rsidRDefault="00221512" w:rsidP="00221512">
      <w:pPr>
        <w:pStyle w:val="Ttulo1"/>
      </w:pPr>
      <w:r w:rsidRPr="00F72F87">
        <w:t xml:space="preserve">FACTORES PRECIPITANTES </w:t>
      </w:r>
    </w:p>
    <w:p w14:paraId="4260EE5F" w14:textId="77777777" w:rsidR="00221512" w:rsidRDefault="00221512" w:rsidP="00221512">
      <w:pPr>
        <w:jc w:val="both"/>
        <w:rPr>
          <w:lang w:val="es-CR"/>
        </w:rPr>
      </w:pPr>
      <w:r>
        <w:rPr>
          <w:lang w:val="es-CR"/>
        </w:rPr>
        <w:t>El delirio se caracteriza por ser una condición multifactorial, donde son varios factores los predisponentes que pueden conllevar al desarrollo de manifestaciones clínicas variables. Dentro de estas condiciones se incluyen el deterioro cognitivo preexistente, la edad avanzada, comorbilidades alcoholismo, dolor crónico, enfermedades subyacentes a saber pulmonares, hepática, cardiaca o cerebral. De igual manera se incluyen elementos tales como el deterioro funcional, sexo masculino, depresión, deshidratación, desnutrición y déficits sensoriales (8,9).</w:t>
      </w:r>
    </w:p>
    <w:p w14:paraId="1BA598F1" w14:textId="77777777" w:rsidR="00221512" w:rsidRDefault="00221512" w:rsidP="00221512">
      <w:pPr>
        <w:jc w:val="both"/>
        <w:rPr>
          <w:lang w:val="es-CR"/>
        </w:rPr>
      </w:pPr>
      <w:r>
        <w:rPr>
          <w:lang w:val="es-CR"/>
        </w:rPr>
        <w:t xml:space="preserve">En la literatura se han documentado los factores precipitantes que pueden ser agudos tales como la deshidratación, fracturas, hipoxia, infecciones, isquemia cerebral o cardíaca y el uso de </w:t>
      </w:r>
      <w:r>
        <w:rPr>
          <w:lang w:val="es-CR"/>
        </w:rPr>
        <w:lastRenderedPageBreak/>
        <w:t>medicamentos, trastornos metabólicos, inmovilización, empleo de catéteres, desnutrición, más otros factores iatrogénicos, psicosociales o ambientales (10,11).</w:t>
      </w:r>
    </w:p>
    <w:p w14:paraId="3AE914A4" w14:textId="5F9B53AE" w:rsidR="00221512" w:rsidRPr="00FF1174" w:rsidRDefault="00221512" w:rsidP="00221512">
      <w:pPr>
        <w:jc w:val="both"/>
        <w:rPr>
          <w:lang w:val="es-CR"/>
        </w:rPr>
      </w:pPr>
      <w:r>
        <w:rPr>
          <w:lang w:val="es-CR"/>
        </w:rPr>
        <w:t>Con respecto a las manifestaciones clínicas, pueden presentarse diferentes formas. El delirio hiperactivo genera en los pacientes agitación, confusión, alucinaciones e ideación delirante. Cuando el paciente presenta delirio hipoactivo, hay enlentecimiento psicomotor, letargia, inhibición y puede en el diagnóstico clínico confundirse con demencia o depresión (12).</w:t>
      </w:r>
    </w:p>
    <w:p w14:paraId="1AC9AF2C" w14:textId="77777777" w:rsidR="00221512" w:rsidRPr="00221512" w:rsidRDefault="00221512" w:rsidP="00221512">
      <w:pPr>
        <w:jc w:val="both"/>
        <w:rPr>
          <w:lang w:val="es-CR"/>
        </w:rPr>
      </w:pPr>
    </w:p>
    <w:p w14:paraId="4651EB6C" w14:textId="77777777" w:rsidR="00221512" w:rsidRPr="00F72F87" w:rsidRDefault="00221512" w:rsidP="00221512">
      <w:pPr>
        <w:pStyle w:val="Ttulo1"/>
      </w:pPr>
      <w:r w:rsidRPr="00F72F87">
        <w:t>TRATAMIENTO FARMACOLÓGICO</w:t>
      </w:r>
    </w:p>
    <w:p w14:paraId="4FC1702A" w14:textId="77777777" w:rsidR="00221512" w:rsidRPr="00221512" w:rsidRDefault="00221512" w:rsidP="00221512">
      <w:pPr>
        <w:jc w:val="both"/>
        <w:rPr>
          <w:lang w:val="es-CR"/>
        </w:rPr>
      </w:pPr>
      <w:r w:rsidRPr="00221512">
        <w:rPr>
          <w:lang w:val="es-CR"/>
        </w:rPr>
        <w:t>Cuando alguien se abstiene del consumo de alcohol, esto desencadena cambios en el cerebro y en los sistemas de neurotransmisores que pueden desembocar en el delirium tremens (DT). Estos cambios impactan particularmente en los receptores del ácido gamma aminobutírico (GABA) y del glutamato, entre otros. Para contrarrestar estos cambios, se recurre a fármacos que actúan en estos sistemas, como las benzodiazepinas, el clormetiazol y otros (7).</w:t>
      </w:r>
    </w:p>
    <w:p w14:paraId="4AF8E49B" w14:textId="77777777" w:rsidR="00221512" w:rsidRPr="00221512" w:rsidRDefault="00221512" w:rsidP="00221512">
      <w:pPr>
        <w:jc w:val="both"/>
        <w:rPr>
          <w:lang w:val="es-CR"/>
        </w:rPr>
      </w:pPr>
      <w:r w:rsidRPr="00221512">
        <w:rPr>
          <w:lang w:val="es-CR"/>
        </w:rPr>
        <w:t>Durante mucho tiempo, las benzodiazepinas han sido el pilar principal del tratamiento para la abstinencia de alcohol. Medicamentos como el diazepam o el clordiazepóxido ayudan a reducir la sobreexcitación del sistema nervioso central y controlar los síntomas que surgen durante la abstinencia. Existe una cantidad considerable de evidencia de estudios clínicos y revisiones científicas que respaldan su efectividad para aliviar tanto síntomas leves como graves durante la abstinencia de alcohol.</w:t>
      </w:r>
    </w:p>
    <w:p w14:paraId="4966F6FC" w14:textId="77777777" w:rsidR="00221512" w:rsidRPr="00221512" w:rsidRDefault="00221512" w:rsidP="00221512">
      <w:pPr>
        <w:jc w:val="both"/>
        <w:rPr>
          <w:lang w:val="es-CR"/>
        </w:rPr>
      </w:pPr>
      <w:r w:rsidRPr="00221512">
        <w:rPr>
          <w:lang w:val="es-CR"/>
        </w:rPr>
        <w:t xml:space="preserve">A pesar de su eficacia, persisten preocupaciones sobre el uso a largo plazo de las benzodiazepinas, incluido el riesgo </w:t>
      </w:r>
      <w:r w:rsidRPr="00221512">
        <w:rPr>
          <w:lang w:val="es-CR"/>
        </w:rPr>
        <w:t>potencial de deprimir el sistema nervioso central y el peligro de generar dependencia cuando se administran durante períodos prolongados fuera del hospital. Por eso, se están investigando otras opciones farmacológicas, como anticonvulsivos (como la carbamazepina), clormetiazol, antipsicóticos, betabloqueantes, barbitúricos y otros medicamentos que podrían resultar útiles en el tratamiento de la abstinencia de alcohol (7).</w:t>
      </w:r>
    </w:p>
    <w:p w14:paraId="0E1DF1E0" w14:textId="77777777" w:rsidR="00221512" w:rsidRPr="00221512" w:rsidRDefault="00221512" w:rsidP="00221512">
      <w:pPr>
        <w:jc w:val="both"/>
        <w:rPr>
          <w:lang w:val="es-CR"/>
        </w:rPr>
      </w:pPr>
      <w:r w:rsidRPr="00221512">
        <w:rPr>
          <w:lang w:val="es-CR"/>
        </w:rPr>
        <w:t>Los enfoques de tratamiento varían y pueden implicar estrategias distintas. Por ejemplo, el tratamiento con benzodiazepinas puede ser mediante dosis fijas, es decir, administrando cantidades predefinidas a intervalos regulares durante un tiempo determinado. Otra estrategia consiste en usar medicamentos solo cuando los síntomas de abstinencia son notables y suspender la medicación cuando los síntomas disminuyen.</w:t>
      </w:r>
    </w:p>
    <w:p w14:paraId="2DD4C710" w14:textId="77777777" w:rsidR="00221512" w:rsidRPr="00221512" w:rsidRDefault="00221512" w:rsidP="00221512">
      <w:pPr>
        <w:jc w:val="both"/>
        <w:rPr>
          <w:lang w:val="es-CR"/>
        </w:rPr>
      </w:pPr>
      <w:r w:rsidRPr="00221512">
        <w:rPr>
          <w:lang w:val="es-CR"/>
        </w:rPr>
        <w:t>Para casos más graves, se pueden emplear dosis iniciales altas de medicamentos, conocidas como dosis de carga, seguidas de ajustes según la respuesta del paciente. Cada enfoque tiene sus pros y contras en términos de eficacia y posibles efectos secundarios, y la elección del tratamiento dependerá de la gravedad de los síntomas, la presencia de otras condiciones médicas y cómo responda el paciente a la medicación (7).</w:t>
      </w:r>
    </w:p>
    <w:p w14:paraId="56E57C7D" w14:textId="0C5FF70A" w:rsidR="00221512" w:rsidRPr="00221512" w:rsidRDefault="00221512" w:rsidP="00221512">
      <w:pPr>
        <w:jc w:val="both"/>
        <w:rPr>
          <w:lang w:val="es-CR"/>
        </w:rPr>
      </w:pPr>
      <w:r w:rsidRPr="00221512">
        <w:rPr>
          <w:lang w:val="es-CR"/>
        </w:rPr>
        <w:t>Se recomienda en este sentido el abordaje de la causa subyacente, en proceso de control de lo</w:t>
      </w:r>
      <w:r>
        <w:rPr>
          <w:lang w:val="es-CR"/>
        </w:rPr>
        <w:t>s</w:t>
      </w:r>
      <w:r w:rsidRPr="00221512">
        <w:rPr>
          <w:lang w:val="es-CR"/>
        </w:rPr>
        <w:t xml:space="preserve"> síntomas del delirium. El tratamiento por lo general se reserva para los que cas</w:t>
      </w:r>
      <w:r>
        <w:rPr>
          <w:lang w:val="es-CR"/>
        </w:rPr>
        <w:t>os en los que hay amenaza de la</w:t>
      </w:r>
      <w:r w:rsidRPr="00221512">
        <w:rPr>
          <w:lang w:val="es-CR"/>
        </w:rPr>
        <w:t xml:space="preserve"> seguridad del paciente o de las demás personas. En este tanto debe considerarse que el tratamiento que se elija debe valorarse a partir de los posibles efectos secundarios que se genere sobre el estado del paciente (15,16).</w:t>
      </w:r>
    </w:p>
    <w:p w14:paraId="530887A9" w14:textId="77777777" w:rsidR="00221512" w:rsidRPr="00F72F87" w:rsidRDefault="00221512" w:rsidP="00221512">
      <w:pPr>
        <w:pStyle w:val="Ttulo1"/>
      </w:pPr>
      <w:r w:rsidRPr="00F72F87">
        <w:lastRenderedPageBreak/>
        <w:t>ATENCIÓN MÉDICA, CUIDADOS DE ENFERMERÍA Y MEDIDAS DE APOYO</w:t>
      </w:r>
    </w:p>
    <w:p w14:paraId="0949328B" w14:textId="77777777" w:rsidR="00221512" w:rsidRPr="00221512" w:rsidRDefault="00221512" w:rsidP="00221512">
      <w:pPr>
        <w:jc w:val="both"/>
        <w:rPr>
          <w:lang w:val="es-CR"/>
        </w:rPr>
      </w:pPr>
      <w:r w:rsidRPr="00221512">
        <w:rPr>
          <w:lang w:val="es-CR"/>
        </w:rPr>
        <w:t>Todo empieza con una evaluación exhaustiva, echando un vistazo a la historia médica y realizando un examen físico detallado. Se hace énfasis en averiguar la frecuencia y la cantidad de alcohol consumido, y también se consulta sobre posibles problemas anteriores, como convulsiones, lesiones, o cualquier dificultad hepática. Toda esta información es crucial para entender la gravedad de la abstinencia y los riesgos asociados (7).</w:t>
      </w:r>
    </w:p>
    <w:p w14:paraId="5824B14C" w14:textId="77777777" w:rsidR="00221512" w:rsidRPr="00221512" w:rsidRDefault="00221512" w:rsidP="00221512">
      <w:pPr>
        <w:jc w:val="both"/>
        <w:rPr>
          <w:lang w:val="es-CR"/>
        </w:rPr>
      </w:pPr>
      <w:r w:rsidRPr="00221512">
        <w:rPr>
          <w:lang w:val="es-CR"/>
        </w:rPr>
        <w:t>Para evaluar los síntomas de abstinencia, se utilizan herramientas como la escala CIWA-Ar, que permite medir y categorizar la intensidad de los síntomas. Esto ayuda a los médicos a determinar qué tratamiento sería el más adecuado para cada caso en particular.</w:t>
      </w:r>
    </w:p>
    <w:p w14:paraId="12B2904C" w14:textId="77777777" w:rsidR="00221512" w:rsidRPr="00221512" w:rsidRDefault="00221512" w:rsidP="00221512">
      <w:pPr>
        <w:jc w:val="both"/>
        <w:rPr>
          <w:lang w:val="es-CR"/>
        </w:rPr>
      </w:pPr>
      <w:r w:rsidRPr="00221512">
        <w:rPr>
          <w:lang w:val="es-CR"/>
        </w:rPr>
        <w:t>Hablando del tratamiento en sí, generalmente involucra el uso de medicamentos, principalmente benzodiacepinas, como el diazepam o el lorazepam, administrados oralmente o por vía intravenosa, y ajustados según la gravedad de los síntomas. Cuando el delirium tremens es muy severo y los pacientes no responden bien a las benzodiazepinas, se considera trasladarlos a unidades especializadas, donde se usan medicamentos más potentes y hay un monitoreo más detallado.</w:t>
      </w:r>
    </w:p>
    <w:p w14:paraId="6756655C" w14:textId="77777777" w:rsidR="00221512" w:rsidRPr="00221512" w:rsidRDefault="00221512" w:rsidP="00221512">
      <w:pPr>
        <w:jc w:val="both"/>
        <w:rPr>
          <w:lang w:val="es-CR"/>
        </w:rPr>
      </w:pPr>
      <w:r w:rsidRPr="00221512">
        <w:rPr>
          <w:lang w:val="es-CR"/>
        </w:rPr>
        <w:t xml:space="preserve">Es sumamente importante crear un ambiente tranquilo y de apoyo para estos pacientes. Se les debe brindar orientación constante, controlar sus signos vitales, tener certeza de que estén hidratados y reciban la nutrición adecuada. A veces, en situaciones críticas, es necesario recurrir a medidas de </w:t>
      </w:r>
      <w:r w:rsidRPr="00221512">
        <w:rPr>
          <w:lang w:val="es-CR"/>
        </w:rPr>
        <w:t>contención temporal para asegurar la seguridad del paciente y su entorno.</w:t>
      </w:r>
    </w:p>
    <w:p w14:paraId="787B6BA3" w14:textId="77777777" w:rsidR="00221512" w:rsidRPr="00221512" w:rsidRDefault="00221512" w:rsidP="00221512">
      <w:pPr>
        <w:jc w:val="both"/>
        <w:rPr>
          <w:lang w:val="es-CR"/>
        </w:rPr>
      </w:pPr>
      <w:r w:rsidRPr="00221512">
        <w:rPr>
          <w:lang w:val="es-CR"/>
        </w:rPr>
        <w:t>Además de la medicación, se presta atención a las deficiencias vitamínicas comunes, como la falta de tiamina (vitamina B1) y magnesio, proporcionando suplementos según sea necesario. Aunque se suele recomendar la suplementación de tiamina, es importante mencionar que la evidencia científica respaldando su uso generalizado aún es limitada (7).</w:t>
      </w:r>
    </w:p>
    <w:p w14:paraId="31DD37AA" w14:textId="77777777" w:rsidR="00221512" w:rsidRPr="00221512" w:rsidRDefault="00221512" w:rsidP="00221512">
      <w:pPr>
        <w:jc w:val="both"/>
        <w:rPr>
          <w:lang w:val="es-CR"/>
        </w:rPr>
      </w:pPr>
      <w:r w:rsidRPr="00221512">
        <w:rPr>
          <w:lang w:val="es-CR"/>
        </w:rPr>
        <w:t>Los psiquiatras juegan un papel fundamental en el equipo médico multidisciplinario, coordinando el cuidado del paciente y asegurándose de que se sigan los protocolos estándar para ofrecer el mejor tratamiento posible. Es crucial asegurar una transición fluida del tratamiento agudo a uno a largo plazo en centros especializados para garantizar la recuperación sostenida del paciente (7).</w:t>
      </w:r>
    </w:p>
    <w:p w14:paraId="0EAD3A85" w14:textId="12D58413" w:rsidR="00221512" w:rsidRPr="00221512" w:rsidRDefault="00221512" w:rsidP="00221512">
      <w:pPr>
        <w:jc w:val="both"/>
        <w:rPr>
          <w:lang w:val="es-CR"/>
        </w:rPr>
      </w:pPr>
      <w:r w:rsidRPr="00221512">
        <w:rPr>
          <w:lang w:val="es-CR"/>
        </w:rPr>
        <w:t>Un factor importante dentro de las medidas que deben asegurarse en los centros hospitalarios es, en primer lugar,</w:t>
      </w:r>
      <w:r>
        <w:rPr>
          <w:lang w:val="es-CR"/>
        </w:rPr>
        <w:t xml:space="preserve"> asegurar las vías respiratoria</w:t>
      </w:r>
      <w:r w:rsidRPr="00221512">
        <w:rPr>
          <w:lang w:val="es-CR"/>
        </w:rPr>
        <w:t>s, el mantenimiento de los signos vitales, establecer una vía venosa, la suspensión de los medicamentos que puedan ser sospechosos de desencadenar o contribuir al síndrome, nutrición adecuada, equilibrar los niveles de líquidos y sales del cuerpo. Otro factor importante de control son la prevención de lesiones generadas por caídas. Dentro de las recomendaciones que establece la literatura está que la contención física se aplica únicamente si hay riesgo con la vida del paciente o la seguridad del personal y familiares de este, o si, en su defecto, se obstaculiza el tratamiento terapéutico (14,15).</w:t>
      </w:r>
    </w:p>
    <w:p w14:paraId="26AAB7EA" w14:textId="77777777" w:rsidR="00221512" w:rsidRPr="00221512" w:rsidRDefault="00221512" w:rsidP="00221512">
      <w:pPr>
        <w:jc w:val="both"/>
        <w:rPr>
          <w:lang w:val="es-CR"/>
        </w:rPr>
      </w:pPr>
    </w:p>
    <w:p w14:paraId="7E5E5D4D" w14:textId="77777777" w:rsidR="00221512" w:rsidRPr="001932EF" w:rsidRDefault="00221512" w:rsidP="00221512">
      <w:pPr>
        <w:pStyle w:val="Ttulo1"/>
      </w:pPr>
      <w:r w:rsidRPr="001932EF">
        <w:t>PREVENCIÓN</w:t>
      </w:r>
    </w:p>
    <w:p w14:paraId="052E5640" w14:textId="77777777" w:rsidR="00221512" w:rsidRPr="00221512" w:rsidRDefault="00221512" w:rsidP="00221512">
      <w:pPr>
        <w:jc w:val="both"/>
        <w:rPr>
          <w:lang w:val="es-CR"/>
        </w:rPr>
      </w:pPr>
      <w:r w:rsidRPr="00221512">
        <w:rPr>
          <w:lang w:val="es-CR"/>
        </w:rPr>
        <w:t xml:space="preserve">El factor preventivo es quizás una de las estrategias que más impacto tiene para el </w:t>
      </w:r>
      <w:r w:rsidRPr="00221512">
        <w:rPr>
          <w:lang w:val="es-CR"/>
        </w:rPr>
        <w:lastRenderedPageBreak/>
        <w:t>manejo del delirium. En este tanto, se ha logrado identificar que, debido a la implementación de medidas preventivas, se ha reducido en un 50% la frecuencia y la duración de los episodios de delirium. Por ello, es importante que en los contextos hospitalarios se implemente la evaluación y medidas preventivas desde que ingresa el paciente al centro hospitalario y sean sostenidas durante toda la estancia, a efectos de que se puedan propiciar resultados óptimos y prevenir las manifestaciones del delirium (11-13).</w:t>
      </w:r>
    </w:p>
    <w:p w14:paraId="5DAF91B7" w14:textId="77777777" w:rsidR="00221512" w:rsidRPr="00221512" w:rsidRDefault="00221512" w:rsidP="00221512">
      <w:pPr>
        <w:jc w:val="both"/>
        <w:rPr>
          <w:lang w:val="es-CR"/>
        </w:rPr>
      </w:pPr>
    </w:p>
    <w:p w14:paraId="337609B9" w14:textId="77777777" w:rsidR="00221512" w:rsidRPr="001932EF" w:rsidRDefault="00221512" w:rsidP="00221512">
      <w:pPr>
        <w:pStyle w:val="Ttulo1"/>
      </w:pPr>
      <w:r w:rsidRPr="001932EF">
        <w:t>CONCLUSIONES</w:t>
      </w:r>
    </w:p>
    <w:p w14:paraId="525FDBCB" w14:textId="77777777" w:rsidR="00221512" w:rsidRPr="00221512" w:rsidRDefault="00221512" w:rsidP="00221512">
      <w:pPr>
        <w:jc w:val="both"/>
        <w:rPr>
          <w:lang w:val="es-CR"/>
        </w:rPr>
      </w:pPr>
      <w:r w:rsidRPr="00221512">
        <w:rPr>
          <w:lang w:val="es-CR"/>
        </w:rPr>
        <w:t>La literatura sobre el delirium tremens (DT) ofrece distintos enfoques sobre su origen y proceso de diagnóstico. Se ha notado una fuerte conexión entre la interrupción del consumo de alcohol y la aparición del DT, como una consecuencia directa de esa abstinencia.</w:t>
      </w:r>
    </w:p>
    <w:p w14:paraId="427FCF91" w14:textId="77777777" w:rsidR="00221512" w:rsidRPr="00221512" w:rsidRDefault="00221512" w:rsidP="00221512">
      <w:pPr>
        <w:jc w:val="both"/>
        <w:rPr>
          <w:lang w:val="es-CR"/>
        </w:rPr>
      </w:pPr>
      <w:r w:rsidRPr="00221512">
        <w:rPr>
          <w:lang w:val="es-CR"/>
        </w:rPr>
        <w:t>Cuando se trata de adultos mayores, este proceso puede complicarse debido a la presencia de otras condiciones médicas coexistentes, lo cual puede empeorar la situación. En la mayoría de los casos, el ingreso hospitalario se vuelve necesario para ofrecer una atención más especializada y garantizar la seguridad y la vida del paciente.</w:t>
      </w:r>
    </w:p>
    <w:p w14:paraId="2D154BBA" w14:textId="77777777" w:rsidR="00D94F08" w:rsidRPr="00D94F08" w:rsidRDefault="00D94F08" w:rsidP="00D94F08">
      <w:pPr>
        <w:autoSpaceDE w:val="0"/>
        <w:autoSpaceDN w:val="0"/>
        <w:adjustRightInd w:val="0"/>
        <w:jc w:val="both"/>
        <w:rPr>
          <w:lang w:val="es-CR"/>
        </w:rPr>
      </w:pPr>
    </w:p>
    <w:p w14:paraId="37769429" w14:textId="77777777" w:rsidR="0031108A" w:rsidRPr="00A05503" w:rsidRDefault="0031108A" w:rsidP="00A05503">
      <w:pPr>
        <w:pStyle w:val="Ttulo1"/>
      </w:pPr>
      <w:r w:rsidRPr="00A05503">
        <w:t>REFERENCIAS</w:t>
      </w:r>
    </w:p>
    <w:p w14:paraId="2869D9DB" w14:textId="34383EF3" w:rsidR="00221512" w:rsidRPr="00EC0E85" w:rsidRDefault="00221512" w:rsidP="00221512">
      <w:pPr>
        <w:pBdr>
          <w:top w:val="nil"/>
          <w:left w:val="nil"/>
          <w:bottom w:val="nil"/>
          <w:right w:val="nil"/>
          <w:between w:val="nil"/>
        </w:pBdr>
        <w:tabs>
          <w:tab w:val="left" w:pos="993"/>
        </w:tabs>
        <w:ind w:left="284" w:hanging="284"/>
        <w:jc w:val="both"/>
        <w:rPr>
          <w:color w:val="000000"/>
          <w:sz w:val="20"/>
          <w:lang w:val="en-US"/>
        </w:rPr>
      </w:pPr>
      <w:r w:rsidRPr="00EC0E85">
        <w:rPr>
          <w:color w:val="000000"/>
          <w:sz w:val="20"/>
          <w:lang w:val="es-CR"/>
        </w:rPr>
        <w:t>1.</w:t>
      </w:r>
      <w:r w:rsidRPr="00EC0E85">
        <w:rPr>
          <w:color w:val="000000"/>
          <w:sz w:val="20"/>
          <w:lang w:val="es-CR"/>
        </w:rPr>
        <w:tab/>
        <w:t xml:space="preserve">Mulkey MA, Olson DM. </w:t>
      </w:r>
      <w:r w:rsidRPr="00EC0E85">
        <w:rPr>
          <w:color w:val="000000"/>
          <w:sz w:val="20"/>
          <w:lang w:val="en-US"/>
        </w:rPr>
        <w:t>Delirium Tremens in the Older Adult. The Journal of neuroscience nursing: journal of the American Association of Neuroscience Nurses</w:t>
      </w:r>
      <w:r w:rsidR="00653054">
        <w:rPr>
          <w:color w:val="000000"/>
          <w:sz w:val="20"/>
          <w:lang w:val="en-US"/>
        </w:rPr>
        <w:t xml:space="preserve"> </w:t>
      </w:r>
      <w:r w:rsidR="00653054">
        <w:rPr>
          <w:color w:val="000000"/>
          <w:sz w:val="20"/>
          <w:lang w:val="en-US"/>
        </w:rPr>
        <w:t>[Internet]</w:t>
      </w:r>
      <w:r>
        <w:rPr>
          <w:color w:val="000000"/>
          <w:sz w:val="20"/>
          <w:lang w:val="en-US"/>
        </w:rPr>
        <w:t>. 2020</w:t>
      </w:r>
      <w:r w:rsidR="00FF4E27">
        <w:rPr>
          <w:color w:val="000000"/>
          <w:sz w:val="20"/>
          <w:lang w:val="en-US"/>
        </w:rPr>
        <w:t xml:space="preserve"> (citado el 01 de noviembre 2023)</w:t>
      </w:r>
      <w:r>
        <w:rPr>
          <w:color w:val="000000"/>
          <w:sz w:val="20"/>
          <w:lang w:val="en-US"/>
        </w:rPr>
        <w:t>;</w:t>
      </w:r>
      <w:r w:rsidRPr="00EC0E85">
        <w:rPr>
          <w:color w:val="000000"/>
          <w:sz w:val="20"/>
          <w:lang w:val="en-US"/>
        </w:rPr>
        <w:t>52(6)</w:t>
      </w:r>
      <w:r>
        <w:rPr>
          <w:color w:val="000000"/>
          <w:sz w:val="20"/>
          <w:lang w:val="en-US"/>
        </w:rPr>
        <w:t>:</w:t>
      </w:r>
      <w:r w:rsidRPr="00EC0E85">
        <w:rPr>
          <w:color w:val="000000"/>
          <w:sz w:val="20"/>
          <w:lang w:val="en-US"/>
        </w:rPr>
        <w:t xml:space="preserve">316–321. </w:t>
      </w:r>
      <w:r>
        <w:rPr>
          <w:color w:val="000000"/>
          <w:sz w:val="20"/>
          <w:lang w:val="en-US"/>
        </w:rPr>
        <w:t>DOI:</w:t>
      </w:r>
      <w:r w:rsidRPr="00EC0E85">
        <w:rPr>
          <w:color w:val="000000"/>
          <w:sz w:val="20"/>
          <w:lang w:val="en-US"/>
        </w:rPr>
        <w:t>10.1097/JNN.0000000000000543</w:t>
      </w:r>
      <w:r w:rsidR="002F58A0">
        <w:rPr>
          <w:color w:val="000000"/>
          <w:sz w:val="20"/>
          <w:lang w:val="en-US"/>
        </w:rPr>
        <w:t xml:space="preserve"> </w:t>
      </w:r>
    </w:p>
    <w:p w14:paraId="7FD7821E" w14:textId="7D3F7EDB" w:rsidR="00221512" w:rsidRPr="002F58A0" w:rsidRDefault="00221512" w:rsidP="00221512">
      <w:pPr>
        <w:pBdr>
          <w:top w:val="nil"/>
          <w:left w:val="nil"/>
          <w:bottom w:val="nil"/>
          <w:right w:val="nil"/>
          <w:between w:val="nil"/>
        </w:pBdr>
        <w:tabs>
          <w:tab w:val="left" w:pos="993"/>
        </w:tabs>
        <w:ind w:left="284" w:hanging="284"/>
        <w:jc w:val="both"/>
        <w:rPr>
          <w:color w:val="000000"/>
          <w:sz w:val="20"/>
          <w:lang w:val="es-CR"/>
        </w:rPr>
      </w:pPr>
      <w:r w:rsidRPr="00EC0E85">
        <w:rPr>
          <w:color w:val="000000"/>
          <w:sz w:val="20"/>
          <w:lang w:val="en-US"/>
        </w:rPr>
        <w:t>2.</w:t>
      </w:r>
      <w:r w:rsidRPr="00EC0E85">
        <w:rPr>
          <w:color w:val="000000"/>
          <w:sz w:val="20"/>
          <w:lang w:val="en-US"/>
        </w:rPr>
        <w:tab/>
        <w:t xml:space="preserve">Inouye SK, Westendorp RG, Saczynski JS. Delirium in elderly people. </w:t>
      </w:r>
      <w:r w:rsidRPr="002F58A0">
        <w:rPr>
          <w:color w:val="000000"/>
          <w:sz w:val="20"/>
          <w:lang w:val="es-CR"/>
        </w:rPr>
        <w:t>Lancet</w:t>
      </w:r>
      <w:r w:rsidR="00653054" w:rsidRPr="002F58A0">
        <w:rPr>
          <w:color w:val="000000"/>
          <w:sz w:val="20"/>
          <w:lang w:val="es-CR"/>
        </w:rPr>
        <w:t xml:space="preserve"> </w:t>
      </w:r>
      <w:r w:rsidR="00653054" w:rsidRPr="002F58A0">
        <w:rPr>
          <w:color w:val="000000"/>
          <w:sz w:val="20"/>
          <w:lang w:val="es-CR"/>
        </w:rPr>
        <w:t>[Internet]</w:t>
      </w:r>
      <w:r w:rsidRPr="002F58A0">
        <w:rPr>
          <w:color w:val="000000"/>
          <w:sz w:val="20"/>
          <w:lang w:val="es-CR"/>
        </w:rPr>
        <w:t>. 2014</w:t>
      </w:r>
      <w:r w:rsidR="008C5401" w:rsidRPr="002F58A0">
        <w:rPr>
          <w:color w:val="000000"/>
          <w:sz w:val="20"/>
          <w:lang w:val="es-CR"/>
        </w:rPr>
        <w:t xml:space="preserve"> (citado el 01 de noviembre </w:t>
      </w:r>
      <w:r w:rsidR="008C5401" w:rsidRPr="002F58A0">
        <w:rPr>
          <w:color w:val="000000"/>
          <w:sz w:val="20"/>
          <w:lang w:val="es-CR"/>
        </w:rPr>
        <w:t>2023)</w:t>
      </w:r>
      <w:r w:rsidRPr="002F58A0">
        <w:rPr>
          <w:color w:val="000000"/>
          <w:sz w:val="20"/>
          <w:lang w:val="es-CR"/>
        </w:rPr>
        <w:t xml:space="preserve">;383(9920):911–22. DOI: </w:t>
      </w:r>
      <w:r w:rsidRPr="00EC0E85">
        <w:rPr>
          <w:color w:val="000000"/>
          <w:sz w:val="20"/>
          <w:lang w:val="en-US"/>
        </w:rPr>
        <w:t>10.1016/S0140-6736(13)60688-1;</w:t>
      </w:r>
    </w:p>
    <w:p w14:paraId="09A7B7C1" w14:textId="3B3B1F58" w:rsidR="00221512" w:rsidRPr="00EC0E85" w:rsidRDefault="00221512" w:rsidP="00221512">
      <w:pPr>
        <w:pBdr>
          <w:top w:val="nil"/>
          <w:left w:val="nil"/>
          <w:bottom w:val="nil"/>
          <w:right w:val="nil"/>
          <w:between w:val="nil"/>
        </w:pBdr>
        <w:tabs>
          <w:tab w:val="left" w:pos="993"/>
        </w:tabs>
        <w:ind w:left="284" w:hanging="284"/>
        <w:jc w:val="both"/>
        <w:rPr>
          <w:color w:val="000000"/>
          <w:sz w:val="20"/>
          <w:lang w:val="en-US"/>
        </w:rPr>
      </w:pPr>
      <w:r w:rsidRPr="00EC0E85">
        <w:rPr>
          <w:color w:val="000000"/>
          <w:sz w:val="20"/>
          <w:lang w:val="en-US"/>
        </w:rPr>
        <w:t>3.</w:t>
      </w:r>
      <w:r w:rsidRPr="00EC0E85">
        <w:rPr>
          <w:color w:val="000000"/>
          <w:sz w:val="20"/>
          <w:lang w:val="en-US"/>
        </w:rPr>
        <w:tab/>
        <w:t>Van den Boogaard M, Schoonhoven L, van der Hoeven JG, van Achterberg T, Pickkers P. Incidence and short-term consequences of delirium in critically ill patients: a prospective observational cohort study. Int J Nurs Stud</w:t>
      </w:r>
      <w:r w:rsidR="00653054">
        <w:rPr>
          <w:color w:val="000000"/>
          <w:sz w:val="20"/>
          <w:lang w:val="en-US"/>
        </w:rPr>
        <w:t xml:space="preserve"> </w:t>
      </w:r>
      <w:r w:rsidR="00653054">
        <w:rPr>
          <w:color w:val="000000"/>
          <w:sz w:val="20"/>
          <w:lang w:val="en-US"/>
        </w:rPr>
        <w:t>[Internet]</w:t>
      </w:r>
      <w:r w:rsidRPr="00EC0E85">
        <w:rPr>
          <w:color w:val="000000"/>
          <w:sz w:val="20"/>
          <w:lang w:val="en-US"/>
        </w:rPr>
        <w:t>. 2012</w:t>
      </w:r>
      <w:r w:rsidR="008C5401">
        <w:rPr>
          <w:color w:val="000000"/>
          <w:sz w:val="20"/>
          <w:lang w:val="en-US"/>
        </w:rPr>
        <w:t xml:space="preserve"> (citado el 01 de noviembre 2023)</w:t>
      </w:r>
      <w:r w:rsidRPr="00EC0E85">
        <w:rPr>
          <w:color w:val="000000"/>
          <w:sz w:val="20"/>
          <w:lang w:val="en-US"/>
        </w:rPr>
        <w:t>;49(7):775–83.</w:t>
      </w:r>
      <w:r>
        <w:rPr>
          <w:color w:val="000000"/>
          <w:sz w:val="20"/>
          <w:lang w:val="en-US"/>
        </w:rPr>
        <w:t xml:space="preserve"> DOI:</w:t>
      </w:r>
      <w:r w:rsidR="002F58A0">
        <w:rPr>
          <w:color w:val="000000"/>
          <w:sz w:val="20"/>
          <w:lang w:val="en-US"/>
        </w:rPr>
        <w:t xml:space="preserve"> </w:t>
      </w:r>
      <w:r w:rsidRPr="00EC0E85">
        <w:rPr>
          <w:color w:val="000000"/>
          <w:sz w:val="20"/>
          <w:lang w:val="en-US"/>
        </w:rPr>
        <w:t>10.1016/j.ijnurstu.2011.11.016.</w:t>
      </w:r>
    </w:p>
    <w:p w14:paraId="02412E86" w14:textId="11B94A99" w:rsidR="00221512" w:rsidRPr="00221512" w:rsidRDefault="00221512" w:rsidP="00221512">
      <w:pPr>
        <w:pBdr>
          <w:top w:val="nil"/>
          <w:left w:val="nil"/>
          <w:bottom w:val="nil"/>
          <w:right w:val="nil"/>
          <w:between w:val="nil"/>
        </w:pBdr>
        <w:tabs>
          <w:tab w:val="left" w:pos="993"/>
        </w:tabs>
        <w:ind w:left="284" w:hanging="284"/>
        <w:jc w:val="both"/>
        <w:rPr>
          <w:color w:val="000000"/>
          <w:sz w:val="20"/>
          <w:lang w:val="es-CR"/>
        </w:rPr>
      </w:pPr>
      <w:r w:rsidRPr="00EC0E85">
        <w:rPr>
          <w:color w:val="000000"/>
          <w:sz w:val="20"/>
          <w:lang w:val="en-US"/>
        </w:rPr>
        <w:t>4.</w:t>
      </w:r>
      <w:r w:rsidRPr="00EC0E85">
        <w:rPr>
          <w:color w:val="000000"/>
          <w:sz w:val="20"/>
          <w:lang w:val="en-US"/>
        </w:rPr>
        <w:tab/>
        <w:t>Stollings JL, Kotfis K, Chanques G</w:t>
      </w:r>
      <w:r>
        <w:rPr>
          <w:color w:val="000000"/>
          <w:sz w:val="20"/>
          <w:lang w:val="en-US"/>
        </w:rPr>
        <w:t>,</w:t>
      </w:r>
      <w:r w:rsidRPr="00EC0E85">
        <w:rPr>
          <w:color w:val="000000"/>
          <w:sz w:val="20"/>
          <w:lang w:val="en-US"/>
        </w:rPr>
        <w:t xml:space="preserve"> et al. Delirium in critical illness: clinical manifestations, outcomes, and management. </w:t>
      </w:r>
      <w:r w:rsidRPr="002F58A0">
        <w:rPr>
          <w:color w:val="000000"/>
          <w:sz w:val="20"/>
          <w:lang w:val="es-CR"/>
        </w:rPr>
        <w:t>Intensive Care Med</w:t>
      </w:r>
      <w:r w:rsidR="00653054" w:rsidRPr="002F58A0">
        <w:rPr>
          <w:color w:val="000000"/>
          <w:sz w:val="20"/>
          <w:lang w:val="es-CR"/>
        </w:rPr>
        <w:t xml:space="preserve"> </w:t>
      </w:r>
      <w:r w:rsidR="00653054" w:rsidRPr="002F58A0">
        <w:rPr>
          <w:color w:val="000000"/>
          <w:sz w:val="20"/>
          <w:lang w:val="es-CR"/>
        </w:rPr>
        <w:t>[Internet]</w:t>
      </w:r>
      <w:r w:rsidRPr="002F58A0">
        <w:rPr>
          <w:color w:val="000000"/>
          <w:sz w:val="20"/>
          <w:lang w:val="es-CR"/>
        </w:rPr>
        <w:t>. 2021</w:t>
      </w:r>
      <w:r w:rsidR="008C5401" w:rsidRPr="002F58A0">
        <w:rPr>
          <w:color w:val="000000"/>
          <w:sz w:val="20"/>
          <w:lang w:val="es-CR"/>
        </w:rPr>
        <w:t xml:space="preserve"> (citado el 01 de noviembre 2023)</w:t>
      </w:r>
      <w:r w:rsidRPr="002F58A0">
        <w:rPr>
          <w:color w:val="000000"/>
          <w:sz w:val="20"/>
          <w:lang w:val="es-CR"/>
        </w:rPr>
        <w:t xml:space="preserve">;47:1089–1103. </w:t>
      </w:r>
      <w:r w:rsidRPr="00221512">
        <w:rPr>
          <w:color w:val="000000"/>
          <w:sz w:val="20"/>
          <w:lang w:val="es-CR"/>
        </w:rPr>
        <w:t>DOI: 10.1007/s00134-021-06503-1</w:t>
      </w:r>
    </w:p>
    <w:p w14:paraId="19A28221" w14:textId="7186C425" w:rsidR="00221512" w:rsidRPr="00221512" w:rsidRDefault="00221512" w:rsidP="00221512">
      <w:pPr>
        <w:pBdr>
          <w:top w:val="nil"/>
          <w:left w:val="nil"/>
          <w:bottom w:val="nil"/>
          <w:right w:val="nil"/>
          <w:between w:val="nil"/>
        </w:pBdr>
        <w:tabs>
          <w:tab w:val="left" w:pos="993"/>
        </w:tabs>
        <w:ind w:left="284" w:hanging="284"/>
        <w:jc w:val="both"/>
        <w:rPr>
          <w:color w:val="000000"/>
          <w:sz w:val="20"/>
          <w:lang w:val="es-CR"/>
        </w:rPr>
      </w:pPr>
      <w:r w:rsidRPr="00221512">
        <w:rPr>
          <w:color w:val="000000"/>
          <w:sz w:val="20"/>
          <w:lang w:val="es-CR"/>
        </w:rPr>
        <w:t>5.</w:t>
      </w:r>
      <w:r w:rsidRPr="00221512">
        <w:rPr>
          <w:color w:val="000000"/>
          <w:sz w:val="20"/>
          <w:lang w:val="es-CR"/>
        </w:rPr>
        <w:tab/>
        <w:t>Durán A, Valderrama L, Uribe AF, González A, Molina JM. Enfermedad crónica en adultos mayores. Universitas Medica [Internet]. 2010</w:t>
      </w:r>
      <w:r w:rsidR="008C5401" w:rsidRPr="002F58A0">
        <w:rPr>
          <w:color w:val="000000"/>
          <w:sz w:val="20"/>
          <w:lang w:val="es-CR"/>
        </w:rPr>
        <w:t xml:space="preserve"> (citado el 01 de noviembre 2023)</w:t>
      </w:r>
      <w:r w:rsidRPr="00221512">
        <w:rPr>
          <w:color w:val="000000"/>
          <w:sz w:val="20"/>
          <w:lang w:val="es-CR"/>
        </w:rPr>
        <w:t xml:space="preserve">;51(1):16-28. Recuperado a partir de: </w:t>
      </w:r>
      <w:hyperlink r:id="rId24" w:history="1">
        <w:r w:rsidR="002F58A0" w:rsidRPr="0061574E">
          <w:rPr>
            <w:rStyle w:val="Hipervnculo"/>
            <w:sz w:val="20"/>
            <w:lang w:val="es-CR"/>
          </w:rPr>
          <w:t>https://www.redalyc.org/articulo.oa?id=231018676003</w:t>
        </w:r>
      </w:hyperlink>
      <w:r w:rsidR="002F58A0">
        <w:rPr>
          <w:color w:val="000000"/>
          <w:sz w:val="20"/>
          <w:lang w:val="es-CR"/>
        </w:rPr>
        <w:t xml:space="preserve"> </w:t>
      </w:r>
    </w:p>
    <w:p w14:paraId="0A66EF5B" w14:textId="369F901A" w:rsidR="00221512" w:rsidRPr="00EC0E85" w:rsidRDefault="00221512" w:rsidP="00221512">
      <w:pPr>
        <w:pBdr>
          <w:top w:val="nil"/>
          <w:left w:val="nil"/>
          <w:bottom w:val="nil"/>
          <w:right w:val="nil"/>
          <w:between w:val="nil"/>
        </w:pBdr>
        <w:tabs>
          <w:tab w:val="left" w:pos="993"/>
        </w:tabs>
        <w:ind w:left="284" w:hanging="284"/>
        <w:jc w:val="both"/>
        <w:rPr>
          <w:color w:val="000000"/>
          <w:sz w:val="20"/>
          <w:lang w:val="en-US"/>
        </w:rPr>
      </w:pPr>
      <w:r w:rsidRPr="00EC0E85">
        <w:rPr>
          <w:color w:val="000000"/>
          <w:sz w:val="20"/>
          <w:lang w:val="es-CR"/>
        </w:rPr>
        <w:t>6.</w:t>
      </w:r>
      <w:r w:rsidRPr="00EC0E85">
        <w:rPr>
          <w:color w:val="000000"/>
          <w:sz w:val="20"/>
          <w:lang w:val="es-CR"/>
        </w:rPr>
        <w:tab/>
        <w:t xml:space="preserve">Oliveira J e Silva L, Berning MJ, Stanich JA, et al. </w:t>
      </w:r>
      <w:r w:rsidRPr="00EC0E85">
        <w:rPr>
          <w:color w:val="000000"/>
          <w:sz w:val="20"/>
          <w:lang w:val="en-US"/>
        </w:rPr>
        <w:t>Risk factors for delirium among older adults in the emergency department: a systematic review protocol</w:t>
      </w:r>
      <w:r w:rsidR="00653054">
        <w:rPr>
          <w:color w:val="000000"/>
          <w:sz w:val="20"/>
          <w:lang w:val="en-US"/>
        </w:rPr>
        <w:t>.</w:t>
      </w:r>
      <w:r w:rsidRPr="00EC0E85">
        <w:rPr>
          <w:color w:val="000000"/>
          <w:sz w:val="20"/>
          <w:lang w:val="en-US"/>
        </w:rPr>
        <w:t xml:space="preserve"> BMJ </w:t>
      </w:r>
      <w:r w:rsidR="00653054">
        <w:rPr>
          <w:color w:val="000000"/>
          <w:sz w:val="20"/>
          <w:lang w:val="en-US"/>
        </w:rPr>
        <w:t>[Internet]</w:t>
      </w:r>
      <w:r w:rsidR="00653054">
        <w:rPr>
          <w:color w:val="000000"/>
          <w:sz w:val="20"/>
          <w:lang w:val="en-US"/>
        </w:rPr>
        <w:t>.</w:t>
      </w:r>
      <w:r w:rsidRPr="00EC0E85">
        <w:rPr>
          <w:color w:val="000000"/>
          <w:sz w:val="20"/>
          <w:lang w:val="en-US"/>
        </w:rPr>
        <w:t xml:space="preserve"> 2020</w:t>
      </w:r>
      <w:r w:rsidR="008C5401">
        <w:rPr>
          <w:color w:val="000000"/>
          <w:sz w:val="20"/>
          <w:lang w:val="en-US"/>
        </w:rPr>
        <w:t xml:space="preserve"> (citado el 01 de noviembre 2023)</w:t>
      </w:r>
      <w:r w:rsidRPr="00EC0E85">
        <w:rPr>
          <w:color w:val="000000"/>
          <w:sz w:val="20"/>
          <w:lang w:val="en-US"/>
        </w:rPr>
        <w:t xml:space="preserve">;10:e039175. </w:t>
      </w:r>
      <w:r>
        <w:rPr>
          <w:color w:val="000000"/>
          <w:sz w:val="20"/>
          <w:lang w:val="en-US"/>
        </w:rPr>
        <w:t>DOI</w:t>
      </w:r>
      <w:r w:rsidRPr="00EC0E85">
        <w:rPr>
          <w:color w:val="000000"/>
          <w:sz w:val="20"/>
          <w:lang w:val="en-US"/>
        </w:rPr>
        <w:t>: 10.1136/bmjopen-2020-039175</w:t>
      </w:r>
    </w:p>
    <w:p w14:paraId="29F9257D" w14:textId="17365904" w:rsidR="00221512" w:rsidRPr="00EC0E85" w:rsidRDefault="00221512" w:rsidP="00221512">
      <w:pPr>
        <w:pBdr>
          <w:top w:val="nil"/>
          <w:left w:val="nil"/>
          <w:bottom w:val="nil"/>
          <w:right w:val="nil"/>
          <w:between w:val="nil"/>
        </w:pBdr>
        <w:tabs>
          <w:tab w:val="left" w:pos="993"/>
        </w:tabs>
        <w:ind w:left="284" w:hanging="284"/>
        <w:jc w:val="both"/>
        <w:rPr>
          <w:color w:val="000000"/>
          <w:sz w:val="20"/>
          <w:lang w:val="es-CR"/>
        </w:rPr>
      </w:pPr>
      <w:r w:rsidRPr="002F58A0">
        <w:rPr>
          <w:color w:val="000000"/>
          <w:sz w:val="20"/>
          <w:lang w:val="es-CR"/>
        </w:rPr>
        <w:t>7.</w:t>
      </w:r>
      <w:r w:rsidRPr="002F58A0">
        <w:rPr>
          <w:color w:val="000000"/>
          <w:sz w:val="20"/>
          <w:lang w:val="es-CR"/>
        </w:rPr>
        <w:tab/>
        <w:t xml:space="preserve">Chakrabarti S, Ghosh A. La psiquiatría de enlace y el diagnóstico del delirium tremens / Liaison psychiatry in diagnosing delirium tremens. </w:t>
      </w:r>
      <w:r w:rsidRPr="00EC0E85">
        <w:rPr>
          <w:color w:val="000000"/>
          <w:sz w:val="20"/>
          <w:lang w:val="es-CR"/>
        </w:rPr>
        <w:t>Salud(i)ciencia (Impresa).</w:t>
      </w:r>
      <w:r>
        <w:rPr>
          <w:color w:val="000000"/>
          <w:sz w:val="20"/>
          <w:lang w:val="es-CR"/>
        </w:rPr>
        <w:t xml:space="preserve"> Oct</w:t>
      </w:r>
      <w:r w:rsidR="0097689A">
        <w:rPr>
          <w:color w:val="000000"/>
          <w:sz w:val="20"/>
          <w:lang w:val="es-CR"/>
        </w:rPr>
        <w:t>ubre</w:t>
      </w:r>
      <w:r w:rsidRPr="00EC0E85">
        <w:rPr>
          <w:color w:val="000000"/>
          <w:sz w:val="20"/>
          <w:lang w:val="es-CR"/>
        </w:rPr>
        <w:t xml:space="preserve"> 2016</w:t>
      </w:r>
      <w:r w:rsidR="008C5401">
        <w:rPr>
          <w:color w:val="000000"/>
          <w:sz w:val="20"/>
          <w:lang w:val="en-US"/>
        </w:rPr>
        <w:t xml:space="preserve"> (citado el 01 de noviembre 2023)</w:t>
      </w:r>
      <w:r w:rsidRPr="00EC0E85">
        <w:rPr>
          <w:color w:val="000000"/>
          <w:sz w:val="20"/>
          <w:lang w:val="es-CR"/>
        </w:rPr>
        <w:t>;22(3):236-249.</w:t>
      </w:r>
    </w:p>
    <w:p w14:paraId="5620056D" w14:textId="09CC5B7A" w:rsidR="00221512" w:rsidRPr="00EC0E85" w:rsidRDefault="00221512" w:rsidP="00221512">
      <w:pPr>
        <w:pBdr>
          <w:top w:val="nil"/>
          <w:left w:val="nil"/>
          <w:bottom w:val="nil"/>
          <w:right w:val="nil"/>
          <w:between w:val="nil"/>
        </w:pBdr>
        <w:tabs>
          <w:tab w:val="left" w:pos="993"/>
        </w:tabs>
        <w:ind w:left="284" w:hanging="284"/>
        <w:jc w:val="both"/>
        <w:rPr>
          <w:color w:val="000000"/>
          <w:sz w:val="20"/>
          <w:lang w:val="en-US"/>
        </w:rPr>
      </w:pPr>
      <w:r w:rsidRPr="00EC0E85">
        <w:rPr>
          <w:color w:val="000000"/>
          <w:sz w:val="20"/>
          <w:lang w:val="es-CR"/>
        </w:rPr>
        <w:t>8.</w:t>
      </w:r>
      <w:r>
        <w:rPr>
          <w:color w:val="000000"/>
          <w:sz w:val="20"/>
          <w:lang w:val="es-CR"/>
        </w:rPr>
        <w:t xml:space="preserve"> </w:t>
      </w:r>
      <w:r w:rsidRPr="00EC0E85">
        <w:rPr>
          <w:color w:val="000000"/>
          <w:sz w:val="20"/>
          <w:lang w:val="es-CR"/>
        </w:rPr>
        <w:t xml:space="preserve">Jiménez, M, Santeodoro, A, Lancho, E. Delírium o Síndrome Confusional Agudo. Tratado de Geriatría para Residentes. Sociedad Española de Geriatría y Gerontología. </w:t>
      </w:r>
      <w:r w:rsidRPr="00EC0E85">
        <w:rPr>
          <w:color w:val="000000"/>
          <w:sz w:val="20"/>
          <w:lang w:val="en-US"/>
        </w:rPr>
        <w:t>Madrid, España.</w:t>
      </w:r>
      <w:r>
        <w:rPr>
          <w:color w:val="000000"/>
          <w:sz w:val="20"/>
          <w:lang w:val="en-US"/>
        </w:rPr>
        <w:t xml:space="preserve"> </w:t>
      </w:r>
      <w:r w:rsidRPr="00EC0E85">
        <w:rPr>
          <w:color w:val="000000"/>
          <w:sz w:val="20"/>
          <w:lang w:val="en-US"/>
        </w:rPr>
        <w:t>2006</w:t>
      </w:r>
      <w:r w:rsidR="008C5401">
        <w:rPr>
          <w:color w:val="000000"/>
          <w:sz w:val="20"/>
          <w:lang w:val="en-US"/>
        </w:rPr>
        <w:t xml:space="preserve"> (citado el 01 de noviembre 2023)</w:t>
      </w:r>
      <w:r w:rsidRPr="00EC0E85">
        <w:rPr>
          <w:color w:val="000000"/>
          <w:sz w:val="20"/>
          <w:lang w:val="en-US"/>
        </w:rPr>
        <w:t>, pp. 189- 198.</w:t>
      </w:r>
    </w:p>
    <w:p w14:paraId="257CF859" w14:textId="0DF48375" w:rsidR="00221512" w:rsidRPr="00EC0E85" w:rsidRDefault="00221512" w:rsidP="00221512">
      <w:pPr>
        <w:pBdr>
          <w:top w:val="nil"/>
          <w:left w:val="nil"/>
          <w:bottom w:val="nil"/>
          <w:right w:val="nil"/>
          <w:between w:val="nil"/>
        </w:pBdr>
        <w:tabs>
          <w:tab w:val="left" w:pos="993"/>
        </w:tabs>
        <w:ind w:left="284" w:hanging="284"/>
        <w:jc w:val="both"/>
        <w:rPr>
          <w:color w:val="000000"/>
          <w:sz w:val="20"/>
          <w:lang w:val="es-CR"/>
        </w:rPr>
      </w:pPr>
      <w:r w:rsidRPr="00EC0E85">
        <w:rPr>
          <w:color w:val="000000"/>
          <w:sz w:val="20"/>
          <w:lang w:val="en-US"/>
        </w:rPr>
        <w:t>9. Kalish V, Gillham J,</w:t>
      </w:r>
      <w:r>
        <w:rPr>
          <w:color w:val="000000"/>
          <w:sz w:val="20"/>
          <w:lang w:val="en-US"/>
        </w:rPr>
        <w:t xml:space="preserve"> </w:t>
      </w:r>
      <w:r w:rsidRPr="00EC0E85">
        <w:rPr>
          <w:color w:val="000000"/>
          <w:sz w:val="20"/>
          <w:lang w:val="en-US"/>
        </w:rPr>
        <w:t xml:space="preserve">Unwin B. Delirium in Older Persons: Evaluation and Management. </w:t>
      </w:r>
      <w:r w:rsidRPr="00EC0E85">
        <w:rPr>
          <w:color w:val="000000"/>
          <w:sz w:val="20"/>
          <w:lang w:val="es-CR"/>
        </w:rPr>
        <w:t>Am Fam Physician</w:t>
      </w:r>
      <w:r w:rsidR="00653054">
        <w:rPr>
          <w:color w:val="000000"/>
          <w:sz w:val="20"/>
          <w:lang w:val="es-CR"/>
        </w:rPr>
        <w:t xml:space="preserve"> </w:t>
      </w:r>
      <w:r w:rsidR="00653054">
        <w:rPr>
          <w:color w:val="000000"/>
          <w:sz w:val="20"/>
          <w:lang w:val="en-US"/>
        </w:rPr>
        <w:t>[Internet]</w:t>
      </w:r>
      <w:r>
        <w:rPr>
          <w:color w:val="000000"/>
          <w:sz w:val="20"/>
          <w:lang w:val="es-CR"/>
        </w:rPr>
        <w:t>. A</w:t>
      </w:r>
      <w:r w:rsidR="0097689A">
        <w:rPr>
          <w:color w:val="000000"/>
          <w:sz w:val="20"/>
          <w:lang w:val="es-CR"/>
        </w:rPr>
        <w:t>gosto</w:t>
      </w:r>
      <w:r w:rsidRPr="00EC0E85">
        <w:rPr>
          <w:color w:val="000000"/>
          <w:sz w:val="20"/>
          <w:lang w:val="es-CR"/>
        </w:rPr>
        <w:t xml:space="preserve"> 2014</w:t>
      </w:r>
      <w:r w:rsidR="008C5401">
        <w:rPr>
          <w:color w:val="000000"/>
          <w:sz w:val="20"/>
          <w:lang w:val="en-US"/>
        </w:rPr>
        <w:t xml:space="preserve"> (citado el 01 de noviembre 2023)</w:t>
      </w:r>
      <w:r w:rsidRPr="00EC0E85">
        <w:rPr>
          <w:color w:val="000000"/>
          <w:sz w:val="20"/>
          <w:lang w:val="es-CR"/>
        </w:rPr>
        <w:t>;90(3):150-157.</w:t>
      </w:r>
    </w:p>
    <w:p w14:paraId="46502854" w14:textId="0314D403" w:rsidR="00221512" w:rsidRPr="00EC0E85" w:rsidRDefault="00221512" w:rsidP="00221512">
      <w:pPr>
        <w:pBdr>
          <w:top w:val="nil"/>
          <w:left w:val="nil"/>
          <w:bottom w:val="nil"/>
          <w:right w:val="nil"/>
          <w:between w:val="nil"/>
        </w:pBdr>
        <w:tabs>
          <w:tab w:val="left" w:pos="993"/>
        </w:tabs>
        <w:ind w:left="284" w:hanging="284"/>
        <w:jc w:val="both"/>
        <w:rPr>
          <w:color w:val="000000"/>
          <w:sz w:val="20"/>
          <w:lang w:val="en-US"/>
        </w:rPr>
      </w:pPr>
      <w:r w:rsidRPr="00EC0E85">
        <w:rPr>
          <w:color w:val="000000"/>
          <w:sz w:val="20"/>
          <w:lang w:val="es-CR"/>
        </w:rPr>
        <w:t xml:space="preserve">10.Lázaro M, Ribera J. Síndrome confusional (delirium) en el anciano. </w:t>
      </w:r>
      <w:r w:rsidRPr="00EC0E85">
        <w:rPr>
          <w:color w:val="000000"/>
          <w:sz w:val="20"/>
          <w:lang w:val="en-US"/>
        </w:rPr>
        <w:t>Psicogeriatría</w:t>
      </w:r>
      <w:r w:rsidR="00653054">
        <w:rPr>
          <w:color w:val="000000"/>
          <w:sz w:val="20"/>
          <w:lang w:val="en-US"/>
        </w:rPr>
        <w:t xml:space="preserve"> </w:t>
      </w:r>
      <w:r w:rsidR="00653054">
        <w:rPr>
          <w:color w:val="000000"/>
          <w:sz w:val="20"/>
          <w:lang w:val="en-US"/>
        </w:rPr>
        <w:lastRenderedPageBreak/>
        <w:t>[Internet]</w:t>
      </w:r>
      <w:r w:rsidRPr="00EC0E85">
        <w:rPr>
          <w:color w:val="000000"/>
          <w:sz w:val="20"/>
          <w:lang w:val="en-US"/>
        </w:rPr>
        <w:t>. 2009</w:t>
      </w:r>
      <w:r w:rsidR="008C5401">
        <w:rPr>
          <w:color w:val="000000"/>
          <w:sz w:val="20"/>
          <w:lang w:val="en-US"/>
        </w:rPr>
        <w:t xml:space="preserve"> (citado el 01 de noviembre 2023)</w:t>
      </w:r>
      <w:r w:rsidRPr="00EC0E85">
        <w:rPr>
          <w:color w:val="000000"/>
          <w:sz w:val="20"/>
          <w:lang w:val="en-US"/>
        </w:rPr>
        <w:t>;1(4):209-221.</w:t>
      </w:r>
    </w:p>
    <w:p w14:paraId="0C27E8A0" w14:textId="51162312" w:rsidR="00221512" w:rsidRPr="00EC0E85" w:rsidRDefault="00221512" w:rsidP="00221512">
      <w:pPr>
        <w:pBdr>
          <w:top w:val="nil"/>
          <w:left w:val="nil"/>
          <w:bottom w:val="nil"/>
          <w:right w:val="nil"/>
          <w:between w:val="nil"/>
        </w:pBdr>
        <w:tabs>
          <w:tab w:val="left" w:pos="993"/>
        </w:tabs>
        <w:ind w:left="284" w:hanging="284"/>
        <w:jc w:val="both"/>
        <w:rPr>
          <w:color w:val="000000"/>
          <w:sz w:val="20"/>
          <w:lang w:val="es-CR"/>
        </w:rPr>
      </w:pPr>
      <w:r w:rsidRPr="00EC0E85">
        <w:rPr>
          <w:color w:val="000000"/>
          <w:sz w:val="20"/>
          <w:lang w:val="en-US"/>
        </w:rPr>
        <w:t>11.Francis J, Martin D, Kapoor WN. A prospective study of delirium in hospitaliz</w:t>
      </w:r>
      <w:r>
        <w:rPr>
          <w:color w:val="000000"/>
          <w:sz w:val="20"/>
          <w:lang w:val="en-US"/>
        </w:rPr>
        <w:t>e</w:t>
      </w:r>
      <w:r w:rsidRPr="00EC0E85">
        <w:rPr>
          <w:color w:val="000000"/>
          <w:sz w:val="20"/>
          <w:lang w:val="en-US"/>
        </w:rPr>
        <w:t xml:space="preserve">d elderly. </w:t>
      </w:r>
      <w:r w:rsidRPr="00EC0E85">
        <w:rPr>
          <w:color w:val="000000"/>
          <w:sz w:val="20"/>
          <w:lang w:val="es-CR"/>
        </w:rPr>
        <w:t>JAMA</w:t>
      </w:r>
      <w:r w:rsidR="00EE68D8">
        <w:rPr>
          <w:color w:val="000000"/>
          <w:sz w:val="20"/>
          <w:lang w:val="es-CR"/>
        </w:rPr>
        <w:t xml:space="preserve"> </w:t>
      </w:r>
      <w:r w:rsidR="00EE68D8">
        <w:rPr>
          <w:color w:val="000000"/>
          <w:sz w:val="20"/>
          <w:lang w:val="en-US"/>
        </w:rPr>
        <w:t>[Internet]</w:t>
      </w:r>
      <w:r w:rsidR="00EE68D8">
        <w:rPr>
          <w:color w:val="000000"/>
          <w:sz w:val="20"/>
          <w:lang w:val="en-US"/>
        </w:rPr>
        <w:t>.</w:t>
      </w:r>
      <w:r w:rsidRPr="00EC0E85">
        <w:rPr>
          <w:color w:val="000000"/>
          <w:sz w:val="20"/>
          <w:lang w:val="es-CR"/>
        </w:rPr>
        <w:t xml:space="preserve"> 1990</w:t>
      </w:r>
      <w:r w:rsidR="008C5401">
        <w:rPr>
          <w:color w:val="000000"/>
          <w:sz w:val="20"/>
          <w:lang w:val="en-US"/>
        </w:rPr>
        <w:t xml:space="preserve"> (citado el 01 de noviembre 2023)</w:t>
      </w:r>
      <w:r w:rsidRPr="00EC0E85">
        <w:rPr>
          <w:color w:val="000000"/>
          <w:sz w:val="20"/>
          <w:lang w:val="es-CR"/>
        </w:rPr>
        <w:t>;113:941-8.</w:t>
      </w:r>
    </w:p>
    <w:p w14:paraId="7213E7E3" w14:textId="7863DD77" w:rsidR="00221512" w:rsidRPr="00EC0E85" w:rsidRDefault="00221512" w:rsidP="00221512">
      <w:pPr>
        <w:pBdr>
          <w:top w:val="nil"/>
          <w:left w:val="nil"/>
          <w:bottom w:val="nil"/>
          <w:right w:val="nil"/>
          <w:between w:val="nil"/>
        </w:pBdr>
        <w:tabs>
          <w:tab w:val="left" w:pos="993"/>
        </w:tabs>
        <w:ind w:left="284" w:hanging="284"/>
        <w:jc w:val="both"/>
        <w:rPr>
          <w:color w:val="000000"/>
          <w:sz w:val="20"/>
          <w:lang w:val="es-CR"/>
        </w:rPr>
      </w:pPr>
      <w:r w:rsidRPr="00EC0E85">
        <w:rPr>
          <w:color w:val="000000"/>
          <w:sz w:val="20"/>
          <w:lang w:val="es-CR"/>
        </w:rPr>
        <w:t>12.Duaso E, Formiga F, Rodríguez D. Tratamiento farmacológico del delirium. Rev Esp Geriatr Gerontol</w:t>
      </w:r>
      <w:r>
        <w:rPr>
          <w:color w:val="000000"/>
          <w:sz w:val="20"/>
          <w:lang w:val="es-CR"/>
        </w:rPr>
        <w:t>. D</w:t>
      </w:r>
      <w:r w:rsidR="00551AF7">
        <w:rPr>
          <w:color w:val="000000"/>
          <w:sz w:val="20"/>
          <w:lang w:val="es-CR"/>
        </w:rPr>
        <w:t>iciembre</w:t>
      </w:r>
      <w:r w:rsidRPr="00EC0E85">
        <w:rPr>
          <w:color w:val="000000"/>
          <w:sz w:val="20"/>
          <w:lang w:val="es-CR"/>
        </w:rPr>
        <w:t xml:space="preserve"> 2008</w:t>
      </w:r>
      <w:r w:rsidR="008C5401" w:rsidRPr="008C5401">
        <w:rPr>
          <w:color w:val="000000"/>
          <w:sz w:val="20"/>
          <w:lang w:val="es-CR"/>
        </w:rPr>
        <w:t xml:space="preserve"> (citado el 01 de noviembre 2023)</w:t>
      </w:r>
      <w:r w:rsidRPr="00EC0E85">
        <w:rPr>
          <w:color w:val="000000"/>
          <w:sz w:val="20"/>
          <w:lang w:val="es-CR"/>
        </w:rPr>
        <w:t>;43(3):33-37</w:t>
      </w:r>
    </w:p>
    <w:p w14:paraId="00B3DE4A" w14:textId="5E8E71CE" w:rsidR="00221512" w:rsidRPr="00EC0E85" w:rsidRDefault="00221512" w:rsidP="00221512">
      <w:pPr>
        <w:pBdr>
          <w:top w:val="nil"/>
          <w:left w:val="nil"/>
          <w:bottom w:val="nil"/>
          <w:right w:val="nil"/>
          <w:between w:val="nil"/>
        </w:pBdr>
        <w:tabs>
          <w:tab w:val="left" w:pos="993"/>
        </w:tabs>
        <w:ind w:left="284" w:hanging="284"/>
        <w:jc w:val="both"/>
        <w:rPr>
          <w:color w:val="000000"/>
          <w:sz w:val="20"/>
          <w:lang w:val="en-US"/>
        </w:rPr>
      </w:pPr>
      <w:r w:rsidRPr="00EC0E85">
        <w:rPr>
          <w:color w:val="000000"/>
          <w:sz w:val="20"/>
          <w:lang w:val="es-CR"/>
        </w:rPr>
        <w:t xml:space="preserve">13.Bernal D, Castro C, Duque L, Ospina S, Bernal J. Delírium: incidencia y características clínicas y epidemiológicas en un hospital universitario. </w:t>
      </w:r>
      <w:r w:rsidRPr="00EC0E85">
        <w:rPr>
          <w:color w:val="000000"/>
          <w:sz w:val="20"/>
          <w:lang w:val="en-US"/>
        </w:rPr>
        <w:t>Rev Colomb Psiquiat. 2009</w:t>
      </w:r>
      <w:r w:rsidR="008C5401">
        <w:rPr>
          <w:color w:val="000000"/>
          <w:sz w:val="20"/>
          <w:lang w:val="en-US"/>
        </w:rPr>
        <w:t xml:space="preserve"> (citado el 01 de noviembre 2023)</w:t>
      </w:r>
      <w:r w:rsidRPr="00EC0E85">
        <w:rPr>
          <w:color w:val="000000"/>
          <w:sz w:val="20"/>
          <w:lang w:val="en-US"/>
        </w:rPr>
        <w:t>;38(3):472-487.</w:t>
      </w:r>
    </w:p>
    <w:p w14:paraId="0F6362E0" w14:textId="076E382A" w:rsidR="00221512" w:rsidRPr="00EC0E85" w:rsidRDefault="00221512" w:rsidP="00221512">
      <w:pPr>
        <w:pBdr>
          <w:top w:val="nil"/>
          <w:left w:val="nil"/>
          <w:bottom w:val="nil"/>
          <w:right w:val="nil"/>
          <w:between w:val="nil"/>
        </w:pBdr>
        <w:tabs>
          <w:tab w:val="left" w:pos="993"/>
        </w:tabs>
        <w:ind w:left="284" w:hanging="284"/>
        <w:jc w:val="both"/>
        <w:rPr>
          <w:color w:val="000000"/>
          <w:sz w:val="20"/>
          <w:lang w:val="en-US"/>
        </w:rPr>
      </w:pPr>
      <w:r w:rsidRPr="00EC0E85">
        <w:rPr>
          <w:color w:val="000000"/>
          <w:sz w:val="20"/>
          <w:lang w:val="en-US"/>
        </w:rPr>
        <w:t>14.Flaherty J</w:t>
      </w:r>
      <w:r>
        <w:rPr>
          <w:color w:val="000000"/>
          <w:sz w:val="20"/>
          <w:lang w:val="en-US"/>
        </w:rPr>
        <w:t>.</w:t>
      </w:r>
      <w:r w:rsidRPr="00EC0E85">
        <w:rPr>
          <w:color w:val="000000"/>
          <w:sz w:val="20"/>
          <w:lang w:val="en-US"/>
        </w:rPr>
        <w:t xml:space="preserve"> Delirium. Principles and Practice of Geriatric Medicine. Pathy J</w:t>
      </w:r>
      <w:r>
        <w:rPr>
          <w:color w:val="000000"/>
          <w:sz w:val="20"/>
          <w:lang w:val="en-US"/>
        </w:rPr>
        <w:t>,</w:t>
      </w:r>
      <w:r w:rsidRPr="00EC0E85">
        <w:rPr>
          <w:color w:val="000000"/>
          <w:sz w:val="20"/>
          <w:lang w:val="en-US"/>
        </w:rPr>
        <w:t xml:space="preserve"> Sinclair AJ, Morley</w:t>
      </w:r>
      <w:r>
        <w:rPr>
          <w:color w:val="000000"/>
          <w:sz w:val="20"/>
          <w:lang w:val="en-US"/>
        </w:rPr>
        <w:t xml:space="preserve"> </w:t>
      </w:r>
      <w:r w:rsidRPr="00EC0E85">
        <w:rPr>
          <w:color w:val="000000"/>
          <w:sz w:val="20"/>
          <w:lang w:val="en-US"/>
        </w:rPr>
        <w:t>JE.</w:t>
      </w:r>
      <w:r>
        <w:rPr>
          <w:color w:val="000000"/>
          <w:sz w:val="20"/>
          <w:lang w:val="en-US"/>
        </w:rPr>
        <w:t xml:space="preserve"> </w:t>
      </w:r>
      <w:r w:rsidRPr="00EC0E85">
        <w:rPr>
          <w:color w:val="000000"/>
          <w:sz w:val="20"/>
          <w:lang w:val="en-US"/>
        </w:rPr>
        <w:t>(eds.) Wiley, West Sussex, England. 4</w:t>
      </w:r>
      <w:r w:rsidRPr="00EC0E85">
        <w:rPr>
          <w:color w:val="000000"/>
          <w:sz w:val="20"/>
          <w:vertAlign w:val="superscript"/>
          <w:lang w:val="en-US"/>
        </w:rPr>
        <w:t>th</w:t>
      </w:r>
      <w:r w:rsidRPr="00EC0E85">
        <w:rPr>
          <w:color w:val="000000"/>
          <w:sz w:val="20"/>
          <w:lang w:val="en-US"/>
        </w:rPr>
        <w:t xml:space="preserve"> Edition</w:t>
      </w:r>
      <w:r w:rsidR="001D0705">
        <w:rPr>
          <w:color w:val="000000"/>
          <w:sz w:val="20"/>
          <w:lang w:val="en-US"/>
        </w:rPr>
        <w:t>.</w:t>
      </w:r>
      <w:r w:rsidRPr="00EC0E85">
        <w:rPr>
          <w:color w:val="000000"/>
          <w:sz w:val="20"/>
          <w:lang w:val="en-US"/>
        </w:rPr>
        <w:t xml:space="preserve"> 2006</w:t>
      </w:r>
      <w:r w:rsidR="008C5401">
        <w:rPr>
          <w:color w:val="000000"/>
          <w:sz w:val="20"/>
          <w:lang w:val="en-US"/>
        </w:rPr>
        <w:t xml:space="preserve"> (citado el 01 de noviembre 2023)</w:t>
      </w:r>
      <w:r w:rsidRPr="00EC0E85">
        <w:rPr>
          <w:color w:val="000000"/>
          <w:sz w:val="20"/>
          <w:lang w:val="en-US"/>
        </w:rPr>
        <w:t>, pp</w:t>
      </w:r>
      <w:r>
        <w:rPr>
          <w:color w:val="000000"/>
          <w:sz w:val="20"/>
          <w:lang w:val="en-US"/>
        </w:rPr>
        <w:t>.</w:t>
      </w:r>
      <w:r w:rsidRPr="00EC0E85">
        <w:rPr>
          <w:color w:val="000000"/>
          <w:sz w:val="20"/>
          <w:lang w:val="en-US"/>
        </w:rPr>
        <w:t xml:space="preserve"> 1047-1057.</w:t>
      </w:r>
    </w:p>
    <w:p w14:paraId="72D4E25F" w14:textId="6686655B" w:rsidR="00221512" w:rsidRPr="00EC0E85" w:rsidRDefault="00221512" w:rsidP="00221512">
      <w:pPr>
        <w:pBdr>
          <w:top w:val="nil"/>
          <w:left w:val="nil"/>
          <w:bottom w:val="nil"/>
          <w:right w:val="nil"/>
          <w:between w:val="nil"/>
        </w:pBdr>
        <w:tabs>
          <w:tab w:val="left" w:pos="993"/>
        </w:tabs>
        <w:ind w:left="284" w:hanging="284"/>
        <w:jc w:val="both"/>
        <w:rPr>
          <w:color w:val="000000"/>
          <w:sz w:val="20"/>
          <w:lang w:val="es-CR"/>
        </w:rPr>
      </w:pPr>
      <w:r w:rsidRPr="00EC0E85">
        <w:rPr>
          <w:color w:val="000000"/>
          <w:sz w:val="20"/>
          <w:lang w:val="en-US"/>
        </w:rPr>
        <w:t xml:space="preserve">15.Rahkonen T, Eloniemi-Sulkava U, Paanila S, Halonen P, Sivenius J, Sul-kava R. Systematic intervention for supporting community care of elderly people after a delirium episode. </w:t>
      </w:r>
      <w:r w:rsidRPr="00EC0E85">
        <w:rPr>
          <w:color w:val="000000"/>
          <w:sz w:val="20"/>
          <w:lang w:val="es-CR"/>
        </w:rPr>
        <w:t>Int Psychogeriatr. 2001</w:t>
      </w:r>
      <w:r w:rsidR="008C5401">
        <w:rPr>
          <w:color w:val="000000"/>
          <w:sz w:val="20"/>
          <w:lang w:val="en-US"/>
        </w:rPr>
        <w:t xml:space="preserve"> (citado el 01 de noviembre 2023)</w:t>
      </w:r>
      <w:r w:rsidRPr="00EC0E85">
        <w:rPr>
          <w:color w:val="000000"/>
          <w:sz w:val="20"/>
          <w:lang w:val="es-CR"/>
        </w:rPr>
        <w:t>;13:37-49.</w:t>
      </w:r>
    </w:p>
    <w:p w14:paraId="27C35D0B" w14:textId="6B5E9D8C" w:rsidR="00D94F08" w:rsidRPr="00221512" w:rsidRDefault="00221512" w:rsidP="00221512">
      <w:pPr>
        <w:pBdr>
          <w:top w:val="nil"/>
          <w:left w:val="nil"/>
          <w:bottom w:val="nil"/>
          <w:right w:val="nil"/>
          <w:between w:val="nil"/>
        </w:pBdr>
        <w:tabs>
          <w:tab w:val="left" w:pos="993"/>
        </w:tabs>
        <w:ind w:left="284" w:hanging="284"/>
        <w:jc w:val="both"/>
        <w:rPr>
          <w:color w:val="000000"/>
          <w:sz w:val="20"/>
          <w:lang w:val="es-CR"/>
        </w:rPr>
      </w:pPr>
      <w:r w:rsidRPr="00EC0E85">
        <w:rPr>
          <w:color w:val="000000"/>
          <w:sz w:val="20"/>
          <w:lang w:val="es-CR"/>
        </w:rPr>
        <w:t>16.V</w:t>
      </w:r>
      <w:r>
        <w:rPr>
          <w:color w:val="000000"/>
          <w:sz w:val="20"/>
          <w:lang w:val="es-CR"/>
        </w:rPr>
        <w:t>á</w:t>
      </w:r>
      <w:r w:rsidRPr="00EC0E85">
        <w:rPr>
          <w:color w:val="000000"/>
          <w:sz w:val="20"/>
          <w:lang w:val="es-CR"/>
        </w:rPr>
        <w:t>zquez FJ, Benchimol J, Giunta D, Cafferata C, Freixas A, Vallone M</w:t>
      </w:r>
      <w:r>
        <w:rPr>
          <w:color w:val="000000"/>
          <w:sz w:val="20"/>
          <w:lang w:val="es-CR"/>
        </w:rPr>
        <w:t>,</w:t>
      </w:r>
      <w:r w:rsidRPr="00EC0E85">
        <w:rPr>
          <w:color w:val="000000"/>
          <w:sz w:val="20"/>
          <w:lang w:val="es-CR"/>
        </w:rPr>
        <w:t xml:space="preserve"> et al. Delirium en Ancianos Hospitalizados</w:t>
      </w:r>
      <w:r>
        <w:rPr>
          <w:color w:val="000000"/>
          <w:sz w:val="20"/>
          <w:lang w:val="es-CR"/>
        </w:rPr>
        <w:t>,</w:t>
      </w:r>
      <w:r w:rsidRPr="00EC0E85">
        <w:rPr>
          <w:color w:val="000000"/>
          <w:sz w:val="20"/>
          <w:lang w:val="es-CR"/>
        </w:rPr>
        <w:t xml:space="preserve"> Seguimiento de 18 Meses. Medicina</w:t>
      </w:r>
      <w:r>
        <w:rPr>
          <w:color w:val="000000"/>
          <w:sz w:val="20"/>
          <w:lang w:val="es-CR"/>
        </w:rPr>
        <w:t>.</w:t>
      </w:r>
      <w:r w:rsidRPr="00EC0E85">
        <w:rPr>
          <w:color w:val="000000"/>
          <w:sz w:val="20"/>
          <w:lang w:val="es-CR"/>
        </w:rPr>
        <w:t xml:space="preserve"> 2010</w:t>
      </w:r>
      <w:r w:rsidR="008C5401" w:rsidRPr="00217D92">
        <w:rPr>
          <w:color w:val="000000"/>
          <w:sz w:val="20"/>
          <w:lang w:val="es-CR"/>
        </w:rPr>
        <w:t xml:space="preserve"> (citado el 01 de noviembre 2023)</w:t>
      </w:r>
      <w:r w:rsidRPr="00EC0E85">
        <w:rPr>
          <w:color w:val="000000"/>
          <w:sz w:val="20"/>
          <w:lang w:val="es-CR"/>
        </w:rPr>
        <w:t>;70(1):8-14</w:t>
      </w:r>
      <w:r>
        <w:rPr>
          <w:color w:val="000000"/>
          <w:sz w:val="20"/>
          <w:lang w:val="es-CR"/>
        </w:rPr>
        <w:t>.</w:t>
      </w:r>
    </w:p>
    <w:sectPr w:rsidR="00D94F08" w:rsidRPr="00221512" w:rsidSect="00221512">
      <w:type w:val="continuous"/>
      <w:pgSz w:w="12240" w:h="15840"/>
      <w:pgMar w:top="1440" w:right="1467" w:bottom="1440" w:left="1440" w:header="720" w:footer="720" w:gutter="0"/>
      <w:pgNumType w:start="1"/>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BDF33C" w14:textId="77777777" w:rsidR="005669C3" w:rsidRDefault="005669C3" w:rsidP="00FB44B1">
      <w:pPr>
        <w:spacing w:line="240" w:lineRule="auto"/>
      </w:pPr>
      <w:r>
        <w:separator/>
      </w:r>
    </w:p>
  </w:endnote>
  <w:endnote w:type="continuationSeparator" w:id="0">
    <w:p w14:paraId="7D406E91" w14:textId="77777777" w:rsidR="005669C3" w:rsidRDefault="005669C3" w:rsidP="00FB44B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Liberation Serif">
    <w:altName w:val="Times New Roman"/>
    <w:charset w:val="01"/>
    <w:family w:val="roman"/>
    <w:pitch w:val="variable"/>
  </w:font>
  <w:font w:name="Segoe UI">
    <w:panose1 w:val="020B0502040204020203"/>
    <w:charset w:val="00"/>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Helvetica Neue">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imesNewRomanPS-BoldMT">
    <w:altName w:val="Times New Roman"/>
    <w:charset w:val="01"/>
    <w:family w:val="auto"/>
    <w:pitch w:val="default"/>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top w:w="72" w:type="dxa"/>
        <w:left w:w="115" w:type="dxa"/>
        <w:bottom w:w="72" w:type="dxa"/>
        <w:right w:w="115" w:type="dxa"/>
      </w:tblCellMar>
      <w:tblLook w:val="04A0" w:firstRow="1" w:lastRow="0" w:firstColumn="1" w:lastColumn="0" w:noHBand="0" w:noVBand="1"/>
    </w:tblPr>
    <w:tblGrid>
      <w:gridCol w:w="1307"/>
      <w:gridCol w:w="6828"/>
      <w:gridCol w:w="1198"/>
    </w:tblGrid>
    <w:tr w:rsidR="005669C3" w:rsidRPr="000A2BE8" w14:paraId="0DC6D396" w14:textId="77777777" w:rsidTr="009E4A48">
      <w:tc>
        <w:tcPr>
          <w:tcW w:w="700" w:type="pct"/>
          <w:shd w:val="clear" w:color="auto" w:fill="FFFFFF" w:themeFill="background1"/>
          <w:vAlign w:val="center"/>
        </w:tcPr>
        <w:p w14:paraId="31992B3B" w14:textId="31CFBD5D" w:rsidR="005669C3" w:rsidRPr="003270F2" w:rsidRDefault="00B71FE4" w:rsidP="00FB2E51">
          <w:pPr>
            <w:pStyle w:val="Piedepgina"/>
            <w:rPr>
              <w:rFonts w:ascii="Arial Black" w:hAnsi="Arial Black"/>
              <w:b/>
              <w:bCs/>
              <w:color w:val="002060"/>
            </w:rPr>
          </w:pPr>
          <w:r>
            <w:rPr>
              <w:rFonts w:ascii="Arial Black" w:hAnsi="Arial Black"/>
              <w:b/>
              <w:bCs/>
              <w:color w:val="002060"/>
            </w:rPr>
            <w:t>e1130</w:t>
          </w:r>
        </w:p>
      </w:tc>
      <w:tc>
        <w:tcPr>
          <w:tcW w:w="3658" w:type="pct"/>
          <w:vAlign w:val="center"/>
        </w:tcPr>
        <w:p w14:paraId="5C1C3B11" w14:textId="756DF533" w:rsidR="005669C3" w:rsidRPr="005860BC" w:rsidRDefault="005669C3" w:rsidP="00A83266">
          <w:pPr>
            <w:pStyle w:val="Piedepgina"/>
            <w:spacing w:line="276" w:lineRule="auto"/>
            <w:jc w:val="center"/>
            <w:rPr>
              <w:color w:val="002060"/>
              <w:sz w:val="16"/>
              <w:szCs w:val="16"/>
              <w:lang w:val="es-CR"/>
            </w:rPr>
          </w:pPr>
          <w:r w:rsidRPr="005860BC">
            <w:rPr>
              <w:color w:val="002060"/>
              <w:sz w:val="16"/>
              <w:szCs w:val="16"/>
              <w:lang w:val="es-CR"/>
            </w:rPr>
            <w:t xml:space="preserve">     </w:t>
          </w:r>
          <w:r w:rsidRPr="005860BC">
            <w:rPr>
              <w:noProof/>
              <w:color w:val="002060"/>
              <w:sz w:val="16"/>
              <w:szCs w:val="16"/>
              <w:lang w:val="es-CR" w:eastAsia="es-PE"/>
            </w:rPr>
            <w:t xml:space="preserve"> </w:t>
          </w:r>
          <w:r w:rsidR="00806F56">
            <w:rPr>
              <w:color w:val="002060"/>
              <w:sz w:val="16"/>
              <w:szCs w:val="16"/>
              <w:lang w:val="es-CR"/>
            </w:rPr>
            <w:t xml:space="preserve"> Vol. 9</w:t>
          </w:r>
          <w:r w:rsidRPr="005860BC">
            <w:rPr>
              <w:color w:val="002060"/>
              <w:sz w:val="16"/>
              <w:szCs w:val="16"/>
              <w:lang w:val="es-CR"/>
            </w:rPr>
            <w:t>(</w:t>
          </w:r>
          <w:r w:rsidR="00806F56">
            <w:rPr>
              <w:color w:val="002060"/>
              <w:sz w:val="16"/>
              <w:szCs w:val="16"/>
              <w:lang w:val="es-CR"/>
            </w:rPr>
            <w:t>1</w:t>
          </w:r>
          <w:r w:rsidRPr="005860BC">
            <w:rPr>
              <w:color w:val="002060"/>
              <w:sz w:val="16"/>
              <w:szCs w:val="16"/>
              <w:lang w:val="es-CR"/>
            </w:rPr>
            <w:t xml:space="preserve">), </w:t>
          </w:r>
          <w:r w:rsidR="00806F56">
            <w:rPr>
              <w:color w:val="002060"/>
              <w:sz w:val="16"/>
              <w:szCs w:val="16"/>
              <w:lang w:val="es-CR"/>
            </w:rPr>
            <w:t>enero</w:t>
          </w:r>
          <w:r w:rsidRPr="005860BC">
            <w:rPr>
              <w:color w:val="002060"/>
              <w:sz w:val="16"/>
              <w:szCs w:val="16"/>
              <w:lang w:val="es-CR"/>
            </w:rPr>
            <w:t xml:space="preserve"> 202</w:t>
          </w:r>
          <w:r w:rsidR="00806F56">
            <w:rPr>
              <w:color w:val="002060"/>
              <w:sz w:val="16"/>
              <w:szCs w:val="16"/>
              <w:lang w:val="es-CR"/>
            </w:rPr>
            <w:t>4</w:t>
          </w:r>
          <w:r w:rsidRPr="005860BC">
            <w:rPr>
              <w:color w:val="002060"/>
              <w:sz w:val="16"/>
              <w:szCs w:val="16"/>
              <w:lang w:val="es-CR"/>
            </w:rPr>
            <w:t xml:space="preserve"> - ISSN: 2215-4523 / e-ISSN: 2215-5279</w:t>
          </w:r>
        </w:p>
        <w:p w14:paraId="4212E3B3" w14:textId="77777777" w:rsidR="005669C3" w:rsidRPr="00AE5EA0" w:rsidRDefault="00A4220A" w:rsidP="00A83266">
          <w:pPr>
            <w:pStyle w:val="Piedepgina"/>
            <w:spacing w:line="276" w:lineRule="auto"/>
            <w:jc w:val="center"/>
            <w:rPr>
              <w:sz w:val="16"/>
              <w:szCs w:val="16"/>
              <w:lang w:val="es-CR"/>
            </w:rPr>
          </w:pPr>
          <w:hyperlink r:id="rId1" w:history="1">
            <w:r w:rsidR="005669C3" w:rsidRPr="00AE5EA0">
              <w:rPr>
                <w:rStyle w:val="Hipervnculo"/>
                <w:i/>
                <w:sz w:val="16"/>
                <w:szCs w:val="16"/>
                <w:lang w:val="es-CR"/>
              </w:rPr>
              <w:t>http://revistamedicasinergia.com</w:t>
            </w:r>
          </w:hyperlink>
          <w:r w:rsidR="005669C3" w:rsidRPr="00AE5EA0">
            <w:rPr>
              <w:color w:val="002060"/>
              <w:sz w:val="16"/>
              <w:szCs w:val="16"/>
              <w:lang w:val="es-CR"/>
            </w:rPr>
            <w:t xml:space="preserve"> </w:t>
          </w:r>
        </w:p>
      </w:tc>
      <w:tc>
        <w:tcPr>
          <w:tcW w:w="642" w:type="pct"/>
        </w:tcPr>
        <w:p w14:paraId="69B632C6" w14:textId="77777777" w:rsidR="005669C3" w:rsidRPr="00AE5EA0" w:rsidRDefault="005669C3" w:rsidP="00A83266">
          <w:pPr>
            <w:pStyle w:val="Piedepgina"/>
            <w:spacing w:line="276" w:lineRule="auto"/>
            <w:rPr>
              <w:color w:val="002060"/>
              <w:sz w:val="16"/>
              <w:szCs w:val="16"/>
              <w:lang w:val="es-CR"/>
            </w:rPr>
          </w:pPr>
          <w:r w:rsidRPr="00261200">
            <w:rPr>
              <w:noProof/>
              <w:sz w:val="20"/>
              <w:lang w:val="es-CR" w:eastAsia="es-CR"/>
            </w:rPr>
            <w:drawing>
              <wp:anchor distT="0" distB="0" distL="114300" distR="114300" simplePos="0" relativeHeight="251661312" behindDoc="0" locked="0" layoutInCell="1" allowOverlap="1" wp14:anchorId="1FAFEC6C" wp14:editId="3B0DB74A">
                <wp:simplePos x="0" y="0"/>
                <wp:positionH relativeFrom="margin">
                  <wp:posOffset>-25400</wp:posOffset>
                </wp:positionH>
                <wp:positionV relativeFrom="paragraph">
                  <wp:posOffset>22225</wp:posOffset>
                </wp:positionV>
                <wp:extent cx="677545" cy="238125"/>
                <wp:effectExtent l="0" t="0" r="8255" b="9525"/>
                <wp:wrapNone/>
                <wp:docPr id="6" name="Imagen 2" descr="Licencia 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icencia Creative Common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77545" cy="23812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5E9EFB7F" w14:textId="77777777" w:rsidR="005669C3" w:rsidRPr="00D0398E" w:rsidRDefault="005669C3" w:rsidP="00D0398E">
    <w:pPr>
      <w:pStyle w:val="Piedepgina"/>
      <w:jc w:val="both"/>
      <w:rPr>
        <w:sz w:val="2"/>
        <w:lang w:val="es-C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25" w:type="pct"/>
      <w:tblCellMar>
        <w:top w:w="72" w:type="dxa"/>
        <w:left w:w="115" w:type="dxa"/>
        <w:bottom w:w="72" w:type="dxa"/>
        <w:right w:w="115" w:type="dxa"/>
      </w:tblCellMar>
      <w:tblLook w:val="04A0" w:firstRow="1" w:lastRow="0" w:firstColumn="1" w:lastColumn="0" w:noHBand="0" w:noVBand="1"/>
    </w:tblPr>
    <w:tblGrid>
      <w:gridCol w:w="1314"/>
      <w:gridCol w:w="6862"/>
      <w:gridCol w:w="1204"/>
    </w:tblGrid>
    <w:tr w:rsidR="005669C3" w:rsidRPr="007B5563" w14:paraId="613288F4" w14:textId="77777777" w:rsidTr="00EA46DB">
      <w:trPr>
        <w:trHeight w:val="122"/>
      </w:trPr>
      <w:tc>
        <w:tcPr>
          <w:tcW w:w="700" w:type="pct"/>
          <w:shd w:val="clear" w:color="auto" w:fill="FFFFFF" w:themeFill="background1"/>
          <w:vAlign w:val="center"/>
        </w:tcPr>
        <w:p w14:paraId="75E166F2" w14:textId="6A6B80B3" w:rsidR="005669C3" w:rsidRPr="003270F2" w:rsidRDefault="00B71FE4" w:rsidP="00FB2E51">
          <w:pPr>
            <w:pStyle w:val="Piedepgina"/>
            <w:rPr>
              <w:rFonts w:ascii="Arial Black" w:hAnsi="Arial Black"/>
              <w:b/>
              <w:bCs/>
              <w:color w:val="002060"/>
            </w:rPr>
          </w:pPr>
          <w:r>
            <w:rPr>
              <w:rFonts w:ascii="Arial Black" w:hAnsi="Arial Black"/>
              <w:b/>
              <w:bCs/>
              <w:color w:val="002060"/>
            </w:rPr>
            <w:t>e1130</w:t>
          </w:r>
        </w:p>
      </w:tc>
      <w:tc>
        <w:tcPr>
          <w:tcW w:w="3658" w:type="pct"/>
          <w:vAlign w:val="center"/>
        </w:tcPr>
        <w:p w14:paraId="633751BD" w14:textId="6FAB5E46" w:rsidR="005669C3" w:rsidRPr="005860BC" w:rsidRDefault="005669C3" w:rsidP="00EA46DB">
          <w:pPr>
            <w:pStyle w:val="Piedepgina"/>
            <w:spacing w:line="276" w:lineRule="auto"/>
            <w:jc w:val="center"/>
            <w:rPr>
              <w:color w:val="002060"/>
              <w:sz w:val="16"/>
              <w:szCs w:val="16"/>
              <w:lang w:val="es-CR"/>
            </w:rPr>
          </w:pPr>
          <w:r w:rsidRPr="005860BC">
            <w:rPr>
              <w:color w:val="002060"/>
              <w:sz w:val="16"/>
              <w:szCs w:val="16"/>
              <w:lang w:val="es-CR"/>
            </w:rPr>
            <w:t xml:space="preserve">     </w:t>
          </w:r>
          <w:r w:rsidRPr="005860BC">
            <w:rPr>
              <w:noProof/>
              <w:color w:val="002060"/>
              <w:sz w:val="16"/>
              <w:szCs w:val="16"/>
              <w:lang w:val="es-CR" w:eastAsia="es-PE"/>
            </w:rPr>
            <w:t xml:space="preserve"> </w:t>
          </w:r>
          <w:r w:rsidRPr="005860BC">
            <w:rPr>
              <w:color w:val="002060"/>
              <w:sz w:val="16"/>
              <w:szCs w:val="16"/>
              <w:lang w:val="es-CR"/>
            </w:rPr>
            <w:t xml:space="preserve"> Vol. </w:t>
          </w:r>
          <w:r w:rsidR="00806F56">
            <w:rPr>
              <w:color w:val="002060"/>
              <w:sz w:val="16"/>
              <w:szCs w:val="16"/>
              <w:lang w:val="es-CR"/>
            </w:rPr>
            <w:t>9</w:t>
          </w:r>
          <w:r w:rsidRPr="005860BC">
            <w:rPr>
              <w:color w:val="002060"/>
              <w:sz w:val="16"/>
              <w:szCs w:val="16"/>
              <w:lang w:val="es-CR"/>
            </w:rPr>
            <w:t>(</w:t>
          </w:r>
          <w:r w:rsidR="00806F56">
            <w:rPr>
              <w:color w:val="002060"/>
              <w:sz w:val="16"/>
              <w:szCs w:val="16"/>
              <w:lang w:val="es-CR"/>
            </w:rPr>
            <w:t>1</w:t>
          </w:r>
          <w:r w:rsidRPr="005860BC">
            <w:rPr>
              <w:color w:val="002060"/>
              <w:sz w:val="16"/>
              <w:szCs w:val="16"/>
              <w:lang w:val="es-CR"/>
            </w:rPr>
            <w:t xml:space="preserve">), </w:t>
          </w:r>
          <w:r w:rsidR="00806F56">
            <w:rPr>
              <w:color w:val="002060"/>
              <w:sz w:val="16"/>
              <w:szCs w:val="16"/>
              <w:lang w:val="es-CR"/>
            </w:rPr>
            <w:t>enero</w:t>
          </w:r>
          <w:r>
            <w:rPr>
              <w:color w:val="002060"/>
              <w:sz w:val="16"/>
              <w:szCs w:val="16"/>
              <w:lang w:val="es-CR"/>
            </w:rPr>
            <w:t xml:space="preserve"> 202</w:t>
          </w:r>
          <w:r w:rsidR="00806F56">
            <w:rPr>
              <w:color w:val="002060"/>
              <w:sz w:val="16"/>
              <w:szCs w:val="16"/>
              <w:lang w:val="es-CR"/>
            </w:rPr>
            <w:t>4</w:t>
          </w:r>
          <w:r w:rsidRPr="005860BC">
            <w:rPr>
              <w:color w:val="002060"/>
              <w:sz w:val="16"/>
              <w:szCs w:val="16"/>
              <w:lang w:val="es-CR"/>
            </w:rPr>
            <w:t xml:space="preserve"> - ISSN: 2215-4523 / e-ISSN: 2215-5279</w:t>
          </w:r>
        </w:p>
        <w:p w14:paraId="5C47BB5E" w14:textId="77777777" w:rsidR="005669C3" w:rsidRPr="00AE5EA0" w:rsidRDefault="00A4220A" w:rsidP="00EA46DB">
          <w:pPr>
            <w:pStyle w:val="Piedepgina"/>
            <w:spacing w:line="276" w:lineRule="auto"/>
            <w:jc w:val="center"/>
            <w:rPr>
              <w:sz w:val="16"/>
              <w:szCs w:val="16"/>
              <w:lang w:val="es-CR"/>
            </w:rPr>
          </w:pPr>
          <w:hyperlink r:id="rId1" w:history="1">
            <w:r w:rsidR="005669C3" w:rsidRPr="00AE5EA0">
              <w:rPr>
                <w:rStyle w:val="Hipervnculo"/>
                <w:i/>
                <w:sz w:val="16"/>
                <w:szCs w:val="16"/>
                <w:lang w:val="es-CR"/>
              </w:rPr>
              <w:t>http://revistamedicasinergia.com</w:t>
            </w:r>
          </w:hyperlink>
          <w:r w:rsidR="005669C3" w:rsidRPr="00AE5EA0">
            <w:rPr>
              <w:color w:val="002060"/>
              <w:sz w:val="16"/>
              <w:szCs w:val="16"/>
              <w:lang w:val="es-CR"/>
            </w:rPr>
            <w:t xml:space="preserve"> </w:t>
          </w:r>
        </w:p>
      </w:tc>
      <w:tc>
        <w:tcPr>
          <w:tcW w:w="642" w:type="pct"/>
        </w:tcPr>
        <w:p w14:paraId="46EBDAB7" w14:textId="77777777" w:rsidR="005669C3" w:rsidRPr="00AE5EA0" w:rsidRDefault="005669C3" w:rsidP="00EA46DB">
          <w:pPr>
            <w:pStyle w:val="Piedepgina"/>
            <w:spacing w:line="276" w:lineRule="auto"/>
            <w:rPr>
              <w:color w:val="002060"/>
              <w:sz w:val="16"/>
              <w:szCs w:val="16"/>
              <w:lang w:val="es-CR"/>
            </w:rPr>
          </w:pPr>
          <w:r w:rsidRPr="00261200">
            <w:rPr>
              <w:noProof/>
              <w:sz w:val="20"/>
              <w:lang w:val="es-CR" w:eastAsia="es-CR"/>
            </w:rPr>
            <w:drawing>
              <wp:anchor distT="0" distB="0" distL="114300" distR="114300" simplePos="0" relativeHeight="251663360" behindDoc="0" locked="0" layoutInCell="1" allowOverlap="1" wp14:anchorId="6ABCD6C0" wp14:editId="698762FB">
                <wp:simplePos x="0" y="0"/>
                <wp:positionH relativeFrom="margin">
                  <wp:posOffset>-25400</wp:posOffset>
                </wp:positionH>
                <wp:positionV relativeFrom="paragraph">
                  <wp:posOffset>22225</wp:posOffset>
                </wp:positionV>
                <wp:extent cx="677545" cy="238125"/>
                <wp:effectExtent l="0" t="0" r="8255" b="9525"/>
                <wp:wrapNone/>
                <wp:docPr id="7" name="Imagen 7" descr="Licencia 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icencia Creative Common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77545" cy="23812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2D082400" w14:textId="77777777" w:rsidR="005669C3" w:rsidRPr="00EA46DB" w:rsidRDefault="005669C3">
    <w:pPr>
      <w:pStyle w:val="Piedepgina"/>
      <w:rPr>
        <w:sz w:val="2"/>
        <w:lang w:val="es-C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26A01F" w14:textId="77777777" w:rsidR="005669C3" w:rsidRDefault="005669C3" w:rsidP="00FB44B1">
      <w:pPr>
        <w:spacing w:line="240" w:lineRule="auto"/>
      </w:pPr>
      <w:r>
        <w:separator/>
      </w:r>
    </w:p>
  </w:footnote>
  <w:footnote w:type="continuationSeparator" w:id="0">
    <w:p w14:paraId="72136FA8" w14:textId="77777777" w:rsidR="005669C3" w:rsidRDefault="005669C3" w:rsidP="00FB44B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634E9" w14:textId="77777777" w:rsidR="00221512" w:rsidRDefault="00221512" w:rsidP="000A7FFE">
    <w:pPr>
      <w:pStyle w:val="Encabezado"/>
      <w:jc w:val="right"/>
      <w:rPr>
        <w:color w:val="002060"/>
        <w:sz w:val="15"/>
        <w:szCs w:val="15"/>
        <w:lang w:val="es-CR"/>
      </w:rPr>
    </w:pPr>
    <w:r w:rsidRPr="00221512">
      <w:rPr>
        <w:color w:val="002060"/>
        <w:sz w:val="15"/>
        <w:szCs w:val="15"/>
        <w:lang w:val="es-CR"/>
      </w:rPr>
      <w:t>El impacto emergente del delirium tremens en la salud de los adultos mayores</w:t>
    </w:r>
  </w:p>
  <w:p w14:paraId="3736CAFC" w14:textId="7CCC6212" w:rsidR="005669C3" w:rsidRPr="008206FF" w:rsidRDefault="00B71FE4" w:rsidP="000A7FFE">
    <w:pPr>
      <w:pStyle w:val="Encabezado"/>
      <w:jc w:val="right"/>
      <w:rPr>
        <w:sz w:val="18"/>
        <w:szCs w:val="18"/>
        <w:lang w:val="es-CR"/>
      </w:rPr>
    </w:pPr>
    <w:r>
      <w:rPr>
        <w:bCs/>
        <w:color w:val="002060"/>
        <w:sz w:val="15"/>
        <w:szCs w:val="15"/>
        <w:lang w:val="es-CR"/>
      </w:rPr>
      <w:t xml:space="preserve">Dra. </w:t>
    </w:r>
    <w:r w:rsidR="00221512">
      <w:rPr>
        <w:bCs/>
        <w:color w:val="002060"/>
        <w:sz w:val="15"/>
        <w:szCs w:val="15"/>
        <w:lang w:val="es-CR"/>
      </w:rPr>
      <w:t xml:space="preserve">Joseline Cisneros Orozco, </w:t>
    </w:r>
    <w:r>
      <w:rPr>
        <w:bCs/>
        <w:color w:val="002060"/>
        <w:sz w:val="15"/>
        <w:szCs w:val="15"/>
        <w:lang w:val="es-CR"/>
      </w:rPr>
      <w:t xml:space="preserve">Dr. </w:t>
    </w:r>
    <w:r w:rsidR="00221512">
      <w:rPr>
        <w:bCs/>
        <w:color w:val="002060"/>
        <w:sz w:val="15"/>
        <w:szCs w:val="15"/>
        <w:lang w:val="es-CR"/>
      </w:rPr>
      <w:t xml:space="preserve">José Ricardo De La O Díaz, </w:t>
    </w:r>
    <w:r>
      <w:rPr>
        <w:bCs/>
        <w:color w:val="002060"/>
        <w:sz w:val="15"/>
        <w:szCs w:val="15"/>
        <w:lang w:val="es-CR"/>
      </w:rPr>
      <w:t xml:space="preserve">Dr. </w:t>
    </w:r>
    <w:r w:rsidR="00221512">
      <w:rPr>
        <w:bCs/>
        <w:color w:val="002060"/>
        <w:sz w:val="15"/>
        <w:szCs w:val="15"/>
        <w:lang w:val="es-CR"/>
      </w:rPr>
      <w:t>Anthony Geovanny Mata Brenes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7pt;height:9.7pt;visibility:visible" o:bullet="t">
        <v:imagedata r:id="rId1" o:title=""/>
      </v:shape>
    </w:pict>
  </w:numPicBullet>
  <w:abstractNum w:abstractNumId="0" w15:restartNumberingAfterBreak="0">
    <w:nsid w:val="05BA6F26"/>
    <w:multiLevelType w:val="multilevel"/>
    <w:tmpl w:val="96DE604C"/>
    <w:styleLink w:val="WWNum3"/>
    <w:lvl w:ilvl="0">
      <w:numFmt w:val="bullet"/>
      <w:lvlText w:val="●"/>
      <w:lvlJc w:val="left"/>
      <w:pPr>
        <w:ind w:left="360" w:hanging="360"/>
      </w:pPr>
      <w:rPr>
        <w:rFonts w:ascii="Noto Sans Symbols" w:eastAsia="Noto Sans Symbols" w:hAnsi="Noto Sans Symbols" w:cs="Noto Sans Symbols"/>
        <w:b w:val="0"/>
        <w:sz w:val="22"/>
      </w:rPr>
    </w:lvl>
    <w:lvl w:ilvl="1">
      <w:numFmt w:val="bullet"/>
      <w:lvlText w:val="o"/>
      <w:lvlJc w:val="left"/>
      <w:pPr>
        <w:ind w:left="1080" w:hanging="360"/>
      </w:pPr>
    </w:lvl>
    <w:lvl w:ilvl="2">
      <w:numFmt w:val="bullet"/>
      <w:lvlText w:val="▪"/>
      <w:lvlJc w:val="left"/>
      <w:pPr>
        <w:ind w:left="1800" w:hanging="360"/>
      </w:pPr>
      <w:rPr>
        <w:rFonts w:ascii="Noto Sans Symbols" w:eastAsia="Noto Sans Symbols" w:hAnsi="Noto Sans Symbols" w:cs="Noto Sans Symbols"/>
      </w:rPr>
    </w:lvl>
    <w:lvl w:ilvl="3">
      <w:numFmt w:val="bullet"/>
      <w:lvlText w:val="●"/>
      <w:lvlJc w:val="left"/>
      <w:pPr>
        <w:ind w:left="2520" w:hanging="360"/>
      </w:pPr>
      <w:rPr>
        <w:rFonts w:ascii="Noto Sans Symbols" w:eastAsia="Noto Sans Symbols" w:hAnsi="Noto Sans Symbols" w:cs="Noto Sans Symbols"/>
      </w:rPr>
    </w:lvl>
    <w:lvl w:ilvl="4">
      <w:numFmt w:val="bullet"/>
      <w:lvlText w:val="o"/>
      <w:lvlJc w:val="left"/>
      <w:pPr>
        <w:ind w:left="3240" w:hanging="360"/>
      </w:pPr>
    </w:lvl>
    <w:lvl w:ilvl="5">
      <w:numFmt w:val="bullet"/>
      <w:lvlText w:val="▪"/>
      <w:lvlJc w:val="left"/>
      <w:pPr>
        <w:ind w:left="3960" w:hanging="360"/>
      </w:pPr>
      <w:rPr>
        <w:rFonts w:ascii="Noto Sans Symbols" w:eastAsia="Noto Sans Symbols" w:hAnsi="Noto Sans Symbols" w:cs="Noto Sans Symbols"/>
      </w:rPr>
    </w:lvl>
    <w:lvl w:ilvl="6">
      <w:numFmt w:val="bullet"/>
      <w:lvlText w:val="●"/>
      <w:lvlJc w:val="left"/>
      <w:pPr>
        <w:ind w:left="4680" w:hanging="360"/>
      </w:pPr>
      <w:rPr>
        <w:rFonts w:ascii="Noto Sans Symbols" w:eastAsia="Noto Sans Symbols" w:hAnsi="Noto Sans Symbols" w:cs="Noto Sans Symbols"/>
      </w:rPr>
    </w:lvl>
    <w:lvl w:ilvl="7">
      <w:numFmt w:val="bullet"/>
      <w:lvlText w:val="o"/>
      <w:lvlJc w:val="left"/>
      <w:pPr>
        <w:ind w:left="5400" w:hanging="360"/>
      </w:pPr>
    </w:lvl>
    <w:lvl w:ilvl="8">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0A49310F"/>
    <w:multiLevelType w:val="hybridMultilevel"/>
    <w:tmpl w:val="8AB24E1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0D384DE3"/>
    <w:multiLevelType w:val="hybridMultilevel"/>
    <w:tmpl w:val="AB9603BC"/>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0F641DB0"/>
    <w:multiLevelType w:val="hybridMultilevel"/>
    <w:tmpl w:val="5C6AB15C"/>
    <w:lvl w:ilvl="0" w:tplc="14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6CC485D"/>
    <w:multiLevelType w:val="hybridMultilevel"/>
    <w:tmpl w:val="9B02317E"/>
    <w:styleLink w:val="Nmero"/>
    <w:lvl w:ilvl="0" w:tplc="123283BE">
      <w:start w:val="1"/>
      <w:numFmt w:val="decimal"/>
      <w:lvlText w:val="%1."/>
      <w:lvlJc w:val="left"/>
      <w:pPr>
        <w:ind w:left="232" w:hanging="232"/>
      </w:pPr>
      <w:rPr>
        <w:rFonts w:hAnsi="Arial Unicode MS"/>
        <w:caps w:val="0"/>
        <w:smallCaps w:val="0"/>
        <w:strike w:val="0"/>
        <w:dstrike w:val="0"/>
        <w:outline w:val="0"/>
        <w:emboss w:val="0"/>
        <w:imprint w:val="0"/>
        <w:spacing w:val="0"/>
        <w:w w:val="100"/>
        <w:kern w:val="0"/>
        <w:position w:val="0"/>
        <w:highlight w:val="none"/>
        <w:vertAlign w:val="baseline"/>
      </w:rPr>
    </w:lvl>
    <w:lvl w:ilvl="1" w:tplc="83943A78">
      <w:start w:val="1"/>
      <w:numFmt w:val="decimal"/>
      <w:lvlText w:val="%2."/>
      <w:lvlJc w:val="left"/>
      <w:pPr>
        <w:ind w:left="1032" w:hanging="232"/>
      </w:pPr>
      <w:rPr>
        <w:rFonts w:hAnsi="Arial Unicode MS"/>
        <w:caps w:val="0"/>
        <w:smallCaps w:val="0"/>
        <w:strike w:val="0"/>
        <w:dstrike w:val="0"/>
        <w:outline w:val="0"/>
        <w:emboss w:val="0"/>
        <w:imprint w:val="0"/>
        <w:spacing w:val="0"/>
        <w:w w:val="100"/>
        <w:kern w:val="0"/>
        <w:position w:val="0"/>
        <w:highlight w:val="none"/>
        <w:vertAlign w:val="baseline"/>
      </w:rPr>
    </w:lvl>
    <w:lvl w:ilvl="2" w:tplc="6A46857A">
      <w:start w:val="1"/>
      <w:numFmt w:val="decimal"/>
      <w:lvlText w:val="%3."/>
      <w:lvlJc w:val="left"/>
      <w:pPr>
        <w:ind w:left="1832" w:hanging="232"/>
      </w:pPr>
      <w:rPr>
        <w:rFonts w:hAnsi="Arial Unicode MS"/>
        <w:caps w:val="0"/>
        <w:smallCaps w:val="0"/>
        <w:strike w:val="0"/>
        <w:dstrike w:val="0"/>
        <w:outline w:val="0"/>
        <w:emboss w:val="0"/>
        <w:imprint w:val="0"/>
        <w:spacing w:val="0"/>
        <w:w w:val="100"/>
        <w:kern w:val="0"/>
        <w:position w:val="0"/>
        <w:highlight w:val="none"/>
        <w:vertAlign w:val="baseline"/>
      </w:rPr>
    </w:lvl>
    <w:lvl w:ilvl="3" w:tplc="FD68424A">
      <w:start w:val="1"/>
      <w:numFmt w:val="decimal"/>
      <w:lvlText w:val="%4."/>
      <w:lvlJc w:val="left"/>
      <w:pPr>
        <w:ind w:left="2632" w:hanging="232"/>
      </w:pPr>
      <w:rPr>
        <w:rFonts w:hAnsi="Arial Unicode MS"/>
        <w:caps w:val="0"/>
        <w:smallCaps w:val="0"/>
        <w:strike w:val="0"/>
        <w:dstrike w:val="0"/>
        <w:outline w:val="0"/>
        <w:emboss w:val="0"/>
        <w:imprint w:val="0"/>
        <w:spacing w:val="0"/>
        <w:w w:val="100"/>
        <w:kern w:val="0"/>
        <w:position w:val="0"/>
        <w:highlight w:val="none"/>
        <w:vertAlign w:val="baseline"/>
      </w:rPr>
    </w:lvl>
    <w:lvl w:ilvl="4" w:tplc="7E7A8F34">
      <w:start w:val="1"/>
      <w:numFmt w:val="decimal"/>
      <w:lvlText w:val="%5."/>
      <w:lvlJc w:val="left"/>
      <w:pPr>
        <w:ind w:left="3432" w:hanging="232"/>
      </w:pPr>
      <w:rPr>
        <w:rFonts w:hAnsi="Arial Unicode MS"/>
        <w:caps w:val="0"/>
        <w:smallCaps w:val="0"/>
        <w:strike w:val="0"/>
        <w:dstrike w:val="0"/>
        <w:outline w:val="0"/>
        <w:emboss w:val="0"/>
        <w:imprint w:val="0"/>
        <w:spacing w:val="0"/>
        <w:w w:val="100"/>
        <w:kern w:val="0"/>
        <w:position w:val="0"/>
        <w:highlight w:val="none"/>
        <w:vertAlign w:val="baseline"/>
      </w:rPr>
    </w:lvl>
    <w:lvl w:ilvl="5" w:tplc="4EF6B370">
      <w:start w:val="1"/>
      <w:numFmt w:val="decimal"/>
      <w:lvlText w:val="%6."/>
      <w:lvlJc w:val="left"/>
      <w:pPr>
        <w:ind w:left="4232" w:hanging="232"/>
      </w:pPr>
      <w:rPr>
        <w:rFonts w:hAnsi="Arial Unicode MS"/>
        <w:caps w:val="0"/>
        <w:smallCaps w:val="0"/>
        <w:strike w:val="0"/>
        <w:dstrike w:val="0"/>
        <w:outline w:val="0"/>
        <w:emboss w:val="0"/>
        <w:imprint w:val="0"/>
        <w:spacing w:val="0"/>
        <w:w w:val="100"/>
        <w:kern w:val="0"/>
        <w:position w:val="0"/>
        <w:highlight w:val="none"/>
        <w:vertAlign w:val="baseline"/>
      </w:rPr>
    </w:lvl>
    <w:lvl w:ilvl="6" w:tplc="6290BEB8">
      <w:start w:val="1"/>
      <w:numFmt w:val="decimal"/>
      <w:lvlText w:val="%7."/>
      <w:lvlJc w:val="left"/>
      <w:pPr>
        <w:ind w:left="5032" w:hanging="232"/>
      </w:pPr>
      <w:rPr>
        <w:rFonts w:hAnsi="Arial Unicode MS"/>
        <w:caps w:val="0"/>
        <w:smallCaps w:val="0"/>
        <w:strike w:val="0"/>
        <w:dstrike w:val="0"/>
        <w:outline w:val="0"/>
        <w:emboss w:val="0"/>
        <w:imprint w:val="0"/>
        <w:spacing w:val="0"/>
        <w:w w:val="100"/>
        <w:kern w:val="0"/>
        <w:position w:val="0"/>
        <w:highlight w:val="none"/>
        <w:vertAlign w:val="baseline"/>
      </w:rPr>
    </w:lvl>
    <w:lvl w:ilvl="7" w:tplc="12FEF124">
      <w:start w:val="1"/>
      <w:numFmt w:val="decimal"/>
      <w:lvlText w:val="%8."/>
      <w:lvlJc w:val="left"/>
      <w:pPr>
        <w:ind w:left="5832" w:hanging="232"/>
      </w:pPr>
      <w:rPr>
        <w:rFonts w:hAnsi="Arial Unicode MS"/>
        <w:caps w:val="0"/>
        <w:smallCaps w:val="0"/>
        <w:strike w:val="0"/>
        <w:dstrike w:val="0"/>
        <w:outline w:val="0"/>
        <w:emboss w:val="0"/>
        <w:imprint w:val="0"/>
        <w:spacing w:val="0"/>
        <w:w w:val="100"/>
        <w:kern w:val="0"/>
        <w:position w:val="0"/>
        <w:highlight w:val="none"/>
        <w:vertAlign w:val="baseline"/>
      </w:rPr>
    </w:lvl>
    <w:lvl w:ilvl="8" w:tplc="AB1824F0">
      <w:start w:val="1"/>
      <w:numFmt w:val="decimal"/>
      <w:lvlText w:val="%9."/>
      <w:lvlJc w:val="left"/>
      <w:pPr>
        <w:ind w:left="6632" w:hanging="23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1E136A26"/>
    <w:multiLevelType w:val="hybridMultilevel"/>
    <w:tmpl w:val="5636CEDC"/>
    <w:lvl w:ilvl="0" w:tplc="4372BDEE">
      <w:start w:val="1"/>
      <w:numFmt w:val="decimal"/>
      <w:lvlText w:val="%1."/>
      <w:lvlJc w:val="left"/>
      <w:pPr>
        <w:ind w:left="502" w:hanging="360"/>
      </w:pPr>
      <w:rPr>
        <w:color w:val="auto"/>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15:restartNumberingAfterBreak="0">
    <w:nsid w:val="290E2B37"/>
    <w:multiLevelType w:val="hybridMultilevel"/>
    <w:tmpl w:val="A2E2326C"/>
    <w:lvl w:ilvl="0" w:tplc="73E6C8F8">
      <w:start w:val="1"/>
      <w:numFmt w:val="bullet"/>
      <w:lvlText w:val=""/>
      <w:lvlPicBulletId w:val="0"/>
      <w:lvlJc w:val="left"/>
      <w:pPr>
        <w:ind w:left="720" w:hanging="360"/>
      </w:pPr>
      <w:rPr>
        <w:rFonts w:ascii="Symbol" w:hAnsi="Symbol" w:hint="default"/>
        <w:sz w:val="22"/>
        <w:szCs w:val="22"/>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15:restartNumberingAfterBreak="0">
    <w:nsid w:val="434D1146"/>
    <w:multiLevelType w:val="multilevel"/>
    <w:tmpl w:val="320A380E"/>
    <w:styleLink w:val="WWNum2"/>
    <w:lvl w:ilvl="0">
      <w:start w:val="1"/>
      <w:numFmt w:val="bullet"/>
      <w:lvlText w:val=""/>
      <w:lvlJc w:val="left"/>
      <w:pPr>
        <w:ind w:left="360" w:hanging="360"/>
      </w:pPr>
      <w:rPr>
        <w:rFonts w:ascii="Symbol" w:hAnsi="Symbol" w:hint="default"/>
        <w:b w:val="0"/>
        <w:sz w:val="22"/>
      </w:rPr>
    </w:lvl>
    <w:lvl w:ilvl="1">
      <w:numFmt w:val="bullet"/>
      <w:lvlText w:val="o"/>
      <w:lvlJc w:val="left"/>
      <w:pPr>
        <w:ind w:left="1080" w:hanging="360"/>
      </w:pPr>
    </w:lvl>
    <w:lvl w:ilvl="2">
      <w:numFmt w:val="bullet"/>
      <w:lvlText w:val="▪"/>
      <w:lvlJc w:val="left"/>
      <w:pPr>
        <w:ind w:left="1800" w:hanging="360"/>
      </w:pPr>
      <w:rPr>
        <w:rFonts w:ascii="Noto Sans Symbols" w:eastAsia="Noto Sans Symbols" w:hAnsi="Noto Sans Symbols" w:cs="Noto Sans Symbols"/>
      </w:rPr>
    </w:lvl>
    <w:lvl w:ilvl="3">
      <w:numFmt w:val="bullet"/>
      <w:lvlText w:val="●"/>
      <w:lvlJc w:val="left"/>
      <w:pPr>
        <w:ind w:left="2520" w:hanging="360"/>
      </w:pPr>
      <w:rPr>
        <w:rFonts w:ascii="Noto Sans Symbols" w:eastAsia="Noto Sans Symbols" w:hAnsi="Noto Sans Symbols" w:cs="Noto Sans Symbols"/>
      </w:rPr>
    </w:lvl>
    <w:lvl w:ilvl="4">
      <w:numFmt w:val="bullet"/>
      <w:lvlText w:val="o"/>
      <w:lvlJc w:val="left"/>
      <w:pPr>
        <w:ind w:left="3240" w:hanging="360"/>
      </w:pPr>
    </w:lvl>
    <w:lvl w:ilvl="5">
      <w:numFmt w:val="bullet"/>
      <w:lvlText w:val="▪"/>
      <w:lvlJc w:val="left"/>
      <w:pPr>
        <w:ind w:left="3960" w:hanging="360"/>
      </w:pPr>
      <w:rPr>
        <w:rFonts w:ascii="Noto Sans Symbols" w:eastAsia="Noto Sans Symbols" w:hAnsi="Noto Sans Symbols" w:cs="Noto Sans Symbols"/>
      </w:rPr>
    </w:lvl>
    <w:lvl w:ilvl="6">
      <w:numFmt w:val="bullet"/>
      <w:lvlText w:val="●"/>
      <w:lvlJc w:val="left"/>
      <w:pPr>
        <w:ind w:left="4680" w:hanging="360"/>
      </w:pPr>
      <w:rPr>
        <w:rFonts w:ascii="Noto Sans Symbols" w:eastAsia="Noto Sans Symbols" w:hAnsi="Noto Sans Symbols" w:cs="Noto Sans Symbols"/>
      </w:rPr>
    </w:lvl>
    <w:lvl w:ilvl="7">
      <w:numFmt w:val="bullet"/>
      <w:lvlText w:val="o"/>
      <w:lvlJc w:val="left"/>
      <w:pPr>
        <w:ind w:left="5400" w:hanging="360"/>
      </w:pPr>
    </w:lvl>
    <w:lvl w:ilvl="8">
      <w:numFmt w:val="bullet"/>
      <w:lvlText w:val="▪"/>
      <w:lvlJc w:val="left"/>
      <w:pPr>
        <w:ind w:left="6120" w:hanging="360"/>
      </w:pPr>
      <w:rPr>
        <w:rFonts w:ascii="Noto Sans Symbols" w:eastAsia="Noto Sans Symbols" w:hAnsi="Noto Sans Symbols" w:cs="Noto Sans Symbols"/>
      </w:rPr>
    </w:lvl>
  </w:abstractNum>
  <w:abstractNum w:abstractNumId="8" w15:restartNumberingAfterBreak="0">
    <w:nsid w:val="45C72777"/>
    <w:multiLevelType w:val="hybridMultilevel"/>
    <w:tmpl w:val="9984F96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9" w15:restartNumberingAfterBreak="0">
    <w:nsid w:val="46903FB3"/>
    <w:multiLevelType w:val="hybridMultilevel"/>
    <w:tmpl w:val="4B5EA426"/>
    <w:lvl w:ilvl="0" w:tplc="DB7A9AA2">
      <w:start w:val="1"/>
      <w:numFmt w:val="decimal"/>
      <w:lvlText w:val="%1."/>
      <w:lvlJc w:val="left"/>
      <w:pPr>
        <w:ind w:left="720" w:hanging="360"/>
      </w:pPr>
      <w:rPr>
        <w:b w:val="0"/>
        <w:bCs w:val="0"/>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48EE1D09"/>
    <w:multiLevelType w:val="hybridMultilevel"/>
    <w:tmpl w:val="51405D4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1" w15:restartNumberingAfterBreak="0">
    <w:nsid w:val="53620EF0"/>
    <w:multiLevelType w:val="hybridMultilevel"/>
    <w:tmpl w:val="E082838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5AAD66E7"/>
    <w:multiLevelType w:val="hybridMultilevel"/>
    <w:tmpl w:val="139A3DA0"/>
    <w:styleLink w:val="ImportedStyle2"/>
    <w:lvl w:ilvl="0" w:tplc="8B2A5794">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BFAF5F4">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F8AD992">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EDEF592">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20C452E">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498A554">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C2643C4">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EE2FD6E">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38A7992">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64086229"/>
    <w:multiLevelType w:val="hybridMultilevel"/>
    <w:tmpl w:val="2878E27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653D21AF"/>
    <w:multiLevelType w:val="multilevel"/>
    <w:tmpl w:val="132E5192"/>
    <w:styleLink w:val="WWNum1"/>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15" w15:restartNumberingAfterBreak="0">
    <w:nsid w:val="6702764E"/>
    <w:multiLevelType w:val="hybridMultilevel"/>
    <w:tmpl w:val="C258271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6864158F"/>
    <w:multiLevelType w:val="hybridMultilevel"/>
    <w:tmpl w:val="9B02317E"/>
    <w:numStyleLink w:val="Nmero"/>
  </w:abstractNum>
  <w:abstractNum w:abstractNumId="17" w15:restartNumberingAfterBreak="0">
    <w:nsid w:val="7B67746D"/>
    <w:multiLevelType w:val="hybridMultilevel"/>
    <w:tmpl w:val="B85413B8"/>
    <w:styleLink w:val="ImportedStyle3"/>
    <w:lvl w:ilvl="0" w:tplc="DD524C46">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BB48638">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714913E">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9808210">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93C4D5A">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0F01076">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3B0C8BC">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C3465B2">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0BA8F64">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675158488">
    <w:abstractNumId w:val="6"/>
  </w:num>
  <w:num w:numId="2" w16cid:durableId="1690527898">
    <w:abstractNumId w:val="7"/>
  </w:num>
  <w:num w:numId="3" w16cid:durableId="565336537">
    <w:abstractNumId w:val="0"/>
  </w:num>
  <w:num w:numId="4" w16cid:durableId="955331288">
    <w:abstractNumId w:val="14"/>
  </w:num>
  <w:num w:numId="5" w16cid:durableId="1797718138">
    <w:abstractNumId w:val="12"/>
  </w:num>
  <w:num w:numId="6" w16cid:durableId="819422216">
    <w:abstractNumId w:val="17"/>
  </w:num>
  <w:num w:numId="7" w16cid:durableId="654185802">
    <w:abstractNumId w:val="13"/>
  </w:num>
  <w:num w:numId="8" w16cid:durableId="1520194262">
    <w:abstractNumId w:val="11"/>
  </w:num>
  <w:num w:numId="9" w16cid:durableId="1758095612">
    <w:abstractNumId w:val="15"/>
  </w:num>
  <w:num w:numId="10" w16cid:durableId="1888177500">
    <w:abstractNumId w:val="3"/>
  </w:num>
  <w:num w:numId="11" w16cid:durableId="1498881614">
    <w:abstractNumId w:val="8"/>
  </w:num>
  <w:num w:numId="12" w16cid:durableId="123618529">
    <w:abstractNumId w:val="10"/>
  </w:num>
  <w:num w:numId="13" w16cid:durableId="1309551610">
    <w:abstractNumId w:val="9"/>
  </w:num>
  <w:num w:numId="14" w16cid:durableId="267281068">
    <w:abstractNumId w:val="7"/>
    <w:lvlOverride w:ilvl="0">
      <w:startOverride w:val="1"/>
    </w:lvlOverride>
  </w:num>
  <w:num w:numId="15" w16cid:durableId="2065909754">
    <w:abstractNumId w:val="1"/>
  </w:num>
  <w:num w:numId="16" w16cid:durableId="515390968">
    <w:abstractNumId w:val="5"/>
  </w:num>
  <w:num w:numId="17" w16cid:durableId="1560898445">
    <w:abstractNumId w:val="4"/>
  </w:num>
  <w:num w:numId="18" w16cid:durableId="1137642859">
    <w:abstractNumId w:val="16"/>
  </w:num>
  <w:num w:numId="19" w16cid:durableId="776297064">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7572"/>
    <w:rsid w:val="00011C81"/>
    <w:rsid w:val="00015739"/>
    <w:rsid w:val="000169A7"/>
    <w:rsid w:val="000206E0"/>
    <w:rsid w:val="0002313C"/>
    <w:rsid w:val="000260EB"/>
    <w:rsid w:val="00043AB5"/>
    <w:rsid w:val="00043C2B"/>
    <w:rsid w:val="0004660B"/>
    <w:rsid w:val="0005117F"/>
    <w:rsid w:val="00052E3E"/>
    <w:rsid w:val="00070232"/>
    <w:rsid w:val="00072572"/>
    <w:rsid w:val="00075BD9"/>
    <w:rsid w:val="00076420"/>
    <w:rsid w:val="00081327"/>
    <w:rsid w:val="00085A6C"/>
    <w:rsid w:val="000861D7"/>
    <w:rsid w:val="00087E4B"/>
    <w:rsid w:val="00090213"/>
    <w:rsid w:val="000912A6"/>
    <w:rsid w:val="000A12B9"/>
    <w:rsid w:val="000A2BE8"/>
    <w:rsid w:val="000A3E2F"/>
    <w:rsid w:val="000A6B22"/>
    <w:rsid w:val="000A7429"/>
    <w:rsid w:val="000A7FFE"/>
    <w:rsid w:val="000B283B"/>
    <w:rsid w:val="000B7104"/>
    <w:rsid w:val="000C2326"/>
    <w:rsid w:val="000C2CD6"/>
    <w:rsid w:val="000C3AB5"/>
    <w:rsid w:val="000C6106"/>
    <w:rsid w:val="000D16EC"/>
    <w:rsid w:val="000D6A22"/>
    <w:rsid w:val="000D7572"/>
    <w:rsid w:val="000E5A06"/>
    <w:rsid w:val="000F2611"/>
    <w:rsid w:val="001009B6"/>
    <w:rsid w:val="00110886"/>
    <w:rsid w:val="001153F5"/>
    <w:rsid w:val="001207E8"/>
    <w:rsid w:val="00127B05"/>
    <w:rsid w:val="001333F2"/>
    <w:rsid w:val="00141C24"/>
    <w:rsid w:val="00142949"/>
    <w:rsid w:val="00146625"/>
    <w:rsid w:val="00161F5E"/>
    <w:rsid w:val="00176825"/>
    <w:rsid w:val="00177C1D"/>
    <w:rsid w:val="001816D5"/>
    <w:rsid w:val="00182689"/>
    <w:rsid w:val="001842D3"/>
    <w:rsid w:val="001A30C1"/>
    <w:rsid w:val="001A3529"/>
    <w:rsid w:val="001A3F33"/>
    <w:rsid w:val="001B21F3"/>
    <w:rsid w:val="001C3BAB"/>
    <w:rsid w:val="001C7B0E"/>
    <w:rsid w:val="001D0705"/>
    <w:rsid w:val="001D54D3"/>
    <w:rsid w:val="001D7EE2"/>
    <w:rsid w:val="001F31F6"/>
    <w:rsid w:val="001F50BC"/>
    <w:rsid w:val="001F5308"/>
    <w:rsid w:val="001F553C"/>
    <w:rsid w:val="00200857"/>
    <w:rsid w:val="00203D83"/>
    <w:rsid w:val="00203DD6"/>
    <w:rsid w:val="00204322"/>
    <w:rsid w:val="002057B8"/>
    <w:rsid w:val="00206F53"/>
    <w:rsid w:val="00217D92"/>
    <w:rsid w:val="00221512"/>
    <w:rsid w:val="002222A4"/>
    <w:rsid w:val="00223206"/>
    <w:rsid w:val="00225247"/>
    <w:rsid w:val="0023113C"/>
    <w:rsid w:val="00233C0B"/>
    <w:rsid w:val="00236C9A"/>
    <w:rsid w:val="0024018E"/>
    <w:rsid w:val="002406EF"/>
    <w:rsid w:val="00246028"/>
    <w:rsid w:val="002477D5"/>
    <w:rsid w:val="002556F3"/>
    <w:rsid w:val="00255B7D"/>
    <w:rsid w:val="002747EC"/>
    <w:rsid w:val="002A0C3C"/>
    <w:rsid w:val="002A3A62"/>
    <w:rsid w:val="002B1316"/>
    <w:rsid w:val="002B3F8E"/>
    <w:rsid w:val="002B4650"/>
    <w:rsid w:val="002B5B56"/>
    <w:rsid w:val="002C3364"/>
    <w:rsid w:val="002C3DD7"/>
    <w:rsid w:val="002C58CD"/>
    <w:rsid w:val="002C6183"/>
    <w:rsid w:val="002C72E7"/>
    <w:rsid w:val="002D6C19"/>
    <w:rsid w:val="002E0DE0"/>
    <w:rsid w:val="002E2D23"/>
    <w:rsid w:val="002E3F2D"/>
    <w:rsid w:val="002F58A0"/>
    <w:rsid w:val="00300D0B"/>
    <w:rsid w:val="003013BF"/>
    <w:rsid w:val="0030142E"/>
    <w:rsid w:val="003025AF"/>
    <w:rsid w:val="0031108A"/>
    <w:rsid w:val="00314114"/>
    <w:rsid w:val="003270F2"/>
    <w:rsid w:val="00332CD9"/>
    <w:rsid w:val="003340F0"/>
    <w:rsid w:val="00340FDF"/>
    <w:rsid w:val="0034265D"/>
    <w:rsid w:val="00344B39"/>
    <w:rsid w:val="00346951"/>
    <w:rsid w:val="0035587B"/>
    <w:rsid w:val="00356E6F"/>
    <w:rsid w:val="00357A9B"/>
    <w:rsid w:val="00366926"/>
    <w:rsid w:val="0037104B"/>
    <w:rsid w:val="00373E27"/>
    <w:rsid w:val="003757A9"/>
    <w:rsid w:val="00376D99"/>
    <w:rsid w:val="003A3BE4"/>
    <w:rsid w:val="003A5BE6"/>
    <w:rsid w:val="003B0466"/>
    <w:rsid w:val="003C2CE7"/>
    <w:rsid w:val="003D3923"/>
    <w:rsid w:val="003E573F"/>
    <w:rsid w:val="003E73B8"/>
    <w:rsid w:val="003F4E9F"/>
    <w:rsid w:val="003F722B"/>
    <w:rsid w:val="004004A6"/>
    <w:rsid w:val="00403B40"/>
    <w:rsid w:val="00411F51"/>
    <w:rsid w:val="00413139"/>
    <w:rsid w:val="00414414"/>
    <w:rsid w:val="00415000"/>
    <w:rsid w:val="00431554"/>
    <w:rsid w:val="0044651B"/>
    <w:rsid w:val="00467A1E"/>
    <w:rsid w:val="00473115"/>
    <w:rsid w:val="0049160E"/>
    <w:rsid w:val="00491DB7"/>
    <w:rsid w:val="0049254A"/>
    <w:rsid w:val="004A3A02"/>
    <w:rsid w:val="004B37EC"/>
    <w:rsid w:val="004B4040"/>
    <w:rsid w:val="004C0E10"/>
    <w:rsid w:val="004D03FC"/>
    <w:rsid w:val="004D2A75"/>
    <w:rsid w:val="004D3BAD"/>
    <w:rsid w:val="004D7BD5"/>
    <w:rsid w:val="004E0917"/>
    <w:rsid w:val="004E6FEF"/>
    <w:rsid w:val="004F1E55"/>
    <w:rsid w:val="004F37F1"/>
    <w:rsid w:val="00501438"/>
    <w:rsid w:val="00507BEF"/>
    <w:rsid w:val="00512939"/>
    <w:rsid w:val="005179EF"/>
    <w:rsid w:val="00525F1A"/>
    <w:rsid w:val="00526D59"/>
    <w:rsid w:val="00545AA6"/>
    <w:rsid w:val="00551AF7"/>
    <w:rsid w:val="005557B5"/>
    <w:rsid w:val="00563D26"/>
    <w:rsid w:val="00565973"/>
    <w:rsid w:val="005669C3"/>
    <w:rsid w:val="0056790F"/>
    <w:rsid w:val="00571BD2"/>
    <w:rsid w:val="005725A3"/>
    <w:rsid w:val="005860BC"/>
    <w:rsid w:val="00590875"/>
    <w:rsid w:val="00590B18"/>
    <w:rsid w:val="00591633"/>
    <w:rsid w:val="00592C8B"/>
    <w:rsid w:val="005B4DFC"/>
    <w:rsid w:val="005C096A"/>
    <w:rsid w:val="005D62B0"/>
    <w:rsid w:val="005E3D7C"/>
    <w:rsid w:val="005F0546"/>
    <w:rsid w:val="005F1FA0"/>
    <w:rsid w:val="00601DC5"/>
    <w:rsid w:val="006122DA"/>
    <w:rsid w:val="00623094"/>
    <w:rsid w:val="00634FDB"/>
    <w:rsid w:val="00636466"/>
    <w:rsid w:val="0064019C"/>
    <w:rsid w:val="0064362F"/>
    <w:rsid w:val="006458AD"/>
    <w:rsid w:val="00652DB8"/>
    <w:rsid w:val="00653054"/>
    <w:rsid w:val="006553FE"/>
    <w:rsid w:val="006647D1"/>
    <w:rsid w:val="006715DE"/>
    <w:rsid w:val="006724E0"/>
    <w:rsid w:val="00674C6B"/>
    <w:rsid w:val="00674CB7"/>
    <w:rsid w:val="00682131"/>
    <w:rsid w:val="00690573"/>
    <w:rsid w:val="00694ABE"/>
    <w:rsid w:val="006A1304"/>
    <w:rsid w:val="006A1A38"/>
    <w:rsid w:val="006A2970"/>
    <w:rsid w:val="006A3048"/>
    <w:rsid w:val="006A4FB5"/>
    <w:rsid w:val="006A4FF4"/>
    <w:rsid w:val="006C06E7"/>
    <w:rsid w:val="006C6841"/>
    <w:rsid w:val="006E05CB"/>
    <w:rsid w:val="006E6470"/>
    <w:rsid w:val="006E6C75"/>
    <w:rsid w:val="006F7BCA"/>
    <w:rsid w:val="00706C4F"/>
    <w:rsid w:val="007074A7"/>
    <w:rsid w:val="00721BE1"/>
    <w:rsid w:val="0072458C"/>
    <w:rsid w:val="00726F5F"/>
    <w:rsid w:val="0073664C"/>
    <w:rsid w:val="00742429"/>
    <w:rsid w:val="00743CB5"/>
    <w:rsid w:val="00762F81"/>
    <w:rsid w:val="00767B51"/>
    <w:rsid w:val="007726EC"/>
    <w:rsid w:val="00780E32"/>
    <w:rsid w:val="00782C38"/>
    <w:rsid w:val="00794DEB"/>
    <w:rsid w:val="007A3F95"/>
    <w:rsid w:val="007A7CA1"/>
    <w:rsid w:val="007B5563"/>
    <w:rsid w:val="007E0AD1"/>
    <w:rsid w:val="00802BAD"/>
    <w:rsid w:val="00806F56"/>
    <w:rsid w:val="00813903"/>
    <w:rsid w:val="008206FF"/>
    <w:rsid w:val="00821D61"/>
    <w:rsid w:val="0082698E"/>
    <w:rsid w:val="00826FB5"/>
    <w:rsid w:val="00827495"/>
    <w:rsid w:val="008366EC"/>
    <w:rsid w:val="0084698F"/>
    <w:rsid w:val="00850576"/>
    <w:rsid w:val="0085674A"/>
    <w:rsid w:val="00863D29"/>
    <w:rsid w:val="00870E10"/>
    <w:rsid w:val="008735E3"/>
    <w:rsid w:val="00875DEB"/>
    <w:rsid w:val="008767A1"/>
    <w:rsid w:val="00877304"/>
    <w:rsid w:val="008842B7"/>
    <w:rsid w:val="00887E4B"/>
    <w:rsid w:val="008A4301"/>
    <w:rsid w:val="008A724A"/>
    <w:rsid w:val="008B100F"/>
    <w:rsid w:val="008B1E6B"/>
    <w:rsid w:val="008C34EE"/>
    <w:rsid w:val="008C5401"/>
    <w:rsid w:val="008D2354"/>
    <w:rsid w:val="008E19C4"/>
    <w:rsid w:val="008F4548"/>
    <w:rsid w:val="00903417"/>
    <w:rsid w:val="00912413"/>
    <w:rsid w:val="0093004E"/>
    <w:rsid w:val="009348FF"/>
    <w:rsid w:val="00942013"/>
    <w:rsid w:val="009604E4"/>
    <w:rsid w:val="00961FF7"/>
    <w:rsid w:val="00962C15"/>
    <w:rsid w:val="00963CFA"/>
    <w:rsid w:val="00963F06"/>
    <w:rsid w:val="00970792"/>
    <w:rsid w:val="00973AFD"/>
    <w:rsid w:val="0097689A"/>
    <w:rsid w:val="00984027"/>
    <w:rsid w:val="009844CE"/>
    <w:rsid w:val="00986966"/>
    <w:rsid w:val="009A4B47"/>
    <w:rsid w:val="009B7F61"/>
    <w:rsid w:val="009C0C22"/>
    <w:rsid w:val="009C2CDA"/>
    <w:rsid w:val="009D323B"/>
    <w:rsid w:val="009E2369"/>
    <w:rsid w:val="009E3933"/>
    <w:rsid w:val="009E4A48"/>
    <w:rsid w:val="009F0D91"/>
    <w:rsid w:val="00A05503"/>
    <w:rsid w:val="00A0671C"/>
    <w:rsid w:val="00A269AE"/>
    <w:rsid w:val="00A26B89"/>
    <w:rsid w:val="00A313C9"/>
    <w:rsid w:val="00A37222"/>
    <w:rsid w:val="00A4220A"/>
    <w:rsid w:val="00A45DD8"/>
    <w:rsid w:val="00A47DE4"/>
    <w:rsid w:val="00A5501E"/>
    <w:rsid w:val="00A5646B"/>
    <w:rsid w:val="00A579FB"/>
    <w:rsid w:val="00A65F12"/>
    <w:rsid w:val="00A73B18"/>
    <w:rsid w:val="00A83266"/>
    <w:rsid w:val="00A865C1"/>
    <w:rsid w:val="00A87D99"/>
    <w:rsid w:val="00A90252"/>
    <w:rsid w:val="00A91DF6"/>
    <w:rsid w:val="00A92DCA"/>
    <w:rsid w:val="00A93FC7"/>
    <w:rsid w:val="00AA1AB2"/>
    <w:rsid w:val="00AB3612"/>
    <w:rsid w:val="00AC131A"/>
    <w:rsid w:val="00AD35B5"/>
    <w:rsid w:val="00AE32D5"/>
    <w:rsid w:val="00AE5EA0"/>
    <w:rsid w:val="00AF2D3A"/>
    <w:rsid w:val="00AF36EA"/>
    <w:rsid w:val="00B010EC"/>
    <w:rsid w:val="00B056CF"/>
    <w:rsid w:val="00B05B23"/>
    <w:rsid w:val="00B1240A"/>
    <w:rsid w:val="00B159CB"/>
    <w:rsid w:val="00B223D7"/>
    <w:rsid w:val="00B4048C"/>
    <w:rsid w:val="00B411ED"/>
    <w:rsid w:val="00B41AFF"/>
    <w:rsid w:val="00B42108"/>
    <w:rsid w:val="00B50487"/>
    <w:rsid w:val="00B56E82"/>
    <w:rsid w:val="00B62FC8"/>
    <w:rsid w:val="00B643AF"/>
    <w:rsid w:val="00B66DB8"/>
    <w:rsid w:val="00B678BC"/>
    <w:rsid w:val="00B67A44"/>
    <w:rsid w:val="00B71FE4"/>
    <w:rsid w:val="00B7366E"/>
    <w:rsid w:val="00B76820"/>
    <w:rsid w:val="00B76D4C"/>
    <w:rsid w:val="00B8084F"/>
    <w:rsid w:val="00B811D3"/>
    <w:rsid w:val="00B87723"/>
    <w:rsid w:val="00B910C0"/>
    <w:rsid w:val="00B97B37"/>
    <w:rsid w:val="00BB4F8D"/>
    <w:rsid w:val="00BB6E17"/>
    <w:rsid w:val="00BD0068"/>
    <w:rsid w:val="00BD27D0"/>
    <w:rsid w:val="00BE2B6B"/>
    <w:rsid w:val="00BE39FE"/>
    <w:rsid w:val="00BE40C1"/>
    <w:rsid w:val="00BF0D6C"/>
    <w:rsid w:val="00BF2D4E"/>
    <w:rsid w:val="00BF4F09"/>
    <w:rsid w:val="00C04BFF"/>
    <w:rsid w:val="00C1659B"/>
    <w:rsid w:val="00C1685D"/>
    <w:rsid w:val="00C21442"/>
    <w:rsid w:val="00C26E22"/>
    <w:rsid w:val="00C33436"/>
    <w:rsid w:val="00C4324E"/>
    <w:rsid w:val="00C458C7"/>
    <w:rsid w:val="00C51A9C"/>
    <w:rsid w:val="00C51C84"/>
    <w:rsid w:val="00C61933"/>
    <w:rsid w:val="00C62EDF"/>
    <w:rsid w:val="00C753AC"/>
    <w:rsid w:val="00C80868"/>
    <w:rsid w:val="00C80C81"/>
    <w:rsid w:val="00C8546D"/>
    <w:rsid w:val="00C85E89"/>
    <w:rsid w:val="00C96657"/>
    <w:rsid w:val="00CA6376"/>
    <w:rsid w:val="00CB09D2"/>
    <w:rsid w:val="00CC40C3"/>
    <w:rsid w:val="00CD2D9A"/>
    <w:rsid w:val="00D0125A"/>
    <w:rsid w:val="00D035A4"/>
    <w:rsid w:val="00D0398E"/>
    <w:rsid w:val="00D03AB5"/>
    <w:rsid w:val="00D05840"/>
    <w:rsid w:val="00D128AE"/>
    <w:rsid w:val="00D141A5"/>
    <w:rsid w:val="00D34CBD"/>
    <w:rsid w:val="00D42D74"/>
    <w:rsid w:val="00D44C65"/>
    <w:rsid w:val="00D460F1"/>
    <w:rsid w:val="00D57625"/>
    <w:rsid w:val="00D6314F"/>
    <w:rsid w:val="00D71153"/>
    <w:rsid w:val="00D726D5"/>
    <w:rsid w:val="00D7509A"/>
    <w:rsid w:val="00D75EC8"/>
    <w:rsid w:val="00D76A9D"/>
    <w:rsid w:val="00D83D5A"/>
    <w:rsid w:val="00D92739"/>
    <w:rsid w:val="00D9428C"/>
    <w:rsid w:val="00D94F08"/>
    <w:rsid w:val="00DA0F4F"/>
    <w:rsid w:val="00DA6D6E"/>
    <w:rsid w:val="00DC1F0D"/>
    <w:rsid w:val="00DC58A3"/>
    <w:rsid w:val="00DD2C2B"/>
    <w:rsid w:val="00DD687C"/>
    <w:rsid w:val="00DD7B34"/>
    <w:rsid w:val="00DD7FA2"/>
    <w:rsid w:val="00DF7D2D"/>
    <w:rsid w:val="00E00F49"/>
    <w:rsid w:val="00E05531"/>
    <w:rsid w:val="00E07855"/>
    <w:rsid w:val="00E07F97"/>
    <w:rsid w:val="00E13AF9"/>
    <w:rsid w:val="00E43C4C"/>
    <w:rsid w:val="00E477FF"/>
    <w:rsid w:val="00E47962"/>
    <w:rsid w:val="00E61038"/>
    <w:rsid w:val="00E64663"/>
    <w:rsid w:val="00E70AA0"/>
    <w:rsid w:val="00E831AF"/>
    <w:rsid w:val="00E84242"/>
    <w:rsid w:val="00E87B35"/>
    <w:rsid w:val="00EA1E86"/>
    <w:rsid w:val="00EA46DB"/>
    <w:rsid w:val="00EB0EB3"/>
    <w:rsid w:val="00EB335D"/>
    <w:rsid w:val="00EC4DC8"/>
    <w:rsid w:val="00ED5019"/>
    <w:rsid w:val="00ED7BE0"/>
    <w:rsid w:val="00EE1579"/>
    <w:rsid w:val="00EE68D8"/>
    <w:rsid w:val="00EF58F0"/>
    <w:rsid w:val="00F04209"/>
    <w:rsid w:val="00F04EFB"/>
    <w:rsid w:val="00F0579F"/>
    <w:rsid w:val="00F071EC"/>
    <w:rsid w:val="00F124B6"/>
    <w:rsid w:val="00F13885"/>
    <w:rsid w:val="00F20670"/>
    <w:rsid w:val="00F206EC"/>
    <w:rsid w:val="00F21DB5"/>
    <w:rsid w:val="00F2332C"/>
    <w:rsid w:val="00F47792"/>
    <w:rsid w:val="00F500C2"/>
    <w:rsid w:val="00F56B59"/>
    <w:rsid w:val="00F67AF7"/>
    <w:rsid w:val="00F7070A"/>
    <w:rsid w:val="00F7641F"/>
    <w:rsid w:val="00F85F64"/>
    <w:rsid w:val="00F86728"/>
    <w:rsid w:val="00F96AD4"/>
    <w:rsid w:val="00FA246B"/>
    <w:rsid w:val="00FA45AA"/>
    <w:rsid w:val="00FB0B16"/>
    <w:rsid w:val="00FB2E51"/>
    <w:rsid w:val="00FB3F67"/>
    <w:rsid w:val="00FB44B1"/>
    <w:rsid w:val="00FC2E2D"/>
    <w:rsid w:val="00FC3A7C"/>
    <w:rsid w:val="00FC3C0B"/>
    <w:rsid w:val="00FC6BE0"/>
    <w:rsid w:val="00FD0971"/>
    <w:rsid w:val="00FF1D44"/>
    <w:rsid w:val="00FF4E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4B76AD"/>
  <w15:docId w15:val="{7D506948-DA55-4B9E-A0A7-48082DF1D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467A1E"/>
    <w:pPr>
      <w:shd w:val="clear" w:color="auto" w:fill="C6D9F1" w:themeFill="text2" w:themeFillTint="33"/>
      <w:spacing w:after="160"/>
      <w:jc w:val="center"/>
      <w:outlineLvl w:val="0"/>
    </w:pPr>
    <w:rPr>
      <w:b/>
      <w:sz w:val="24"/>
      <w:szCs w:val="28"/>
      <w:lang w:val="es-CR"/>
    </w:rPr>
  </w:style>
  <w:style w:type="paragraph" w:styleId="Ttulo2">
    <w:name w:val="heading 2"/>
    <w:basedOn w:val="Normal"/>
    <w:next w:val="Normal"/>
    <w:link w:val="Ttulo2Car"/>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Ttulo1"/>
    <w:next w:val="Normal"/>
    <w:qFormat/>
    <w:rsid w:val="008F4548"/>
  </w:style>
  <w:style w:type="paragraph" w:styleId="Subttulo">
    <w:name w:val="Subtitle"/>
    <w:basedOn w:val="Normal"/>
    <w:next w:val="Normal"/>
    <w:uiPriority w:val="11"/>
    <w:qFormat/>
    <w:pPr>
      <w:keepNext/>
      <w:keepLines/>
      <w:spacing w:after="320"/>
    </w:pPr>
    <w:rPr>
      <w:color w:val="666666"/>
      <w:sz w:val="30"/>
      <w:szCs w:val="30"/>
    </w:rPr>
  </w:style>
  <w:style w:type="paragraph" w:styleId="Prrafodelista">
    <w:name w:val="List Paragraph"/>
    <w:basedOn w:val="Normal"/>
    <w:uiPriority w:val="34"/>
    <w:qFormat/>
    <w:rsid w:val="006E6470"/>
    <w:pPr>
      <w:ind w:left="720"/>
      <w:contextualSpacing/>
    </w:pPr>
  </w:style>
  <w:style w:type="paragraph" w:styleId="Encabezado">
    <w:name w:val="header"/>
    <w:basedOn w:val="Normal"/>
    <w:link w:val="EncabezadoCar"/>
    <w:uiPriority w:val="99"/>
    <w:unhideWhenUsed/>
    <w:rsid w:val="00FB44B1"/>
    <w:pPr>
      <w:tabs>
        <w:tab w:val="center" w:pos="4680"/>
        <w:tab w:val="right" w:pos="9360"/>
      </w:tabs>
      <w:spacing w:line="240" w:lineRule="auto"/>
    </w:pPr>
  </w:style>
  <w:style w:type="character" w:customStyle="1" w:styleId="EncabezadoCar">
    <w:name w:val="Encabezado Car"/>
    <w:basedOn w:val="Fuentedeprrafopredeter"/>
    <w:link w:val="Encabezado"/>
    <w:uiPriority w:val="99"/>
    <w:rsid w:val="00FB44B1"/>
  </w:style>
  <w:style w:type="paragraph" w:styleId="Piedepgina">
    <w:name w:val="footer"/>
    <w:basedOn w:val="Normal"/>
    <w:link w:val="PiedepginaCar"/>
    <w:uiPriority w:val="99"/>
    <w:unhideWhenUsed/>
    <w:rsid w:val="00FB44B1"/>
    <w:pPr>
      <w:tabs>
        <w:tab w:val="center" w:pos="4680"/>
        <w:tab w:val="right" w:pos="9360"/>
      </w:tabs>
      <w:spacing w:line="240" w:lineRule="auto"/>
    </w:pPr>
  </w:style>
  <w:style w:type="character" w:customStyle="1" w:styleId="PiedepginaCar">
    <w:name w:val="Pie de página Car"/>
    <w:basedOn w:val="Fuentedeprrafopredeter"/>
    <w:link w:val="Piedepgina"/>
    <w:uiPriority w:val="99"/>
    <w:rsid w:val="00FB44B1"/>
  </w:style>
  <w:style w:type="paragraph" w:styleId="NormalWeb">
    <w:name w:val="Normal (Web)"/>
    <w:basedOn w:val="Normal"/>
    <w:uiPriority w:val="99"/>
    <w:unhideWhenUsed/>
    <w:rsid w:val="00545AA6"/>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TMLconformatoprevio">
    <w:name w:val="HTML Preformatted"/>
    <w:basedOn w:val="Normal"/>
    <w:link w:val="HTMLconformatoprevioCar"/>
    <w:uiPriority w:val="99"/>
    <w:unhideWhenUsed/>
    <w:rsid w:val="002311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val="en-US"/>
    </w:rPr>
  </w:style>
  <w:style w:type="character" w:customStyle="1" w:styleId="HTMLconformatoprevioCar">
    <w:name w:val="HTML con formato previo Car"/>
    <w:basedOn w:val="Fuentedeprrafopredeter"/>
    <w:link w:val="HTMLconformatoprevio"/>
    <w:uiPriority w:val="99"/>
    <w:rsid w:val="0023113C"/>
    <w:rPr>
      <w:rFonts w:ascii="Courier New" w:eastAsia="Times New Roman" w:hAnsi="Courier New" w:cs="Courier New"/>
      <w:sz w:val="20"/>
      <w:szCs w:val="20"/>
      <w:lang w:val="en-US"/>
    </w:rPr>
  </w:style>
  <w:style w:type="character" w:customStyle="1" w:styleId="y2iqfc">
    <w:name w:val="y2iqfc"/>
    <w:basedOn w:val="Fuentedeprrafopredeter"/>
    <w:rsid w:val="0023113C"/>
  </w:style>
  <w:style w:type="character" w:styleId="Hipervnculo">
    <w:name w:val="Hyperlink"/>
    <w:basedOn w:val="Fuentedeprrafopredeter"/>
    <w:uiPriority w:val="99"/>
    <w:unhideWhenUsed/>
    <w:rsid w:val="005179EF"/>
    <w:rPr>
      <w:color w:val="0000FF"/>
      <w:u w:val="single"/>
    </w:rPr>
  </w:style>
  <w:style w:type="character" w:customStyle="1" w:styleId="UnresolvedMention1">
    <w:name w:val="Unresolved Mention1"/>
    <w:basedOn w:val="Fuentedeprrafopredeter"/>
    <w:uiPriority w:val="99"/>
    <w:semiHidden/>
    <w:unhideWhenUsed/>
    <w:rsid w:val="00DC1F0D"/>
    <w:rPr>
      <w:color w:val="605E5C"/>
      <w:shd w:val="clear" w:color="auto" w:fill="E1DFDD"/>
    </w:rPr>
  </w:style>
  <w:style w:type="paragraph" w:styleId="Textoindependiente">
    <w:name w:val="Body Text"/>
    <w:basedOn w:val="Normal"/>
    <w:link w:val="TextoindependienteCar"/>
    <w:uiPriority w:val="1"/>
    <w:qFormat/>
    <w:rsid w:val="005860BC"/>
    <w:pPr>
      <w:widowControl w:val="0"/>
      <w:autoSpaceDE w:val="0"/>
      <w:autoSpaceDN w:val="0"/>
      <w:spacing w:line="240" w:lineRule="auto"/>
      <w:ind w:left="100"/>
      <w:jc w:val="both"/>
    </w:pPr>
    <w:rPr>
      <w:rFonts w:ascii="Arial MT" w:eastAsia="Arial MT" w:hAnsi="Arial MT" w:cs="Arial MT"/>
      <w:lang w:val="es-ES"/>
    </w:rPr>
  </w:style>
  <w:style w:type="character" w:customStyle="1" w:styleId="TextoindependienteCar">
    <w:name w:val="Texto independiente Car"/>
    <w:basedOn w:val="Fuentedeprrafopredeter"/>
    <w:link w:val="Textoindependiente"/>
    <w:uiPriority w:val="1"/>
    <w:rsid w:val="005860BC"/>
    <w:rPr>
      <w:rFonts w:ascii="Arial MT" w:eastAsia="Arial MT" w:hAnsi="Arial MT" w:cs="Arial MT"/>
      <w:lang w:val="es-ES"/>
    </w:rPr>
  </w:style>
  <w:style w:type="table" w:styleId="Tablaconcuadrcula">
    <w:name w:val="Table Grid"/>
    <w:aliases w:val="Estilo1"/>
    <w:basedOn w:val="Tablanormal"/>
    <w:uiPriority w:val="39"/>
    <w:rsid w:val="005860BC"/>
    <w:pPr>
      <w:spacing w:line="240" w:lineRule="auto"/>
    </w:pPr>
    <w:rPr>
      <w:rFonts w:asciiTheme="minorHAnsi" w:eastAsiaTheme="minorHAnsi" w:hAnsiTheme="minorHAnsi" w:cstheme="minorBidi"/>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Fuentedeprrafopredeter"/>
    <w:rsid w:val="005860BC"/>
  </w:style>
  <w:style w:type="character" w:styleId="Hipervnculovisitado">
    <w:name w:val="FollowedHyperlink"/>
    <w:basedOn w:val="Fuentedeprrafopredeter"/>
    <w:uiPriority w:val="99"/>
    <w:semiHidden/>
    <w:unhideWhenUsed/>
    <w:rsid w:val="00141C24"/>
    <w:rPr>
      <w:color w:val="800080" w:themeColor="followedHyperlink"/>
      <w:u w:val="single"/>
    </w:rPr>
  </w:style>
  <w:style w:type="character" w:customStyle="1" w:styleId="Mencinsinresolver1">
    <w:name w:val="Mención sin resolver1"/>
    <w:basedOn w:val="Fuentedeprrafopredeter"/>
    <w:uiPriority w:val="99"/>
    <w:semiHidden/>
    <w:unhideWhenUsed/>
    <w:rsid w:val="00141C24"/>
    <w:rPr>
      <w:color w:val="605E5C"/>
      <w:shd w:val="clear" w:color="auto" w:fill="E1DFDD"/>
    </w:rPr>
  </w:style>
  <w:style w:type="character" w:styleId="Refdecomentario">
    <w:name w:val="annotation reference"/>
    <w:basedOn w:val="Fuentedeprrafopredeter"/>
    <w:uiPriority w:val="99"/>
    <w:semiHidden/>
    <w:unhideWhenUsed/>
    <w:rsid w:val="00A0671C"/>
    <w:rPr>
      <w:sz w:val="16"/>
      <w:szCs w:val="16"/>
    </w:rPr>
  </w:style>
  <w:style w:type="paragraph" w:styleId="Textocomentario">
    <w:name w:val="annotation text"/>
    <w:basedOn w:val="Normal"/>
    <w:link w:val="TextocomentarioCar"/>
    <w:uiPriority w:val="99"/>
    <w:semiHidden/>
    <w:unhideWhenUsed/>
    <w:rsid w:val="00A0671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0671C"/>
    <w:rPr>
      <w:sz w:val="20"/>
      <w:szCs w:val="20"/>
    </w:rPr>
  </w:style>
  <w:style w:type="paragraph" w:styleId="Asuntodelcomentario">
    <w:name w:val="annotation subject"/>
    <w:basedOn w:val="Textocomentario"/>
    <w:next w:val="Textocomentario"/>
    <w:link w:val="AsuntodelcomentarioCar"/>
    <w:uiPriority w:val="99"/>
    <w:semiHidden/>
    <w:unhideWhenUsed/>
    <w:rsid w:val="00A0671C"/>
    <w:rPr>
      <w:b/>
      <w:bCs/>
    </w:rPr>
  </w:style>
  <w:style w:type="character" w:customStyle="1" w:styleId="AsuntodelcomentarioCar">
    <w:name w:val="Asunto del comentario Car"/>
    <w:basedOn w:val="TextocomentarioCar"/>
    <w:link w:val="Asuntodelcomentario"/>
    <w:uiPriority w:val="99"/>
    <w:semiHidden/>
    <w:rsid w:val="00A0671C"/>
    <w:rPr>
      <w:b/>
      <w:bCs/>
      <w:sz w:val="20"/>
      <w:szCs w:val="20"/>
    </w:rPr>
  </w:style>
  <w:style w:type="paragraph" w:styleId="Sinespaciado">
    <w:name w:val="No Spacing"/>
    <w:qFormat/>
    <w:rsid w:val="00F85F64"/>
    <w:pPr>
      <w:spacing w:line="240" w:lineRule="auto"/>
    </w:pPr>
    <w:rPr>
      <w:lang w:val="es" w:eastAsia="es-CR"/>
    </w:rPr>
  </w:style>
  <w:style w:type="character" w:customStyle="1" w:styleId="apple-converted-space">
    <w:name w:val="apple-converted-space"/>
    <w:basedOn w:val="Fuentedeprrafopredeter"/>
    <w:rsid w:val="00F85F64"/>
  </w:style>
  <w:style w:type="character" w:customStyle="1" w:styleId="Hyperlink2">
    <w:name w:val="Hyperlink.2"/>
    <w:basedOn w:val="Fuentedeprrafopredeter"/>
    <w:rsid w:val="00F85F64"/>
    <w:rPr>
      <w:rFonts w:ascii="Arial" w:eastAsia="Arial" w:hAnsi="Arial" w:cs="Arial" w:hint="default"/>
      <w:lang w:val="es-ES_tradnl"/>
    </w:rPr>
  </w:style>
  <w:style w:type="table" w:styleId="Tablaconcuadrcula1clara">
    <w:name w:val="Grid Table 1 Light"/>
    <w:basedOn w:val="Tablanormal"/>
    <w:uiPriority w:val="46"/>
    <w:rsid w:val="00794DEB"/>
    <w:pPr>
      <w:spacing w:line="240" w:lineRule="auto"/>
    </w:pPr>
    <w:rPr>
      <w:rFonts w:asciiTheme="minorHAnsi" w:eastAsiaTheme="minorHAnsi" w:hAnsiTheme="minorHAnsi" w:cstheme="minorBidi"/>
      <w:lang w:val="es-CR"/>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Descripcin">
    <w:name w:val="caption"/>
    <w:basedOn w:val="Normal"/>
    <w:next w:val="Normal"/>
    <w:uiPriority w:val="35"/>
    <w:unhideWhenUsed/>
    <w:qFormat/>
    <w:rsid w:val="00015739"/>
    <w:pPr>
      <w:widowControl w:val="0"/>
      <w:suppressAutoHyphens/>
      <w:autoSpaceDN w:val="0"/>
      <w:spacing w:after="200" w:line="240" w:lineRule="auto"/>
      <w:textAlignment w:val="baseline"/>
    </w:pPr>
    <w:rPr>
      <w:rFonts w:ascii="Liberation Serif" w:eastAsia="Segoe UI" w:hAnsi="Liberation Serif" w:cs="Mangal"/>
      <w:i/>
      <w:iCs/>
      <w:color w:val="1F497D" w:themeColor="text2"/>
      <w:kern w:val="3"/>
      <w:sz w:val="18"/>
      <w:szCs w:val="16"/>
      <w:lang w:val="es-CR" w:eastAsia="zh-CN" w:bidi="hi-IN"/>
    </w:rPr>
  </w:style>
  <w:style w:type="character" w:customStyle="1" w:styleId="Mencinsinresolver2">
    <w:name w:val="Mención sin resolver2"/>
    <w:basedOn w:val="Fuentedeprrafopredeter"/>
    <w:uiPriority w:val="99"/>
    <w:semiHidden/>
    <w:unhideWhenUsed/>
    <w:rsid w:val="00E05531"/>
    <w:rPr>
      <w:color w:val="605E5C"/>
      <w:shd w:val="clear" w:color="auto" w:fill="E1DFDD"/>
    </w:rPr>
  </w:style>
  <w:style w:type="character" w:customStyle="1" w:styleId="Ttulo1Car">
    <w:name w:val="Título 1 Car"/>
    <w:basedOn w:val="Fuentedeprrafopredeter"/>
    <w:link w:val="Ttulo1"/>
    <w:uiPriority w:val="9"/>
    <w:rsid w:val="00467A1E"/>
    <w:rPr>
      <w:b/>
      <w:sz w:val="24"/>
      <w:szCs w:val="28"/>
      <w:shd w:val="clear" w:color="auto" w:fill="C6D9F1" w:themeFill="text2" w:themeFillTint="33"/>
      <w:lang w:val="es-CR"/>
    </w:rPr>
  </w:style>
  <w:style w:type="paragraph" w:customStyle="1" w:styleId="Default">
    <w:name w:val="Default"/>
    <w:rsid w:val="002477D5"/>
    <w:pPr>
      <w:autoSpaceDE w:val="0"/>
      <w:autoSpaceDN w:val="0"/>
      <w:adjustRightInd w:val="0"/>
      <w:spacing w:line="240" w:lineRule="auto"/>
    </w:pPr>
    <w:rPr>
      <w:rFonts w:ascii="Helvetica Neue" w:eastAsiaTheme="minorHAnsi" w:hAnsi="Helvetica Neue" w:cs="Helvetica Neue"/>
      <w:color w:val="000000"/>
      <w:sz w:val="24"/>
      <w:szCs w:val="24"/>
      <w:lang w:val="en-US"/>
    </w:rPr>
  </w:style>
  <w:style w:type="character" w:styleId="Textodelmarcadordeposicin">
    <w:name w:val="Placeholder Text"/>
    <w:basedOn w:val="Fuentedeprrafopredeter"/>
    <w:uiPriority w:val="99"/>
    <w:semiHidden/>
    <w:rsid w:val="002477D5"/>
    <w:rPr>
      <w:color w:val="808080"/>
    </w:rPr>
  </w:style>
  <w:style w:type="character" w:customStyle="1" w:styleId="apple-tab-span">
    <w:name w:val="apple-tab-span"/>
    <w:basedOn w:val="Fuentedeprrafopredeter"/>
    <w:rsid w:val="002477D5"/>
  </w:style>
  <w:style w:type="paragraph" w:customStyle="1" w:styleId="Standard">
    <w:name w:val="Standard"/>
    <w:qFormat/>
    <w:rsid w:val="00200857"/>
    <w:pPr>
      <w:suppressAutoHyphens/>
      <w:autoSpaceDN w:val="0"/>
      <w:textAlignment w:val="baseline"/>
    </w:pPr>
    <w:rPr>
      <w:lang w:val="en-US" w:eastAsia="es-ES"/>
    </w:rPr>
  </w:style>
  <w:style w:type="numbering" w:customStyle="1" w:styleId="WWNum2">
    <w:name w:val="WWNum2"/>
    <w:basedOn w:val="Sinlista"/>
    <w:rsid w:val="00200857"/>
    <w:pPr>
      <w:numPr>
        <w:numId w:val="2"/>
      </w:numPr>
    </w:pPr>
  </w:style>
  <w:style w:type="numbering" w:customStyle="1" w:styleId="WWNum3">
    <w:name w:val="WWNum3"/>
    <w:basedOn w:val="Sinlista"/>
    <w:rsid w:val="00200857"/>
    <w:pPr>
      <w:numPr>
        <w:numId w:val="3"/>
      </w:numPr>
    </w:pPr>
  </w:style>
  <w:style w:type="numbering" w:customStyle="1" w:styleId="WWNum1">
    <w:name w:val="WWNum1"/>
    <w:basedOn w:val="Sinlista"/>
    <w:rsid w:val="00B42108"/>
    <w:pPr>
      <w:numPr>
        <w:numId w:val="4"/>
      </w:numPr>
    </w:pPr>
  </w:style>
  <w:style w:type="paragraph" w:customStyle="1" w:styleId="TableParagraph">
    <w:name w:val="Table Paragraph"/>
    <w:basedOn w:val="Normal"/>
    <w:uiPriority w:val="1"/>
    <w:qFormat/>
    <w:rsid w:val="001D7EE2"/>
    <w:pPr>
      <w:widowControl w:val="0"/>
      <w:autoSpaceDE w:val="0"/>
      <w:autoSpaceDN w:val="0"/>
      <w:spacing w:before="13" w:line="247" w:lineRule="exact"/>
      <w:ind w:left="110" w:right="52"/>
      <w:jc w:val="center"/>
    </w:pPr>
    <w:rPr>
      <w:rFonts w:ascii="Arial MT" w:eastAsia="Arial MT" w:hAnsi="Arial MT" w:cs="Arial MT"/>
      <w:lang w:val="es-ES"/>
    </w:rPr>
  </w:style>
  <w:style w:type="paragraph" w:styleId="Bibliografa">
    <w:name w:val="Bibliography"/>
    <w:basedOn w:val="Normal"/>
    <w:next w:val="Normal"/>
    <w:uiPriority w:val="37"/>
    <w:unhideWhenUsed/>
    <w:rsid w:val="008A4301"/>
  </w:style>
  <w:style w:type="paragraph" w:customStyle="1" w:styleId="BodyA">
    <w:name w:val="Body A"/>
    <w:rsid w:val="00870E10"/>
    <w:pPr>
      <w:pBdr>
        <w:top w:val="nil"/>
        <w:left w:val="nil"/>
        <w:bottom w:val="nil"/>
        <w:right w:val="nil"/>
        <w:between w:val="nil"/>
        <w:bar w:val="nil"/>
      </w:pBdr>
      <w:spacing w:line="240" w:lineRule="auto"/>
    </w:pPr>
    <w:rPr>
      <w:rFonts w:ascii="Times New Roman" w:eastAsia="Arial Unicode MS" w:hAnsi="Times New Roman" w:cs="Arial Unicode MS"/>
      <w:color w:val="000000"/>
      <w:sz w:val="24"/>
      <w:szCs w:val="24"/>
      <w:u w:color="000000"/>
      <w:bdr w:val="nil"/>
      <w:lang w:val="es-ES_tradnl"/>
      <w14:textOutline w14:w="12700" w14:cap="flat" w14:cmpd="sng" w14:algn="ctr">
        <w14:noFill/>
        <w14:prstDash w14:val="solid"/>
        <w14:miter w14:lim="400000"/>
      </w14:textOutline>
    </w:rPr>
  </w:style>
  <w:style w:type="paragraph" w:customStyle="1" w:styleId="Body">
    <w:name w:val="Body"/>
    <w:rsid w:val="00870E10"/>
    <w:pPr>
      <w:pBdr>
        <w:top w:val="nil"/>
        <w:left w:val="nil"/>
        <w:bottom w:val="nil"/>
        <w:right w:val="nil"/>
        <w:between w:val="nil"/>
        <w:bar w:val="nil"/>
      </w:pBdr>
      <w:spacing w:line="240" w:lineRule="auto"/>
    </w:pPr>
    <w:rPr>
      <w:rFonts w:ascii="Times New Roman" w:eastAsia="Arial Unicode MS" w:hAnsi="Times New Roman" w:cs="Arial Unicode MS"/>
      <w:color w:val="000000"/>
      <w:sz w:val="24"/>
      <w:szCs w:val="24"/>
      <w:u w:color="000000"/>
      <w:bdr w:val="nil"/>
      <w:lang w:val="es-ES_tradnl"/>
      <w14:textOutline w14:w="0" w14:cap="flat" w14:cmpd="sng" w14:algn="ctr">
        <w14:noFill/>
        <w14:prstDash w14:val="solid"/>
        <w14:bevel/>
      </w14:textOutline>
    </w:rPr>
  </w:style>
  <w:style w:type="numbering" w:customStyle="1" w:styleId="ImportedStyle2">
    <w:name w:val="Imported Style 2"/>
    <w:rsid w:val="00870E10"/>
    <w:pPr>
      <w:numPr>
        <w:numId w:val="5"/>
      </w:numPr>
    </w:pPr>
  </w:style>
  <w:style w:type="numbering" w:customStyle="1" w:styleId="ImportedStyle3">
    <w:name w:val="Imported Style 3"/>
    <w:rsid w:val="00870E10"/>
    <w:pPr>
      <w:numPr>
        <w:numId w:val="6"/>
      </w:numPr>
    </w:pPr>
  </w:style>
  <w:style w:type="table" w:styleId="Tabladelista3">
    <w:name w:val="List Table 3"/>
    <w:basedOn w:val="Tablanormal"/>
    <w:uiPriority w:val="48"/>
    <w:rsid w:val="00E13AF9"/>
    <w:pPr>
      <w:spacing w:line="240" w:lineRule="auto"/>
    </w:pPr>
    <w:rPr>
      <w:lang w:val="es-CR" w:eastAsia="es-MX"/>
    </w:rPr>
    <w:tblPr>
      <w:tblStyleRowBandSize w:val="1"/>
      <w:tblStyleColBandSize w:val="1"/>
      <w:tblInd w:w="0" w:type="nil"/>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Tabladelista31">
    <w:name w:val="Tabla de lista 31"/>
    <w:basedOn w:val="Tablanormal"/>
    <w:next w:val="Tabladelista3"/>
    <w:uiPriority w:val="48"/>
    <w:rsid w:val="004A3A02"/>
    <w:pPr>
      <w:spacing w:line="240" w:lineRule="auto"/>
    </w:pPr>
    <w:rPr>
      <w:lang w:val="es-CR" w:eastAsia="es-MX"/>
    </w:rPr>
    <w:tblPr>
      <w:tblStyleRowBandSize w:val="1"/>
      <w:tblStyleColBandSize w:val="1"/>
      <w:tblInd w:w="0" w:type="nil"/>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character" w:customStyle="1" w:styleId="anchor-text">
    <w:name w:val="anchor-text"/>
    <w:basedOn w:val="Fuentedeprrafopredeter"/>
    <w:rsid w:val="007E0AD1"/>
  </w:style>
  <w:style w:type="character" w:customStyle="1" w:styleId="pagesubhead">
    <w:name w:val="pagesubhead"/>
    <w:rsid w:val="00D128AE"/>
  </w:style>
  <w:style w:type="table" w:styleId="Sombreadoclaro">
    <w:name w:val="Light Shading"/>
    <w:basedOn w:val="Tablanormal"/>
    <w:uiPriority w:val="60"/>
    <w:rsid w:val="00D128AE"/>
    <w:pPr>
      <w:spacing w:line="240" w:lineRule="auto"/>
    </w:pPr>
    <w:rPr>
      <w:rFonts w:ascii="Calibri" w:eastAsia="Calibri" w:hAnsi="Calibri" w:cs="Times New Roman"/>
      <w:color w:val="000000"/>
      <w:sz w:val="20"/>
      <w:szCs w:val="20"/>
      <w:lang w:val="es-CR" w:eastAsia="es-CR"/>
    </w:rPr>
    <w:tblPr>
      <w:tblStyleRowBandSize w:val="1"/>
      <w:tblStyleColBandSize w:val="1"/>
      <w:tblBorders>
        <w:top w:val="single" w:sz="8" w:space="0" w:color="000000"/>
        <w:bottom w:val="single" w:sz="8" w:space="0" w:color="000000"/>
      </w:tblBorders>
    </w:tblPr>
    <w:tcPr>
      <w:shd w:val="clear" w:color="auto" w:fill="FFFFFF"/>
    </w:tc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Ttulo21">
    <w:name w:val="Título 21"/>
    <w:basedOn w:val="Normal"/>
    <w:rsid w:val="00D128AE"/>
    <w:pPr>
      <w:spacing w:line="240" w:lineRule="auto"/>
      <w:outlineLvl w:val="2"/>
    </w:pPr>
    <w:rPr>
      <w:rFonts w:ascii="Times New Roman" w:eastAsia="Times New Roman" w:hAnsi="Times New Roman" w:cs="Times New Roman"/>
      <w:color w:val="000080"/>
      <w:sz w:val="34"/>
      <w:szCs w:val="34"/>
      <w:lang w:val="es-ES" w:eastAsia="es-ES"/>
    </w:rPr>
  </w:style>
  <w:style w:type="paragraph" w:styleId="Textonotaalfinal">
    <w:name w:val="endnote text"/>
    <w:basedOn w:val="Normal"/>
    <w:link w:val="TextonotaalfinalCar"/>
    <w:uiPriority w:val="99"/>
    <w:unhideWhenUsed/>
    <w:rsid w:val="00D128AE"/>
    <w:pPr>
      <w:spacing w:line="240" w:lineRule="auto"/>
    </w:pPr>
    <w:rPr>
      <w:rFonts w:ascii="Calibri" w:eastAsia="Calibri" w:hAnsi="Calibri" w:cs="Times New Roman"/>
      <w:sz w:val="20"/>
      <w:szCs w:val="20"/>
      <w:lang w:val="x-none"/>
    </w:rPr>
  </w:style>
  <w:style w:type="character" w:customStyle="1" w:styleId="TextonotaalfinalCar">
    <w:name w:val="Texto nota al final Car"/>
    <w:basedOn w:val="Fuentedeprrafopredeter"/>
    <w:link w:val="Textonotaalfinal"/>
    <w:uiPriority w:val="99"/>
    <w:rsid w:val="00D128AE"/>
    <w:rPr>
      <w:rFonts w:ascii="Calibri" w:eastAsia="Calibri" w:hAnsi="Calibri" w:cs="Times New Roman"/>
      <w:sz w:val="20"/>
      <w:szCs w:val="20"/>
      <w:lang w:val="x-none"/>
    </w:rPr>
  </w:style>
  <w:style w:type="character" w:styleId="Textoennegrita">
    <w:name w:val="Strong"/>
    <w:uiPriority w:val="22"/>
    <w:qFormat/>
    <w:rsid w:val="00D128AE"/>
    <w:rPr>
      <w:b/>
      <w:bCs/>
    </w:rPr>
  </w:style>
  <w:style w:type="table" w:styleId="Sombreadoclaro-nfasis1">
    <w:name w:val="Light Shading Accent 1"/>
    <w:basedOn w:val="Tablanormal"/>
    <w:uiPriority w:val="60"/>
    <w:rsid w:val="00D128AE"/>
    <w:pPr>
      <w:spacing w:line="240" w:lineRule="auto"/>
    </w:pPr>
    <w:rPr>
      <w:rFonts w:ascii="Calibri" w:eastAsia="Calibri" w:hAnsi="Calibri" w:cs="Times New Roman"/>
      <w:color w:val="365F91"/>
      <w:lang w:val="es-CR"/>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Ttulo2Car">
    <w:name w:val="Título 2 Car"/>
    <w:link w:val="Ttulo2"/>
    <w:rsid w:val="00D128AE"/>
    <w:rPr>
      <w:sz w:val="32"/>
      <w:szCs w:val="32"/>
    </w:rPr>
  </w:style>
  <w:style w:type="table" w:styleId="Listaoscura-nfasis6">
    <w:name w:val="Dark List Accent 6"/>
    <w:basedOn w:val="Tablanormal"/>
    <w:uiPriority w:val="70"/>
    <w:rsid w:val="00D128AE"/>
    <w:pPr>
      <w:spacing w:line="240" w:lineRule="auto"/>
    </w:pPr>
    <w:rPr>
      <w:rFonts w:ascii="Calibri" w:eastAsia="Calibri" w:hAnsi="Calibri" w:cs="Times New Roman"/>
      <w:color w:val="FFFFFF"/>
      <w:sz w:val="20"/>
      <w:szCs w:val="20"/>
      <w:lang w:val="es-CR" w:eastAsia="es-C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TDC2">
    <w:name w:val="toc 2"/>
    <w:basedOn w:val="Normal"/>
    <w:next w:val="Normal"/>
    <w:autoRedefine/>
    <w:uiPriority w:val="39"/>
    <w:unhideWhenUsed/>
    <w:rsid w:val="00D128AE"/>
    <w:pPr>
      <w:spacing w:after="160" w:line="259" w:lineRule="auto"/>
      <w:ind w:left="220"/>
    </w:pPr>
    <w:rPr>
      <w:rFonts w:ascii="Calibri" w:eastAsia="Calibri" w:hAnsi="Calibri" w:cs="Times New Roman"/>
      <w:lang w:val="es-ES"/>
    </w:rPr>
  </w:style>
  <w:style w:type="paragraph" w:styleId="TDC3">
    <w:name w:val="toc 3"/>
    <w:basedOn w:val="Normal"/>
    <w:next w:val="Normal"/>
    <w:autoRedefine/>
    <w:uiPriority w:val="39"/>
    <w:unhideWhenUsed/>
    <w:rsid w:val="00D128AE"/>
    <w:pPr>
      <w:spacing w:after="160" w:line="259" w:lineRule="auto"/>
      <w:ind w:left="440"/>
    </w:pPr>
    <w:rPr>
      <w:rFonts w:ascii="Calibri" w:eastAsia="Calibri" w:hAnsi="Calibri" w:cs="Times New Roman"/>
      <w:lang w:val="es-ES"/>
    </w:rPr>
  </w:style>
  <w:style w:type="paragraph" w:styleId="TDC1">
    <w:name w:val="toc 1"/>
    <w:basedOn w:val="Normal"/>
    <w:next w:val="Normal"/>
    <w:autoRedefine/>
    <w:uiPriority w:val="39"/>
    <w:unhideWhenUsed/>
    <w:rsid w:val="00D128AE"/>
    <w:pPr>
      <w:spacing w:after="160" w:line="259" w:lineRule="auto"/>
    </w:pPr>
    <w:rPr>
      <w:rFonts w:ascii="Calibri" w:eastAsia="Calibri" w:hAnsi="Calibri" w:cs="Times New Roman"/>
      <w:lang w:val="es-ES"/>
    </w:rPr>
  </w:style>
  <w:style w:type="character" w:customStyle="1" w:styleId="Mencinsinresolver3">
    <w:name w:val="Mención sin resolver3"/>
    <w:uiPriority w:val="99"/>
    <w:semiHidden/>
    <w:unhideWhenUsed/>
    <w:rsid w:val="00D128AE"/>
    <w:rPr>
      <w:color w:val="605E5C"/>
      <w:shd w:val="clear" w:color="auto" w:fill="E1DFDD"/>
    </w:rPr>
  </w:style>
  <w:style w:type="character" w:customStyle="1" w:styleId="markedcontent">
    <w:name w:val="markedcontent"/>
    <w:basedOn w:val="Fuentedeprrafopredeter"/>
    <w:rsid w:val="00A5501E"/>
  </w:style>
  <w:style w:type="character" w:customStyle="1" w:styleId="Ninguno">
    <w:name w:val="Ninguno"/>
    <w:rsid w:val="008F4548"/>
  </w:style>
  <w:style w:type="paragraph" w:customStyle="1" w:styleId="CuerpoA">
    <w:name w:val="Cuerpo A"/>
    <w:rsid w:val="008F4548"/>
    <w:pPr>
      <w:pBdr>
        <w:top w:val="nil"/>
        <w:left w:val="nil"/>
        <w:bottom w:val="nil"/>
        <w:right w:val="nil"/>
        <w:between w:val="nil"/>
        <w:bar w:val="nil"/>
      </w:pBdr>
      <w:spacing w:line="288" w:lineRule="auto"/>
      <w:jc w:val="both"/>
    </w:pPr>
    <w:rPr>
      <w:rFonts w:ascii="Helvetica Neue" w:eastAsia="Arial Unicode MS" w:hAnsi="Helvetica Neue" w:cs="Arial Unicode MS"/>
      <w:color w:val="000000"/>
      <w:u w:color="000000"/>
      <w:bdr w:val="nil"/>
      <w:lang w:val="es-ES_tradnl" w:eastAsia="es-CR"/>
    </w:rPr>
  </w:style>
  <w:style w:type="paragraph" w:customStyle="1" w:styleId="Cuerpo">
    <w:name w:val="Cuerpo"/>
    <w:rsid w:val="008F4548"/>
    <w:pPr>
      <w:pBdr>
        <w:top w:val="nil"/>
        <w:left w:val="nil"/>
        <w:bottom w:val="nil"/>
        <w:right w:val="nil"/>
        <w:between w:val="nil"/>
        <w:bar w:val="nil"/>
      </w:pBdr>
      <w:spacing w:line="240" w:lineRule="auto"/>
    </w:pPr>
    <w:rPr>
      <w:rFonts w:ascii="Times New Roman" w:eastAsia="Times New Roman" w:hAnsi="Times New Roman" w:cs="Times New Roman"/>
      <w:color w:val="000000"/>
      <w:sz w:val="24"/>
      <w:szCs w:val="24"/>
      <w:u w:color="000000"/>
      <w:bdr w:val="nil"/>
      <w:lang w:val="es-CR" w:eastAsia="es-CR"/>
    </w:rPr>
  </w:style>
  <w:style w:type="numbering" w:customStyle="1" w:styleId="Nmero">
    <w:name w:val="Número"/>
    <w:rsid w:val="008F4548"/>
    <w:pPr>
      <w:numPr>
        <w:numId w:val="17"/>
      </w:numPr>
    </w:pPr>
  </w:style>
  <w:style w:type="character" w:customStyle="1" w:styleId="Hyperlink3">
    <w:name w:val="Hyperlink.3"/>
    <w:basedOn w:val="Ninguno"/>
    <w:rsid w:val="008F4548"/>
    <w:rPr>
      <w:color w:val="1A57AA"/>
    </w:rPr>
  </w:style>
  <w:style w:type="character" w:styleId="Mencinsinresolver">
    <w:name w:val="Unresolved Mention"/>
    <w:basedOn w:val="Fuentedeprrafopredeter"/>
    <w:uiPriority w:val="99"/>
    <w:semiHidden/>
    <w:unhideWhenUsed/>
    <w:rsid w:val="00B71F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16133">
      <w:bodyDiv w:val="1"/>
      <w:marLeft w:val="0"/>
      <w:marRight w:val="0"/>
      <w:marTop w:val="0"/>
      <w:marBottom w:val="0"/>
      <w:divBdr>
        <w:top w:val="none" w:sz="0" w:space="0" w:color="auto"/>
        <w:left w:val="none" w:sz="0" w:space="0" w:color="auto"/>
        <w:bottom w:val="none" w:sz="0" w:space="0" w:color="auto"/>
        <w:right w:val="none" w:sz="0" w:space="0" w:color="auto"/>
      </w:divBdr>
    </w:div>
    <w:div w:id="51929296">
      <w:bodyDiv w:val="1"/>
      <w:marLeft w:val="0"/>
      <w:marRight w:val="0"/>
      <w:marTop w:val="0"/>
      <w:marBottom w:val="0"/>
      <w:divBdr>
        <w:top w:val="none" w:sz="0" w:space="0" w:color="auto"/>
        <w:left w:val="none" w:sz="0" w:space="0" w:color="auto"/>
        <w:bottom w:val="none" w:sz="0" w:space="0" w:color="auto"/>
        <w:right w:val="none" w:sz="0" w:space="0" w:color="auto"/>
      </w:divBdr>
    </w:div>
    <w:div w:id="332876721">
      <w:bodyDiv w:val="1"/>
      <w:marLeft w:val="0"/>
      <w:marRight w:val="0"/>
      <w:marTop w:val="0"/>
      <w:marBottom w:val="0"/>
      <w:divBdr>
        <w:top w:val="none" w:sz="0" w:space="0" w:color="auto"/>
        <w:left w:val="none" w:sz="0" w:space="0" w:color="auto"/>
        <w:bottom w:val="none" w:sz="0" w:space="0" w:color="auto"/>
        <w:right w:val="none" w:sz="0" w:space="0" w:color="auto"/>
      </w:divBdr>
    </w:div>
    <w:div w:id="451755666">
      <w:bodyDiv w:val="1"/>
      <w:marLeft w:val="0"/>
      <w:marRight w:val="0"/>
      <w:marTop w:val="0"/>
      <w:marBottom w:val="0"/>
      <w:divBdr>
        <w:top w:val="none" w:sz="0" w:space="0" w:color="auto"/>
        <w:left w:val="none" w:sz="0" w:space="0" w:color="auto"/>
        <w:bottom w:val="none" w:sz="0" w:space="0" w:color="auto"/>
        <w:right w:val="none" w:sz="0" w:space="0" w:color="auto"/>
      </w:divBdr>
    </w:div>
    <w:div w:id="550775337">
      <w:bodyDiv w:val="1"/>
      <w:marLeft w:val="0"/>
      <w:marRight w:val="0"/>
      <w:marTop w:val="0"/>
      <w:marBottom w:val="0"/>
      <w:divBdr>
        <w:top w:val="none" w:sz="0" w:space="0" w:color="auto"/>
        <w:left w:val="none" w:sz="0" w:space="0" w:color="auto"/>
        <w:bottom w:val="none" w:sz="0" w:space="0" w:color="auto"/>
        <w:right w:val="none" w:sz="0" w:space="0" w:color="auto"/>
      </w:divBdr>
    </w:div>
    <w:div w:id="606621355">
      <w:bodyDiv w:val="1"/>
      <w:marLeft w:val="0"/>
      <w:marRight w:val="0"/>
      <w:marTop w:val="0"/>
      <w:marBottom w:val="0"/>
      <w:divBdr>
        <w:top w:val="none" w:sz="0" w:space="0" w:color="auto"/>
        <w:left w:val="none" w:sz="0" w:space="0" w:color="auto"/>
        <w:bottom w:val="none" w:sz="0" w:space="0" w:color="auto"/>
        <w:right w:val="none" w:sz="0" w:space="0" w:color="auto"/>
      </w:divBdr>
      <w:divsChild>
        <w:div w:id="1308246068">
          <w:marLeft w:val="0"/>
          <w:marRight w:val="0"/>
          <w:marTop w:val="0"/>
          <w:marBottom w:val="0"/>
          <w:divBdr>
            <w:top w:val="none" w:sz="0" w:space="0" w:color="auto"/>
            <w:left w:val="none" w:sz="0" w:space="0" w:color="auto"/>
            <w:bottom w:val="none" w:sz="0" w:space="0" w:color="auto"/>
            <w:right w:val="none" w:sz="0" w:space="0" w:color="auto"/>
          </w:divBdr>
        </w:div>
      </w:divsChild>
    </w:div>
    <w:div w:id="764618793">
      <w:bodyDiv w:val="1"/>
      <w:marLeft w:val="0"/>
      <w:marRight w:val="0"/>
      <w:marTop w:val="0"/>
      <w:marBottom w:val="0"/>
      <w:divBdr>
        <w:top w:val="none" w:sz="0" w:space="0" w:color="auto"/>
        <w:left w:val="none" w:sz="0" w:space="0" w:color="auto"/>
        <w:bottom w:val="none" w:sz="0" w:space="0" w:color="auto"/>
        <w:right w:val="none" w:sz="0" w:space="0" w:color="auto"/>
      </w:divBdr>
    </w:div>
    <w:div w:id="1029140865">
      <w:bodyDiv w:val="1"/>
      <w:marLeft w:val="0"/>
      <w:marRight w:val="0"/>
      <w:marTop w:val="0"/>
      <w:marBottom w:val="0"/>
      <w:divBdr>
        <w:top w:val="none" w:sz="0" w:space="0" w:color="auto"/>
        <w:left w:val="none" w:sz="0" w:space="0" w:color="auto"/>
        <w:bottom w:val="none" w:sz="0" w:space="0" w:color="auto"/>
        <w:right w:val="none" w:sz="0" w:space="0" w:color="auto"/>
      </w:divBdr>
      <w:divsChild>
        <w:div w:id="286208539">
          <w:marLeft w:val="0"/>
          <w:marRight w:val="0"/>
          <w:marTop w:val="0"/>
          <w:marBottom w:val="0"/>
          <w:divBdr>
            <w:top w:val="none" w:sz="0" w:space="0" w:color="auto"/>
            <w:left w:val="none" w:sz="0" w:space="0" w:color="auto"/>
            <w:bottom w:val="none" w:sz="0" w:space="0" w:color="auto"/>
            <w:right w:val="none" w:sz="0" w:space="0" w:color="auto"/>
          </w:divBdr>
        </w:div>
      </w:divsChild>
    </w:div>
    <w:div w:id="1176069937">
      <w:bodyDiv w:val="1"/>
      <w:marLeft w:val="0"/>
      <w:marRight w:val="0"/>
      <w:marTop w:val="0"/>
      <w:marBottom w:val="0"/>
      <w:divBdr>
        <w:top w:val="none" w:sz="0" w:space="0" w:color="auto"/>
        <w:left w:val="none" w:sz="0" w:space="0" w:color="auto"/>
        <w:bottom w:val="none" w:sz="0" w:space="0" w:color="auto"/>
        <w:right w:val="none" w:sz="0" w:space="0" w:color="auto"/>
      </w:divBdr>
      <w:divsChild>
        <w:div w:id="1213888595">
          <w:marLeft w:val="0"/>
          <w:marRight w:val="0"/>
          <w:marTop w:val="0"/>
          <w:marBottom w:val="0"/>
          <w:divBdr>
            <w:top w:val="none" w:sz="0" w:space="0" w:color="auto"/>
            <w:left w:val="none" w:sz="0" w:space="0" w:color="auto"/>
            <w:bottom w:val="none" w:sz="0" w:space="0" w:color="auto"/>
            <w:right w:val="none" w:sz="0" w:space="0" w:color="auto"/>
          </w:divBdr>
        </w:div>
      </w:divsChild>
    </w:div>
    <w:div w:id="1222597170">
      <w:bodyDiv w:val="1"/>
      <w:marLeft w:val="0"/>
      <w:marRight w:val="0"/>
      <w:marTop w:val="0"/>
      <w:marBottom w:val="0"/>
      <w:divBdr>
        <w:top w:val="none" w:sz="0" w:space="0" w:color="auto"/>
        <w:left w:val="none" w:sz="0" w:space="0" w:color="auto"/>
        <w:bottom w:val="none" w:sz="0" w:space="0" w:color="auto"/>
        <w:right w:val="none" w:sz="0" w:space="0" w:color="auto"/>
      </w:divBdr>
    </w:div>
    <w:div w:id="1312833801">
      <w:bodyDiv w:val="1"/>
      <w:marLeft w:val="0"/>
      <w:marRight w:val="0"/>
      <w:marTop w:val="0"/>
      <w:marBottom w:val="0"/>
      <w:divBdr>
        <w:top w:val="none" w:sz="0" w:space="0" w:color="auto"/>
        <w:left w:val="none" w:sz="0" w:space="0" w:color="auto"/>
        <w:bottom w:val="none" w:sz="0" w:space="0" w:color="auto"/>
        <w:right w:val="none" w:sz="0" w:space="0" w:color="auto"/>
      </w:divBdr>
    </w:div>
    <w:div w:id="1313870154">
      <w:bodyDiv w:val="1"/>
      <w:marLeft w:val="0"/>
      <w:marRight w:val="0"/>
      <w:marTop w:val="0"/>
      <w:marBottom w:val="0"/>
      <w:divBdr>
        <w:top w:val="none" w:sz="0" w:space="0" w:color="auto"/>
        <w:left w:val="none" w:sz="0" w:space="0" w:color="auto"/>
        <w:bottom w:val="none" w:sz="0" w:space="0" w:color="auto"/>
        <w:right w:val="none" w:sz="0" w:space="0" w:color="auto"/>
      </w:divBdr>
    </w:div>
    <w:div w:id="1402291775">
      <w:bodyDiv w:val="1"/>
      <w:marLeft w:val="0"/>
      <w:marRight w:val="0"/>
      <w:marTop w:val="0"/>
      <w:marBottom w:val="0"/>
      <w:divBdr>
        <w:top w:val="none" w:sz="0" w:space="0" w:color="auto"/>
        <w:left w:val="none" w:sz="0" w:space="0" w:color="auto"/>
        <w:bottom w:val="none" w:sz="0" w:space="0" w:color="auto"/>
        <w:right w:val="none" w:sz="0" w:space="0" w:color="auto"/>
      </w:divBdr>
    </w:div>
    <w:div w:id="1634824134">
      <w:bodyDiv w:val="1"/>
      <w:marLeft w:val="0"/>
      <w:marRight w:val="0"/>
      <w:marTop w:val="0"/>
      <w:marBottom w:val="0"/>
      <w:divBdr>
        <w:top w:val="none" w:sz="0" w:space="0" w:color="auto"/>
        <w:left w:val="none" w:sz="0" w:space="0" w:color="auto"/>
        <w:bottom w:val="none" w:sz="0" w:space="0" w:color="auto"/>
        <w:right w:val="none" w:sz="0" w:space="0" w:color="auto"/>
      </w:divBdr>
    </w:div>
    <w:div w:id="1646540740">
      <w:bodyDiv w:val="1"/>
      <w:marLeft w:val="0"/>
      <w:marRight w:val="0"/>
      <w:marTop w:val="0"/>
      <w:marBottom w:val="0"/>
      <w:divBdr>
        <w:top w:val="none" w:sz="0" w:space="0" w:color="auto"/>
        <w:left w:val="none" w:sz="0" w:space="0" w:color="auto"/>
        <w:bottom w:val="none" w:sz="0" w:space="0" w:color="auto"/>
        <w:right w:val="none" w:sz="0" w:space="0" w:color="auto"/>
      </w:divBdr>
    </w:div>
    <w:div w:id="1779527344">
      <w:bodyDiv w:val="1"/>
      <w:marLeft w:val="0"/>
      <w:marRight w:val="0"/>
      <w:marTop w:val="0"/>
      <w:marBottom w:val="0"/>
      <w:divBdr>
        <w:top w:val="none" w:sz="0" w:space="0" w:color="auto"/>
        <w:left w:val="none" w:sz="0" w:space="0" w:color="auto"/>
        <w:bottom w:val="none" w:sz="0" w:space="0" w:color="auto"/>
        <w:right w:val="none" w:sz="0" w:space="0" w:color="auto"/>
      </w:divBdr>
    </w:div>
    <w:div w:id="1865052504">
      <w:bodyDiv w:val="1"/>
      <w:marLeft w:val="0"/>
      <w:marRight w:val="0"/>
      <w:marTop w:val="0"/>
      <w:marBottom w:val="0"/>
      <w:divBdr>
        <w:top w:val="none" w:sz="0" w:space="0" w:color="auto"/>
        <w:left w:val="none" w:sz="0" w:space="0" w:color="auto"/>
        <w:bottom w:val="none" w:sz="0" w:space="0" w:color="auto"/>
        <w:right w:val="none" w:sz="0" w:space="0" w:color="auto"/>
      </w:divBdr>
      <w:divsChild>
        <w:div w:id="1299916228">
          <w:marLeft w:val="0"/>
          <w:marRight w:val="0"/>
          <w:marTop w:val="0"/>
          <w:marBottom w:val="0"/>
          <w:divBdr>
            <w:top w:val="none" w:sz="0" w:space="0" w:color="auto"/>
            <w:left w:val="none" w:sz="0" w:space="0" w:color="auto"/>
            <w:bottom w:val="none" w:sz="0" w:space="0" w:color="auto"/>
            <w:right w:val="none" w:sz="0" w:space="0" w:color="auto"/>
          </w:divBdr>
        </w:div>
      </w:divsChild>
    </w:div>
    <w:div w:id="2024818272">
      <w:bodyDiv w:val="1"/>
      <w:marLeft w:val="0"/>
      <w:marRight w:val="0"/>
      <w:marTop w:val="0"/>
      <w:marBottom w:val="0"/>
      <w:divBdr>
        <w:top w:val="none" w:sz="0" w:space="0" w:color="auto"/>
        <w:left w:val="none" w:sz="0" w:space="0" w:color="auto"/>
        <w:bottom w:val="none" w:sz="0" w:space="0" w:color="auto"/>
        <w:right w:val="none" w:sz="0" w:space="0" w:color="auto"/>
      </w:divBdr>
    </w:div>
    <w:div w:id="2070956711">
      <w:bodyDiv w:val="1"/>
      <w:marLeft w:val="0"/>
      <w:marRight w:val="0"/>
      <w:marTop w:val="0"/>
      <w:marBottom w:val="0"/>
      <w:divBdr>
        <w:top w:val="none" w:sz="0" w:space="0" w:color="auto"/>
        <w:left w:val="none" w:sz="0" w:space="0" w:color="auto"/>
        <w:bottom w:val="none" w:sz="0" w:space="0" w:color="auto"/>
        <w:right w:val="none" w:sz="0" w:space="0" w:color="auto"/>
      </w:divBdr>
    </w:div>
    <w:div w:id="20967831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png"/><Relationship Id="rId18" Type="http://schemas.openxmlformats.org/officeDocument/2006/relationships/hyperlink" Target="https://medicoscr.hulilabs.com/es/search/doctor/jose-ricardo-de-la-o-diaz?ref=sb"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revistamedicasinergia@gmail.com" TargetMode="External"/><Relationship Id="rId17" Type="http://schemas.openxmlformats.org/officeDocument/2006/relationships/hyperlink" Target="https://medicoscr.hulilabs.com/es/search/doctor/joseline-cisneros-orozco?ref=sb"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orcid.org/xxxxxxxxxxxx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https://www.redalyc.org/articulo.oa?id=231018676003" TargetMode="External"/><Relationship Id="rId5" Type="http://schemas.openxmlformats.org/officeDocument/2006/relationships/webSettings" Target="webSettings.xml"/><Relationship Id="rId15" Type="http://schemas.openxmlformats.org/officeDocument/2006/relationships/hyperlink" Target="https://orcid.org/xxxxxxxxxxxxx" TargetMode="External"/><Relationship Id="rId23" Type="http://schemas.openxmlformats.org/officeDocument/2006/relationships/image" Target="media/image7.png"/><Relationship Id="rId10" Type="http://schemas.openxmlformats.org/officeDocument/2006/relationships/hyperlink" Target="https://doi.org/10.31434/rms.v9i1.1130" TargetMode="External"/><Relationship Id="rId19" Type="http://schemas.openxmlformats.org/officeDocument/2006/relationships/hyperlink" Target="https://medicoscr.hulilabs.com/es/search/doctor/anthony-geovanny-mata-brenes?ref=sb"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https://orcid.org/xxxxxxxxxxxxx" TargetMode="External"/><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hyperlink" Target="http://revistamedicasinergia.com"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hyperlink" Target="http://revistamedicasinergia.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B0CE87-DADB-49B9-92CE-E20601DAB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2053</TotalTime>
  <Pages>10</Pages>
  <Words>4515</Words>
  <Characters>24833</Characters>
  <Application>Microsoft Office Word</Application>
  <DocSecurity>0</DocSecurity>
  <Lines>206</Lines>
  <Paragraphs>58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Fernanda Jimenez</dc:creator>
  <cp:keywords/>
  <dc:description/>
  <cp:lastModifiedBy>Esteban Sánchez Gaitán</cp:lastModifiedBy>
  <cp:revision>73</cp:revision>
  <cp:lastPrinted>2022-03-10T18:06:00Z</cp:lastPrinted>
  <dcterms:created xsi:type="dcterms:W3CDTF">2022-04-25T01:39:00Z</dcterms:created>
  <dcterms:modified xsi:type="dcterms:W3CDTF">2024-01-04T05:45:00Z</dcterms:modified>
</cp:coreProperties>
</file>