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44"/>
        <w:gridCol w:w="1144"/>
        <w:gridCol w:w="1133"/>
        <w:gridCol w:w="1163"/>
        <w:gridCol w:w="606"/>
        <w:gridCol w:w="2937"/>
      </w:tblGrid>
      <w:tr w:rsidR="005860BC" w:rsidRPr="00B73A85" w14:paraId="25C20707" w14:textId="77777777" w:rsidTr="00D4023C">
        <w:trPr>
          <w:trHeight w:val="247"/>
          <w:jc w:val="center"/>
        </w:trPr>
        <w:tc>
          <w:tcPr>
            <w:tcW w:w="1726"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2954"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0DF830F9" w:rsidR="005860BC" w:rsidRDefault="005860BC" w:rsidP="001B624D">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9E2369">
              <w:rPr>
                <w:rFonts w:ascii="Arial" w:eastAsia="Arial" w:hAnsi="Arial" w:cs="Arial"/>
                <w:color w:val="000000"/>
                <w:sz w:val="17"/>
                <w:szCs w:val="17"/>
              </w:rPr>
              <w:t xml:space="preserve"> </w:t>
            </w:r>
            <w:r w:rsidR="0049078E">
              <w:rPr>
                <w:rFonts w:ascii="Arial" w:eastAsia="Arial" w:hAnsi="Arial" w:cs="Arial"/>
                <w:color w:val="000000"/>
                <w:sz w:val="17"/>
                <w:szCs w:val="17"/>
              </w:rPr>
              <w:t>0</w:t>
            </w:r>
            <w:r w:rsidR="009E2369">
              <w:rPr>
                <w:rFonts w:ascii="Arial" w:eastAsia="Arial" w:hAnsi="Arial" w:cs="Arial"/>
                <w:color w:val="000000"/>
                <w:sz w:val="17"/>
                <w:szCs w:val="17"/>
              </w:rPr>
              <w:t>8</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FC2E2D">
              <w:rPr>
                <w:rFonts w:ascii="Arial" w:eastAsia="Arial" w:hAnsi="Arial" w:cs="Arial"/>
                <w:color w:val="000000"/>
                <w:sz w:val="17"/>
                <w:szCs w:val="17"/>
              </w:rPr>
              <w:t>1</w:t>
            </w:r>
            <w:r w:rsidR="001B624D">
              <w:rPr>
                <w:rFonts w:ascii="Arial" w:eastAsia="Arial" w:hAnsi="Arial" w:cs="Arial"/>
                <w:color w:val="000000"/>
                <w:sz w:val="17"/>
                <w:szCs w:val="17"/>
              </w:rPr>
              <w:t>1</w:t>
            </w:r>
            <w:r w:rsidRPr="004E5DEB">
              <w:rPr>
                <w:rFonts w:ascii="Arial" w:eastAsia="Arial" w:hAnsi="Arial" w:cs="Arial"/>
                <w:color w:val="000000"/>
                <w:sz w:val="17"/>
                <w:szCs w:val="17"/>
              </w:rPr>
              <w:t xml:space="preserve">, </w:t>
            </w:r>
            <w:r w:rsidR="001B624D">
              <w:rPr>
                <w:rFonts w:ascii="Arial" w:eastAsia="Arial" w:hAnsi="Arial" w:cs="Arial"/>
                <w:color w:val="000000"/>
                <w:sz w:val="17"/>
                <w:szCs w:val="17"/>
              </w:rPr>
              <w:t>noviembre</w:t>
            </w:r>
            <w:r>
              <w:rPr>
                <w:rFonts w:ascii="Arial" w:eastAsia="Arial" w:hAnsi="Arial" w:cs="Arial"/>
                <w:color w:val="000000"/>
                <w:sz w:val="17"/>
                <w:szCs w:val="17"/>
              </w:rPr>
              <w:t xml:space="preserve"> </w:t>
            </w:r>
            <w:r w:rsidRPr="004E5DEB">
              <w:rPr>
                <w:rFonts w:ascii="Arial" w:eastAsia="Arial" w:hAnsi="Arial" w:cs="Arial"/>
                <w:sz w:val="17"/>
                <w:szCs w:val="17"/>
              </w:rPr>
              <w:t>202</w:t>
            </w:r>
            <w:r w:rsidR="009E2369">
              <w:rPr>
                <w:rFonts w:ascii="Arial" w:eastAsia="Arial" w:hAnsi="Arial" w:cs="Arial"/>
                <w:sz w:val="17"/>
                <w:szCs w:val="17"/>
              </w:rPr>
              <w:t>3</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D76EE3">
              <w:rPr>
                <w:rFonts w:ascii="Arial" w:eastAsia="Arial" w:hAnsi="Arial" w:cs="Arial"/>
                <w:sz w:val="17"/>
                <w:szCs w:val="17"/>
              </w:rPr>
              <w:t>1115</w:t>
            </w:r>
          </w:p>
        </w:tc>
        <w:tc>
          <w:tcPr>
            <w:tcW w:w="123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2840" w:type="dxa"/>
            <w:vAlign w:val="center"/>
          </w:tcPr>
          <w:p w14:paraId="1A5764C8" w14:textId="2D872F70" w:rsidR="005860BC" w:rsidRPr="009604E4" w:rsidRDefault="00B73A85" w:rsidP="00E87B35">
            <w:pPr>
              <w:ind w:left="-99"/>
              <w:jc w:val="right"/>
              <w:rPr>
                <w:sz w:val="16"/>
                <w:szCs w:val="16"/>
                <w:u w:val="single"/>
                <w:lang w:val="es-CR"/>
              </w:rPr>
            </w:pPr>
            <w:hyperlink r:id="rId10" w:history="1">
              <w:r w:rsidR="00D76EE3" w:rsidRPr="002C479C">
                <w:rPr>
                  <w:rStyle w:val="Hipervnculo"/>
                  <w:bCs/>
                  <w:sz w:val="16"/>
                  <w:szCs w:val="16"/>
                </w:rPr>
                <w:t>https://doi.org/10.31434/rms.v8i11.1115</w:t>
              </w:r>
            </w:hyperlink>
            <w:r w:rsidR="00D76EE3">
              <w:rPr>
                <w:bCs/>
                <w:sz w:val="16"/>
                <w:szCs w:val="16"/>
              </w:rPr>
              <w:t xml:space="preserve"> </w:t>
            </w:r>
          </w:p>
        </w:tc>
      </w:tr>
      <w:tr w:rsidR="005860BC" w14:paraId="60FFB9C6" w14:textId="77777777" w:rsidTr="00D4023C">
        <w:trPr>
          <w:trHeight w:val="404"/>
          <w:jc w:val="center"/>
        </w:trPr>
        <w:tc>
          <w:tcPr>
            <w:tcW w:w="1726"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2954"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3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40" w:type="dxa"/>
            <w:vAlign w:val="center"/>
          </w:tcPr>
          <w:p w14:paraId="07EB17E1" w14:textId="77777777" w:rsidR="005860BC" w:rsidRPr="005557B5" w:rsidRDefault="00B73A85"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452135" w14:paraId="77F99B58" w14:textId="77777777" w:rsidTr="00D4023C">
        <w:trPr>
          <w:jc w:val="center"/>
        </w:trPr>
        <w:tc>
          <w:tcPr>
            <w:tcW w:w="9356"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3572E5EE" w14:textId="77777777" w:rsidR="00452135" w:rsidRDefault="001B624D" w:rsidP="001B624D">
            <w:pPr>
              <w:spacing w:line="276" w:lineRule="auto"/>
              <w:jc w:val="center"/>
              <w:rPr>
                <w:rFonts w:eastAsia="TimesNewRomanPS-BoldMT"/>
                <w:b/>
                <w:bCs/>
                <w:color w:val="000000"/>
                <w:sz w:val="28"/>
                <w:szCs w:val="28"/>
                <w:lang w:val="es-CR"/>
              </w:rPr>
            </w:pPr>
            <w:r w:rsidRPr="001B624D">
              <w:rPr>
                <w:rFonts w:eastAsia="TimesNewRomanPS-BoldMT"/>
                <w:b/>
                <w:bCs/>
                <w:color w:val="000000"/>
                <w:sz w:val="28"/>
                <w:szCs w:val="28"/>
                <w:lang w:val="es-CR"/>
              </w:rPr>
              <w:t>A</w:t>
            </w:r>
            <w:r w:rsidR="00452135" w:rsidRPr="00452135">
              <w:rPr>
                <w:rFonts w:eastAsia="TimesNewRomanPS-BoldMT"/>
                <w:b/>
                <w:bCs/>
                <w:color w:val="000000"/>
                <w:sz w:val="28"/>
                <w:szCs w:val="28"/>
                <w:lang w:val="es-CR"/>
              </w:rPr>
              <w:t>sociación entre la aplicación de la vacuna y la presencia o ausencia de la enfermedad COVID-19</w:t>
            </w:r>
          </w:p>
          <w:p w14:paraId="5DE01103" w14:textId="315C36C3" w:rsidR="00601DC5" w:rsidRPr="00452135" w:rsidRDefault="00C32A68" w:rsidP="001B624D">
            <w:pPr>
              <w:spacing w:line="308" w:lineRule="auto"/>
              <w:ind w:right="-40"/>
              <w:jc w:val="center"/>
              <w:rPr>
                <w:rFonts w:ascii="Arial" w:eastAsia="Arial" w:hAnsi="Arial" w:cs="Arial"/>
                <w:bCs/>
                <w:color w:val="202124"/>
                <w:szCs w:val="32"/>
                <w:lang w:val="en-US"/>
              </w:rPr>
            </w:pPr>
            <w:r w:rsidRPr="00C32A68">
              <w:rPr>
                <w:rFonts w:ascii="Arial" w:hAnsi="Arial" w:cs="Arial"/>
                <w:sz w:val="26"/>
                <w:szCs w:val="26"/>
                <w:lang w:val="en-US"/>
              </w:rPr>
              <w:t>Association between the application of the vaccine and the presence or absence of the COVID-19 disease</w:t>
            </w:r>
          </w:p>
        </w:tc>
      </w:tr>
      <w:tr w:rsidR="005860BC" w:rsidRPr="001C7CA1" w14:paraId="0C5B1BB9" w14:textId="77777777" w:rsidTr="00D4023C">
        <w:trPr>
          <w:trHeight w:val="1010"/>
          <w:jc w:val="center"/>
        </w:trPr>
        <w:tc>
          <w:tcPr>
            <w:tcW w:w="2290" w:type="dxa"/>
            <w:gridSpan w:val="2"/>
            <w:vAlign w:val="center"/>
          </w:tcPr>
          <w:p w14:paraId="3DC97774" w14:textId="3B61305C" w:rsidR="005860BC" w:rsidRPr="00452135" w:rsidRDefault="00B629BC" w:rsidP="003757A9">
            <w:pPr>
              <w:jc w:val="center"/>
              <w:rPr>
                <w:rFonts w:ascii="Arial" w:hAnsi="Arial" w:cs="Arial"/>
                <w:b/>
                <w:sz w:val="24"/>
                <w:szCs w:val="28"/>
                <w:lang w:val="en-US"/>
              </w:rPr>
            </w:pPr>
            <w:r>
              <w:rPr>
                <w:noProof/>
              </w:rPr>
              <w:drawing>
                <wp:inline distT="0" distB="0" distL="0" distR="0" wp14:anchorId="1A890FE4" wp14:editId="3D046C83">
                  <wp:extent cx="1429200" cy="1440000"/>
                  <wp:effectExtent l="0" t="0" r="0" b="8255"/>
                  <wp:docPr id="17800118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11892" name=""/>
                          <pic:cNvPicPr/>
                        </pic:nvPicPr>
                        <pic:blipFill>
                          <a:blip r:embed="rId13"/>
                          <a:stretch>
                            <a:fillRect/>
                          </a:stretch>
                        </pic:blipFill>
                        <pic:spPr>
                          <a:xfrm>
                            <a:off x="0" y="0"/>
                            <a:ext cx="1429200" cy="1440000"/>
                          </a:xfrm>
                          <a:prstGeom prst="rect">
                            <a:avLst/>
                          </a:prstGeom>
                        </pic:spPr>
                      </pic:pic>
                    </a:graphicData>
                  </a:graphic>
                </wp:inline>
              </w:drawing>
            </w:r>
          </w:p>
        </w:tc>
        <w:tc>
          <w:tcPr>
            <w:tcW w:w="7066" w:type="dxa"/>
            <w:gridSpan w:val="5"/>
            <w:vAlign w:val="center"/>
          </w:tcPr>
          <w:p w14:paraId="1ABDD7D0" w14:textId="48286964" w:rsidR="009E2369" w:rsidRPr="001C7CA1" w:rsidRDefault="00AE5EA0" w:rsidP="001333F2">
            <w:pPr>
              <w:spacing w:line="276" w:lineRule="auto"/>
              <w:jc w:val="right"/>
              <w:rPr>
                <w:rFonts w:ascii="Arial" w:hAnsi="Arial" w:cs="Arial"/>
                <w:b/>
                <w:bCs/>
                <w:sz w:val="20"/>
                <w:szCs w:val="20"/>
                <w:lang w:val="es-CR"/>
              </w:rPr>
            </w:pPr>
            <w:r w:rsidRPr="001C7CA1">
              <w:rPr>
                <w:rFonts w:ascii="Arial" w:hAnsi="Arial" w:cs="Arial"/>
                <w:b/>
                <w:bCs/>
                <w:sz w:val="20"/>
                <w:szCs w:val="20"/>
                <w:vertAlign w:val="superscript"/>
                <w:lang w:val="es-CR"/>
              </w:rPr>
              <w:t>1</w:t>
            </w:r>
            <w:r w:rsidR="004E0917" w:rsidRPr="001C7CA1">
              <w:rPr>
                <w:sz w:val="20"/>
                <w:szCs w:val="20"/>
              </w:rPr>
              <w:t xml:space="preserve"> </w:t>
            </w:r>
            <w:r w:rsidR="004A744D" w:rsidRPr="001C7CA1">
              <w:rPr>
                <w:rFonts w:ascii="Arial" w:hAnsi="Arial" w:cs="Arial"/>
                <w:b/>
                <w:bCs/>
                <w:sz w:val="20"/>
                <w:szCs w:val="20"/>
                <w:lang w:val="es-CR"/>
              </w:rPr>
              <w:t>Dra. Nohely López Aguilar</w:t>
            </w:r>
          </w:p>
          <w:p w14:paraId="0FC309CC" w14:textId="6836B55F" w:rsidR="00AD3CE5" w:rsidRPr="001C7CA1" w:rsidRDefault="00C71F4A" w:rsidP="00AD3CE5">
            <w:pPr>
              <w:pStyle w:val="Prrafodelista"/>
              <w:spacing w:line="276" w:lineRule="auto"/>
              <w:jc w:val="right"/>
              <w:rPr>
                <w:rFonts w:ascii="Arial" w:hAnsi="Arial" w:cs="Arial"/>
                <w:sz w:val="20"/>
                <w:szCs w:val="20"/>
                <w:lang w:val="es-CR"/>
              </w:rPr>
            </w:pPr>
            <w:r w:rsidRPr="001C7CA1">
              <w:rPr>
                <w:rFonts w:ascii="Arial" w:hAnsi="Arial" w:cs="Arial"/>
                <w:sz w:val="20"/>
                <w:szCs w:val="20"/>
                <w:lang w:val="es-CR"/>
              </w:rPr>
              <w:t xml:space="preserve">Unidad de Medicina Familiar </w:t>
            </w:r>
            <w:proofErr w:type="spellStart"/>
            <w:r w:rsidRPr="001C7CA1">
              <w:rPr>
                <w:rFonts w:ascii="Arial" w:hAnsi="Arial" w:cs="Arial"/>
                <w:sz w:val="20"/>
                <w:szCs w:val="20"/>
                <w:lang w:val="es-CR"/>
              </w:rPr>
              <w:t>Nº</w:t>
            </w:r>
            <w:proofErr w:type="spellEnd"/>
            <w:r w:rsidRPr="001C7CA1">
              <w:rPr>
                <w:rFonts w:ascii="Arial" w:hAnsi="Arial" w:cs="Arial"/>
                <w:sz w:val="20"/>
                <w:szCs w:val="20"/>
                <w:lang w:val="es-CR"/>
              </w:rPr>
              <w:t xml:space="preserve"> 62 - Instituto Mexicano del Seguro Social, Cuautitlán, México</w:t>
            </w:r>
          </w:p>
          <w:p w14:paraId="08C18108" w14:textId="42BD7D40" w:rsidR="00FC2E2D" w:rsidRPr="001C7CA1" w:rsidRDefault="00B73A85" w:rsidP="004A744D">
            <w:pPr>
              <w:pStyle w:val="Prrafodelista"/>
              <w:numPr>
                <w:ilvl w:val="0"/>
                <w:numId w:val="1"/>
              </w:numPr>
              <w:jc w:val="right"/>
              <w:rPr>
                <w:sz w:val="20"/>
                <w:szCs w:val="20"/>
                <w:lang w:val="es-CR"/>
              </w:rPr>
            </w:pPr>
            <w:hyperlink r:id="rId14" w:history="1">
              <w:r w:rsidR="00AD3CE5" w:rsidRPr="001C7CA1">
                <w:rPr>
                  <w:rStyle w:val="Hipervnculo"/>
                  <w:sz w:val="20"/>
                  <w:szCs w:val="20"/>
                  <w:lang w:val="es-CR"/>
                </w:rPr>
                <w:t>https://orcid.org/0000-0003-3954-4067</w:t>
              </w:r>
            </w:hyperlink>
            <w:r w:rsidR="00AD3CE5" w:rsidRPr="001C7CA1">
              <w:rPr>
                <w:sz w:val="20"/>
                <w:szCs w:val="20"/>
                <w:lang w:val="es-CR"/>
              </w:rPr>
              <w:t xml:space="preserve"> </w:t>
            </w:r>
          </w:p>
          <w:p w14:paraId="2162B70D" w14:textId="15D8F4F3" w:rsidR="005860BC" w:rsidRPr="001C7CA1" w:rsidRDefault="00FC2E2D" w:rsidP="004A744D">
            <w:pPr>
              <w:jc w:val="right"/>
              <w:rPr>
                <w:sz w:val="20"/>
                <w:szCs w:val="20"/>
                <w:lang w:val="es-CR"/>
              </w:rPr>
            </w:pPr>
            <w:r w:rsidRPr="001C7CA1">
              <w:rPr>
                <w:sz w:val="20"/>
                <w:szCs w:val="20"/>
                <w:lang w:val="es-CR"/>
              </w:rPr>
              <w:t xml:space="preserve"> </w:t>
            </w:r>
          </w:p>
          <w:p w14:paraId="3F9C1365" w14:textId="36307D51" w:rsidR="00D4023C" w:rsidRPr="001C7CA1" w:rsidRDefault="00FA4EFF" w:rsidP="00D4023C">
            <w:pPr>
              <w:jc w:val="right"/>
              <w:rPr>
                <w:b/>
                <w:bCs/>
                <w:sz w:val="20"/>
                <w:szCs w:val="20"/>
                <w:lang w:val="es-CR"/>
              </w:rPr>
            </w:pPr>
            <w:r w:rsidRPr="00FA4EFF">
              <w:rPr>
                <w:b/>
                <w:bCs/>
                <w:sz w:val="20"/>
                <w:szCs w:val="20"/>
                <w:vertAlign w:val="superscript"/>
                <w:lang w:val="es-CR"/>
              </w:rPr>
              <w:t>2</w:t>
            </w:r>
            <w:r>
              <w:rPr>
                <w:b/>
                <w:bCs/>
                <w:sz w:val="20"/>
                <w:szCs w:val="20"/>
                <w:lang w:val="es-CR"/>
              </w:rPr>
              <w:t xml:space="preserve"> </w:t>
            </w:r>
            <w:r w:rsidR="00D4023C" w:rsidRPr="001C7CA1">
              <w:rPr>
                <w:b/>
                <w:bCs/>
                <w:sz w:val="20"/>
                <w:szCs w:val="20"/>
                <w:lang w:val="es-CR"/>
              </w:rPr>
              <w:t>Dr. Rubén Ríos Morales</w:t>
            </w:r>
          </w:p>
          <w:p w14:paraId="2F6703AD" w14:textId="77777777" w:rsidR="00D4023C" w:rsidRPr="001C7CA1" w:rsidRDefault="00D4023C" w:rsidP="00D4023C">
            <w:pPr>
              <w:jc w:val="right"/>
              <w:rPr>
                <w:sz w:val="20"/>
                <w:szCs w:val="20"/>
                <w:lang w:val="es-CR"/>
              </w:rPr>
            </w:pPr>
            <w:r w:rsidRPr="001C7CA1">
              <w:rPr>
                <w:sz w:val="20"/>
                <w:szCs w:val="20"/>
                <w:lang w:val="es-CR"/>
              </w:rPr>
              <w:t xml:space="preserve">Unidad de Medicina Familiar </w:t>
            </w:r>
            <w:proofErr w:type="spellStart"/>
            <w:r w:rsidRPr="001C7CA1">
              <w:rPr>
                <w:sz w:val="20"/>
                <w:szCs w:val="20"/>
                <w:lang w:val="es-CR"/>
              </w:rPr>
              <w:t>Nº</w:t>
            </w:r>
            <w:proofErr w:type="spellEnd"/>
            <w:r w:rsidRPr="001C7CA1">
              <w:rPr>
                <w:sz w:val="20"/>
                <w:szCs w:val="20"/>
                <w:lang w:val="es-CR"/>
              </w:rPr>
              <w:t xml:space="preserve"> 62 - Instituto Mexicano del Seguro Social, Cuautitlán, México</w:t>
            </w:r>
          </w:p>
          <w:p w14:paraId="1E04D080" w14:textId="71264D36" w:rsidR="00D4023C" w:rsidRPr="001C7CA1" w:rsidRDefault="00D4023C" w:rsidP="00D4023C">
            <w:pPr>
              <w:pStyle w:val="Prrafodelista"/>
              <w:numPr>
                <w:ilvl w:val="0"/>
                <w:numId w:val="1"/>
              </w:numPr>
              <w:jc w:val="right"/>
              <w:rPr>
                <w:sz w:val="20"/>
                <w:szCs w:val="20"/>
                <w:lang w:val="es-CR"/>
              </w:rPr>
            </w:pPr>
            <w:r w:rsidRPr="001C7CA1">
              <w:rPr>
                <w:sz w:val="20"/>
                <w:szCs w:val="20"/>
                <w:lang w:val="es-CR"/>
              </w:rPr>
              <w:t xml:space="preserve"> </w:t>
            </w:r>
            <w:hyperlink r:id="rId15" w:history="1">
              <w:r w:rsidRPr="001C7CA1">
                <w:rPr>
                  <w:rStyle w:val="Hipervnculo"/>
                  <w:sz w:val="20"/>
                  <w:szCs w:val="20"/>
                  <w:lang w:val="es-CR"/>
                </w:rPr>
                <w:t>https://orcid.org/0000-0001-5173-4635</w:t>
              </w:r>
            </w:hyperlink>
            <w:r w:rsidRPr="001C7CA1">
              <w:rPr>
                <w:sz w:val="20"/>
                <w:szCs w:val="20"/>
                <w:lang w:val="es-CR"/>
              </w:rPr>
              <w:t xml:space="preserve"> </w:t>
            </w:r>
          </w:p>
          <w:p w14:paraId="700509EF" w14:textId="40819723" w:rsidR="00AD3CE5" w:rsidRPr="001C7CA1" w:rsidRDefault="00D4023C" w:rsidP="00D4023C">
            <w:pPr>
              <w:jc w:val="right"/>
              <w:rPr>
                <w:sz w:val="20"/>
                <w:szCs w:val="20"/>
                <w:lang w:val="es-CR"/>
              </w:rPr>
            </w:pPr>
            <w:r w:rsidRPr="001C7CA1">
              <w:rPr>
                <w:sz w:val="20"/>
                <w:szCs w:val="20"/>
                <w:lang w:val="es-CR"/>
              </w:rPr>
              <w:t xml:space="preserve"> </w:t>
            </w:r>
          </w:p>
        </w:tc>
      </w:tr>
      <w:tr w:rsidR="005860BC" w14:paraId="46C2D20E" w14:textId="77777777" w:rsidTr="00D4023C">
        <w:trPr>
          <w:trHeight w:val="432"/>
          <w:jc w:val="center"/>
        </w:trPr>
        <w:tc>
          <w:tcPr>
            <w:tcW w:w="3498" w:type="dxa"/>
            <w:gridSpan w:val="3"/>
            <w:vAlign w:val="center"/>
          </w:tcPr>
          <w:p w14:paraId="1E435277" w14:textId="77777777" w:rsidR="005860BC" w:rsidRPr="003D1ADF" w:rsidRDefault="005860BC" w:rsidP="003757A9">
            <w:pPr>
              <w:spacing w:line="276" w:lineRule="auto"/>
              <w:jc w:val="center"/>
              <w:rPr>
                <w:rFonts w:ascii="Arial" w:eastAsia="Arial" w:hAnsi="Arial" w:cs="Arial"/>
                <w:sz w:val="16"/>
                <w:szCs w:val="16"/>
              </w:rPr>
            </w:pPr>
            <w:r w:rsidRPr="003D1ADF">
              <w:rPr>
                <w:rFonts w:ascii="Arial" w:eastAsia="Arial" w:hAnsi="Arial" w:cs="Arial"/>
                <w:sz w:val="16"/>
                <w:szCs w:val="16"/>
              </w:rPr>
              <w:t>Recibido</w:t>
            </w:r>
          </w:p>
          <w:p w14:paraId="17BF52EF" w14:textId="104FDF69" w:rsidR="005860BC" w:rsidRPr="003D1ADF" w:rsidRDefault="000C3C97" w:rsidP="003757A9">
            <w:pPr>
              <w:jc w:val="center"/>
              <w:rPr>
                <w:rFonts w:ascii="Arial" w:eastAsia="Arial" w:hAnsi="Arial" w:cs="Arial"/>
                <w:sz w:val="15"/>
                <w:szCs w:val="15"/>
              </w:rPr>
            </w:pPr>
            <w:r w:rsidRPr="003D1ADF">
              <w:rPr>
                <w:rFonts w:ascii="Arial" w:eastAsia="Arial" w:hAnsi="Arial" w:cs="Arial"/>
                <w:sz w:val="15"/>
                <w:szCs w:val="15"/>
              </w:rPr>
              <w:t>29</w:t>
            </w:r>
            <w:r w:rsidR="005860BC" w:rsidRPr="003D1ADF">
              <w:rPr>
                <w:rFonts w:ascii="Arial" w:eastAsia="Arial" w:hAnsi="Arial" w:cs="Arial"/>
                <w:sz w:val="15"/>
                <w:szCs w:val="15"/>
              </w:rPr>
              <w:t>/</w:t>
            </w:r>
            <w:r w:rsidRPr="003D1ADF">
              <w:rPr>
                <w:rFonts w:ascii="Arial" w:eastAsia="Arial" w:hAnsi="Arial" w:cs="Arial"/>
                <w:sz w:val="15"/>
                <w:szCs w:val="15"/>
              </w:rPr>
              <w:t>05</w:t>
            </w:r>
            <w:r w:rsidR="005860BC" w:rsidRPr="003D1ADF">
              <w:rPr>
                <w:rFonts w:ascii="Arial" w:eastAsia="Arial" w:hAnsi="Arial" w:cs="Arial"/>
                <w:sz w:val="15"/>
                <w:szCs w:val="15"/>
              </w:rPr>
              <w:t>/202</w:t>
            </w:r>
            <w:r w:rsidR="006A1A38" w:rsidRPr="003D1ADF">
              <w:rPr>
                <w:rFonts w:ascii="Arial" w:eastAsia="Arial" w:hAnsi="Arial" w:cs="Arial"/>
                <w:sz w:val="15"/>
                <w:szCs w:val="15"/>
              </w:rPr>
              <w:t>3</w:t>
            </w:r>
          </w:p>
          <w:p w14:paraId="21DD5B0A" w14:textId="77777777" w:rsidR="005860BC" w:rsidRPr="003D1ADF" w:rsidRDefault="005860BC" w:rsidP="003757A9">
            <w:pPr>
              <w:jc w:val="center"/>
              <w:rPr>
                <w:rFonts w:ascii="Arial" w:eastAsia="Arial" w:hAnsi="Arial" w:cs="Arial"/>
                <w:sz w:val="15"/>
                <w:szCs w:val="15"/>
              </w:rPr>
            </w:pPr>
          </w:p>
        </w:tc>
        <w:tc>
          <w:tcPr>
            <w:tcW w:w="2412" w:type="dxa"/>
            <w:gridSpan w:val="2"/>
            <w:vAlign w:val="center"/>
          </w:tcPr>
          <w:p w14:paraId="43FA5BA9" w14:textId="77777777" w:rsidR="005860BC" w:rsidRPr="003D1ADF" w:rsidRDefault="005860BC" w:rsidP="003757A9">
            <w:pPr>
              <w:spacing w:line="276" w:lineRule="auto"/>
              <w:jc w:val="center"/>
              <w:rPr>
                <w:rFonts w:ascii="Arial" w:eastAsia="Arial" w:hAnsi="Arial" w:cs="Arial"/>
                <w:sz w:val="16"/>
                <w:szCs w:val="16"/>
              </w:rPr>
            </w:pPr>
            <w:r w:rsidRPr="003D1ADF">
              <w:rPr>
                <w:rFonts w:ascii="Arial" w:eastAsia="Arial" w:hAnsi="Arial" w:cs="Arial"/>
                <w:sz w:val="16"/>
                <w:szCs w:val="16"/>
              </w:rPr>
              <w:t>Corregido</w:t>
            </w:r>
          </w:p>
          <w:p w14:paraId="769B31BE" w14:textId="68A46A87" w:rsidR="005860BC" w:rsidRPr="003D1ADF" w:rsidRDefault="003D1ADF" w:rsidP="003757A9">
            <w:pPr>
              <w:jc w:val="center"/>
              <w:rPr>
                <w:rFonts w:ascii="Arial" w:eastAsia="Arial" w:hAnsi="Arial" w:cs="Arial"/>
                <w:sz w:val="15"/>
                <w:szCs w:val="15"/>
              </w:rPr>
            </w:pPr>
            <w:r w:rsidRPr="003D1ADF">
              <w:rPr>
                <w:rFonts w:ascii="Arial" w:eastAsia="Arial" w:hAnsi="Arial" w:cs="Arial"/>
                <w:sz w:val="15"/>
                <w:szCs w:val="15"/>
              </w:rPr>
              <w:t>04</w:t>
            </w:r>
            <w:r w:rsidR="005860BC" w:rsidRPr="003D1ADF">
              <w:rPr>
                <w:rFonts w:ascii="Arial" w:eastAsia="Arial" w:hAnsi="Arial" w:cs="Arial"/>
                <w:sz w:val="15"/>
                <w:szCs w:val="15"/>
              </w:rPr>
              <w:t>/</w:t>
            </w:r>
            <w:r w:rsidRPr="003D1ADF">
              <w:rPr>
                <w:rFonts w:ascii="Arial" w:eastAsia="Arial" w:hAnsi="Arial" w:cs="Arial"/>
                <w:sz w:val="15"/>
                <w:szCs w:val="15"/>
              </w:rPr>
              <w:t>09</w:t>
            </w:r>
            <w:r w:rsidR="006A1A38" w:rsidRPr="003D1ADF">
              <w:rPr>
                <w:rFonts w:ascii="Arial" w:eastAsia="Arial" w:hAnsi="Arial" w:cs="Arial"/>
                <w:sz w:val="15"/>
                <w:szCs w:val="15"/>
              </w:rPr>
              <w:t>/2023</w:t>
            </w:r>
          </w:p>
          <w:p w14:paraId="3AD02D93" w14:textId="77777777" w:rsidR="005860BC" w:rsidRPr="003D1ADF" w:rsidRDefault="005860BC" w:rsidP="003757A9">
            <w:pPr>
              <w:jc w:val="center"/>
              <w:rPr>
                <w:rFonts w:ascii="Arial" w:eastAsia="Arial" w:hAnsi="Arial" w:cs="Arial"/>
                <w:sz w:val="15"/>
                <w:szCs w:val="15"/>
              </w:rPr>
            </w:pPr>
          </w:p>
        </w:tc>
        <w:tc>
          <w:tcPr>
            <w:tcW w:w="3446" w:type="dxa"/>
            <w:gridSpan w:val="2"/>
            <w:vAlign w:val="center"/>
          </w:tcPr>
          <w:p w14:paraId="5F713B70" w14:textId="77777777" w:rsidR="005860BC" w:rsidRPr="003D1ADF" w:rsidRDefault="005860BC" w:rsidP="003757A9">
            <w:pPr>
              <w:jc w:val="center"/>
              <w:rPr>
                <w:rFonts w:ascii="Arial" w:hAnsi="Arial" w:cs="Arial"/>
                <w:sz w:val="16"/>
                <w:szCs w:val="16"/>
              </w:rPr>
            </w:pPr>
            <w:r w:rsidRPr="003D1ADF">
              <w:rPr>
                <w:rFonts w:ascii="Arial" w:hAnsi="Arial" w:cs="Arial"/>
                <w:sz w:val="16"/>
                <w:szCs w:val="16"/>
              </w:rPr>
              <w:t>Aceptado</w:t>
            </w:r>
          </w:p>
          <w:p w14:paraId="3CCE9887" w14:textId="51E0821C" w:rsidR="00C21442" w:rsidRPr="003D1ADF" w:rsidRDefault="003D1ADF" w:rsidP="00C21442">
            <w:pPr>
              <w:jc w:val="center"/>
              <w:rPr>
                <w:rFonts w:ascii="Arial" w:eastAsia="Arial" w:hAnsi="Arial" w:cs="Arial"/>
                <w:sz w:val="15"/>
                <w:szCs w:val="15"/>
              </w:rPr>
            </w:pPr>
            <w:r w:rsidRPr="003D1ADF">
              <w:rPr>
                <w:rFonts w:ascii="Arial" w:eastAsia="Arial" w:hAnsi="Arial" w:cs="Arial"/>
                <w:sz w:val="15"/>
                <w:szCs w:val="15"/>
              </w:rPr>
              <w:t>20</w:t>
            </w:r>
            <w:r w:rsidR="0073664C" w:rsidRPr="003D1ADF">
              <w:rPr>
                <w:rFonts w:ascii="Arial" w:eastAsia="Arial" w:hAnsi="Arial" w:cs="Arial"/>
                <w:sz w:val="15"/>
                <w:szCs w:val="15"/>
              </w:rPr>
              <w:t>/</w:t>
            </w:r>
            <w:r w:rsidRPr="003D1ADF">
              <w:rPr>
                <w:rFonts w:ascii="Arial" w:eastAsia="Arial" w:hAnsi="Arial" w:cs="Arial"/>
                <w:sz w:val="15"/>
                <w:szCs w:val="15"/>
              </w:rPr>
              <w:t>09</w:t>
            </w:r>
            <w:r w:rsidR="002E2D23" w:rsidRPr="003D1ADF">
              <w:rPr>
                <w:rFonts w:ascii="Arial" w:eastAsia="Arial" w:hAnsi="Arial" w:cs="Arial"/>
                <w:sz w:val="15"/>
                <w:szCs w:val="15"/>
              </w:rPr>
              <w:t>/2023</w:t>
            </w:r>
          </w:p>
          <w:p w14:paraId="6C63ABCD" w14:textId="77777777" w:rsidR="005860BC" w:rsidRPr="003D1ADF" w:rsidRDefault="005860BC" w:rsidP="003757A9">
            <w:pPr>
              <w:jc w:val="center"/>
              <w:rPr>
                <w:rFonts w:ascii="Arial" w:eastAsia="Arial" w:hAnsi="Arial" w:cs="Arial"/>
                <w:sz w:val="15"/>
                <w:szCs w:val="15"/>
              </w:rPr>
            </w:pPr>
          </w:p>
        </w:tc>
      </w:tr>
      <w:tr w:rsidR="005860BC" w:rsidRPr="004C5974" w14:paraId="4DE2D6FF" w14:textId="77777777" w:rsidTr="00D4023C">
        <w:tblPrEx>
          <w:jc w:val="left"/>
        </w:tblPrEx>
        <w:tc>
          <w:tcPr>
            <w:tcW w:w="9356" w:type="dxa"/>
            <w:gridSpan w:val="7"/>
            <w:shd w:val="clear" w:color="auto" w:fill="C6D9F1" w:themeFill="text2" w:themeFillTint="33"/>
          </w:tcPr>
          <w:p w14:paraId="3B014338" w14:textId="77777777" w:rsidR="005860BC" w:rsidRPr="004C5974" w:rsidRDefault="005860BC" w:rsidP="002E2D23">
            <w:pPr>
              <w:spacing w:line="276" w:lineRule="auto"/>
              <w:ind w:left="100"/>
              <w:jc w:val="center"/>
              <w:rPr>
                <w:rFonts w:ascii="Arial" w:hAnsi="Arial" w:cs="Arial"/>
                <w:b/>
              </w:rPr>
            </w:pPr>
          </w:p>
          <w:p w14:paraId="3A7C96E8" w14:textId="77777777" w:rsidR="005860BC" w:rsidRDefault="005860BC" w:rsidP="002E2D23">
            <w:pPr>
              <w:shd w:val="clear" w:color="auto" w:fill="C6D9F1" w:themeFill="text2" w:themeFillTint="33"/>
              <w:spacing w:line="276" w:lineRule="auto"/>
              <w:ind w:left="29" w:right="56"/>
              <w:jc w:val="center"/>
              <w:rPr>
                <w:rFonts w:ascii="Arial" w:hAnsi="Arial" w:cs="Arial"/>
                <w:b/>
              </w:rPr>
            </w:pPr>
            <w:r>
              <w:rPr>
                <w:rFonts w:ascii="Arial" w:hAnsi="Arial" w:cs="Arial"/>
                <w:b/>
              </w:rPr>
              <w:t>RESUMEN</w:t>
            </w:r>
          </w:p>
          <w:p w14:paraId="63EA3DA6" w14:textId="77777777" w:rsidR="004A744D" w:rsidRPr="004A744D" w:rsidRDefault="004A744D" w:rsidP="004A744D">
            <w:pPr>
              <w:spacing w:line="276" w:lineRule="auto"/>
              <w:jc w:val="both"/>
              <w:rPr>
                <w:rFonts w:ascii="Arial" w:hAnsi="Arial" w:cs="Arial"/>
              </w:rPr>
            </w:pPr>
            <w:r w:rsidRPr="004A744D">
              <w:rPr>
                <w:rFonts w:ascii="Arial" w:hAnsi="Arial" w:cs="Arial"/>
              </w:rPr>
              <w:t>Antecedentes: la COVID-19 es causada por el síndrome respiratorio agudo severo. Este padecimiento causó un gran número de defunciones, debido a esto, se desarrollaron vacunas tras analizar los patrones de mortalidad. La eficacia de las vacunas hace referencia a la capacidad de prevenir síntomas. En los estudios que se realizaron se reportó una eficacia de la vacuna que mostraba una efectividad con un IC 95%, donde Pfizer-BioNTech tenía eficacia de 95%, AstraZeneca-Oxford de 59.5%, Janssen/Johnson &amp; Johnson de 66.1%, Sputnik V de 92%, Sinovac de 50% y Moderna de 94.1%.</w:t>
            </w:r>
          </w:p>
          <w:p w14:paraId="2C4BEF49" w14:textId="77777777" w:rsidR="004A744D" w:rsidRPr="004A744D" w:rsidRDefault="004A744D" w:rsidP="004A744D">
            <w:pPr>
              <w:spacing w:line="276" w:lineRule="auto"/>
              <w:jc w:val="both"/>
              <w:rPr>
                <w:rFonts w:ascii="Arial" w:hAnsi="Arial" w:cs="Arial"/>
              </w:rPr>
            </w:pPr>
            <w:r w:rsidRPr="004A744D">
              <w:rPr>
                <w:rFonts w:ascii="Arial" w:hAnsi="Arial" w:cs="Arial"/>
              </w:rPr>
              <w:t xml:space="preserve">Material y métodos: tipo de estudio: observacional, analítico, transversal y </w:t>
            </w:r>
            <w:proofErr w:type="spellStart"/>
            <w:r w:rsidRPr="004A744D">
              <w:rPr>
                <w:rFonts w:ascii="Arial" w:hAnsi="Arial" w:cs="Arial"/>
              </w:rPr>
              <w:t>retrolectivo</w:t>
            </w:r>
            <w:proofErr w:type="spellEnd"/>
            <w:r w:rsidRPr="004A744D">
              <w:rPr>
                <w:rFonts w:ascii="Arial" w:hAnsi="Arial" w:cs="Arial"/>
              </w:rPr>
              <w:t xml:space="preserve"> con una muestra de 352 pacientes, con un muestreo no probabilístico, no aleatorizado, bajo conveniencia. Criterios de inclusión: expedientes de pacientes con esquema de vacunación completo y sin esquema de vacunación, mayores de 15 años. Se utilizó la paquetería Excel 2016. Se aplicó la estadística descriptiva, con software SPSS v25®.</w:t>
            </w:r>
          </w:p>
          <w:p w14:paraId="78277F29" w14:textId="77777777" w:rsidR="004A744D" w:rsidRPr="004A744D" w:rsidRDefault="004A744D" w:rsidP="004A744D">
            <w:pPr>
              <w:spacing w:line="276" w:lineRule="auto"/>
              <w:jc w:val="both"/>
              <w:rPr>
                <w:rFonts w:ascii="Arial" w:hAnsi="Arial" w:cs="Arial"/>
              </w:rPr>
            </w:pPr>
            <w:r w:rsidRPr="004A744D">
              <w:rPr>
                <w:rFonts w:ascii="Arial" w:hAnsi="Arial" w:cs="Arial"/>
              </w:rPr>
              <w:t xml:space="preserve">Resultados: en el presente trabajo de investigación se analizó la asociación entre el antecedente vacunal e infección por SARS-CoV-2 sin importar la temporalidad (pre o post </w:t>
            </w:r>
            <w:proofErr w:type="spellStart"/>
            <w:r w:rsidRPr="004A744D">
              <w:rPr>
                <w:rFonts w:ascii="Arial" w:hAnsi="Arial" w:cs="Arial"/>
              </w:rPr>
              <w:t>vacunacional</w:t>
            </w:r>
            <w:proofErr w:type="spellEnd"/>
            <w:r w:rsidRPr="004A744D">
              <w:rPr>
                <w:rFonts w:ascii="Arial" w:hAnsi="Arial" w:cs="Arial"/>
              </w:rPr>
              <w:t>), (p= 0.199).</w:t>
            </w:r>
          </w:p>
          <w:p w14:paraId="5D219A3F" w14:textId="06E75440" w:rsidR="00FC2E2D" w:rsidRDefault="004A744D" w:rsidP="004A744D">
            <w:pPr>
              <w:shd w:val="clear" w:color="auto" w:fill="C6D9F1" w:themeFill="text2" w:themeFillTint="33"/>
              <w:spacing w:line="276" w:lineRule="auto"/>
              <w:ind w:right="56"/>
              <w:jc w:val="both"/>
              <w:rPr>
                <w:rFonts w:ascii="Arial" w:hAnsi="Arial" w:cs="Arial"/>
              </w:rPr>
            </w:pPr>
            <w:r w:rsidRPr="004A744D">
              <w:rPr>
                <w:rFonts w:ascii="Arial" w:hAnsi="Arial" w:cs="Arial"/>
              </w:rPr>
              <w:t>Conclusiones: el 74.7% (263 pacientes) presentan enfermedad aun con esquema completo, mientras que el 19.03% (67 pacientes) presentan enfermedad sin aplicación de la vacuna. En la hipótesis de trabajo se esperaba que un 26% de los pacientes presentaran enfermedad con esquema de vacunación completo; sin embargo, el porcentaje fue más alto.</w:t>
            </w:r>
          </w:p>
          <w:p w14:paraId="7397CC8D" w14:textId="77777777" w:rsidR="004A744D" w:rsidRPr="00E07855" w:rsidRDefault="004A744D" w:rsidP="004A744D">
            <w:pPr>
              <w:shd w:val="clear" w:color="auto" w:fill="C6D9F1" w:themeFill="text2" w:themeFillTint="33"/>
              <w:spacing w:line="276" w:lineRule="auto"/>
              <w:ind w:right="56"/>
              <w:jc w:val="both"/>
              <w:rPr>
                <w:rFonts w:ascii="Arial" w:hAnsi="Arial" w:cs="Arial"/>
              </w:rPr>
            </w:pPr>
          </w:p>
          <w:p w14:paraId="283CF4FA" w14:textId="3D1E1DD2" w:rsidR="001F50BC" w:rsidRDefault="005860BC" w:rsidP="00FC2E2D">
            <w:pPr>
              <w:pStyle w:val="Textoindependiente"/>
              <w:shd w:val="clear" w:color="auto" w:fill="C6D9F1" w:themeFill="text2" w:themeFillTint="33"/>
              <w:spacing w:line="276" w:lineRule="auto"/>
              <w:ind w:left="29" w:right="56"/>
              <w:rPr>
                <w:rFonts w:ascii="Arial" w:eastAsiaTheme="minorHAnsi" w:hAnsi="Arial" w:cs="Arial"/>
              </w:rPr>
            </w:pPr>
            <w:r w:rsidRPr="00200857">
              <w:rPr>
                <w:rFonts w:ascii="Arial" w:hAnsi="Arial" w:cs="Arial"/>
                <w:b/>
                <w:lang w:val="es-CR"/>
              </w:rPr>
              <w:t>PALABRAS CLAVE:</w:t>
            </w:r>
            <w:r w:rsidRPr="00200857">
              <w:rPr>
                <w:rFonts w:ascii="Arial" w:hAnsi="Arial" w:cs="Arial"/>
                <w:b/>
                <w:spacing w:val="-5"/>
                <w:lang w:val="es-CR"/>
              </w:rPr>
              <w:t xml:space="preserve"> </w:t>
            </w:r>
            <w:r w:rsidR="005E67B4" w:rsidRPr="005E67B4">
              <w:rPr>
                <w:rFonts w:ascii="Arial" w:hAnsi="Arial" w:cs="Arial"/>
                <w:bCs/>
                <w:spacing w:val="-5"/>
              </w:rPr>
              <w:t>i</w:t>
            </w:r>
            <w:r w:rsidR="004A744D" w:rsidRPr="004A744D">
              <w:rPr>
                <w:rFonts w:ascii="Arial" w:eastAsiaTheme="minorHAnsi" w:hAnsi="Arial" w:cs="Arial"/>
              </w:rPr>
              <w:t>nfección por COVID-19</w:t>
            </w:r>
            <w:r w:rsidR="005E67B4">
              <w:rPr>
                <w:rFonts w:ascii="Arial" w:eastAsiaTheme="minorHAnsi" w:hAnsi="Arial" w:cs="Arial"/>
              </w:rPr>
              <w:t>;</w:t>
            </w:r>
            <w:r w:rsidR="004A744D" w:rsidRPr="004A744D">
              <w:rPr>
                <w:rFonts w:ascii="Arial" w:eastAsiaTheme="minorHAnsi" w:hAnsi="Arial" w:cs="Arial"/>
              </w:rPr>
              <w:t xml:space="preserve"> inmunización</w:t>
            </w:r>
            <w:r w:rsidR="005E67B4">
              <w:rPr>
                <w:rFonts w:ascii="Arial" w:eastAsiaTheme="minorHAnsi" w:hAnsi="Arial" w:cs="Arial"/>
              </w:rPr>
              <w:t>;</w:t>
            </w:r>
            <w:r w:rsidR="004A744D" w:rsidRPr="004A744D">
              <w:rPr>
                <w:rFonts w:ascii="Arial" w:eastAsiaTheme="minorHAnsi" w:hAnsi="Arial" w:cs="Arial"/>
              </w:rPr>
              <w:t xml:space="preserve"> SARS-CoV-2</w:t>
            </w:r>
            <w:r w:rsidR="005E67B4">
              <w:rPr>
                <w:rFonts w:ascii="Arial" w:eastAsiaTheme="minorHAnsi" w:hAnsi="Arial" w:cs="Arial"/>
              </w:rPr>
              <w:t>;</w:t>
            </w:r>
            <w:r w:rsidR="004A744D" w:rsidRPr="004A744D">
              <w:rPr>
                <w:rFonts w:ascii="Arial" w:eastAsiaTheme="minorHAnsi" w:hAnsi="Arial" w:cs="Arial"/>
              </w:rPr>
              <w:t xml:space="preserve"> eficacia</w:t>
            </w:r>
            <w:r w:rsidR="005E67B4">
              <w:rPr>
                <w:rFonts w:ascii="Arial" w:eastAsiaTheme="minorHAnsi" w:hAnsi="Arial" w:cs="Arial"/>
              </w:rPr>
              <w:t>;</w:t>
            </w:r>
            <w:r w:rsidR="004A744D" w:rsidRPr="004A744D">
              <w:rPr>
                <w:rFonts w:ascii="Arial" w:eastAsiaTheme="minorHAnsi" w:hAnsi="Arial" w:cs="Arial"/>
              </w:rPr>
              <w:t xml:space="preserve"> esquema de vacunación.</w:t>
            </w:r>
          </w:p>
          <w:p w14:paraId="5662985D" w14:textId="7CB0CB3F" w:rsidR="005860BC" w:rsidRPr="001F50BC" w:rsidRDefault="005860BC" w:rsidP="00A26B89">
            <w:pPr>
              <w:pStyle w:val="Textoindependiente"/>
              <w:shd w:val="clear" w:color="auto" w:fill="C6D9F1" w:themeFill="text2" w:themeFillTint="33"/>
              <w:spacing w:before="240" w:line="276" w:lineRule="auto"/>
              <w:ind w:left="29" w:right="56"/>
              <w:jc w:val="center"/>
              <w:rPr>
                <w:rFonts w:ascii="Arial" w:hAnsi="Arial" w:cs="Arial"/>
                <w:b/>
                <w:lang w:val="en-US"/>
              </w:rPr>
            </w:pPr>
            <w:r w:rsidRPr="001F50BC">
              <w:rPr>
                <w:rFonts w:ascii="Arial" w:hAnsi="Arial" w:cs="Arial"/>
                <w:b/>
                <w:lang w:val="en-US"/>
              </w:rPr>
              <w:t>ABSTRACT</w:t>
            </w:r>
          </w:p>
          <w:p w14:paraId="1833AFFF" w14:textId="77777777" w:rsidR="004A744D" w:rsidRPr="004A744D" w:rsidRDefault="004A744D" w:rsidP="004A744D">
            <w:pPr>
              <w:spacing w:line="276" w:lineRule="auto"/>
              <w:jc w:val="both"/>
              <w:rPr>
                <w:rFonts w:ascii="Arial" w:hAnsi="Arial" w:cs="Arial"/>
                <w:lang w:val="en"/>
              </w:rPr>
            </w:pPr>
            <w:r w:rsidRPr="004A744D">
              <w:rPr>
                <w:rFonts w:ascii="Arial" w:hAnsi="Arial" w:cs="Arial"/>
                <w:lang w:val="en"/>
              </w:rPr>
              <w:lastRenderedPageBreak/>
              <w:t xml:space="preserve">Background: COVID-19 is caused by severe acute respiratory syndrome, this condition caused </w:t>
            </w:r>
            <w:proofErr w:type="gramStart"/>
            <w:r w:rsidRPr="004A744D">
              <w:rPr>
                <w:rFonts w:ascii="Arial" w:hAnsi="Arial" w:cs="Arial"/>
                <w:lang w:val="en"/>
              </w:rPr>
              <w:t>a large number of</w:t>
            </w:r>
            <w:proofErr w:type="gramEnd"/>
            <w:r w:rsidRPr="004A744D">
              <w:rPr>
                <w:rFonts w:ascii="Arial" w:hAnsi="Arial" w:cs="Arial"/>
                <w:lang w:val="en"/>
              </w:rPr>
              <w:t xml:space="preserve"> deaths, due to these vaccines were developed after analyzing mortality patterns; vaccine efficacy refers to the ability to prevent symptoms, in the studies that were conducted vaccine efficacy was reported showing an effectiveness with 95% CI where Pfizer-BioNTech 95%, AstraZeneca-Oxford 59. 5%, Janssen/Johnson &amp; Johnson 66.1%, Sputnik V 92%, Sinovac 50% and modern 94.1%.</w:t>
            </w:r>
          </w:p>
          <w:p w14:paraId="11F38309" w14:textId="77777777" w:rsidR="004A744D" w:rsidRPr="004A744D" w:rsidRDefault="004A744D" w:rsidP="004A744D">
            <w:pPr>
              <w:spacing w:line="276" w:lineRule="auto"/>
              <w:jc w:val="both"/>
              <w:rPr>
                <w:rFonts w:ascii="Arial" w:hAnsi="Arial" w:cs="Arial"/>
                <w:lang w:val="en"/>
              </w:rPr>
            </w:pPr>
            <w:r w:rsidRPr="004A744D">
              <w:rPr>
                <w:rFonts w:ascii="Arial" w:hAnsi="Arial" w:cs="Arial"/>
                <w:lang w:val="en"/>
              </w:rPr>
              <w:t xml:space="preserve">Material and Methods: Type of study: observational, analytical, cross-sectional and </w:t>
            </w:r>
            <w:proofErr w:type="spellStart"/>
            <w:r w:rsidRPr="004A744D">
              <w:rPr>
                <w:rFonts w:ascii="Arial" w:hAnsi="Arial" w:cs="Arial"/>
                <w:lang w:val="en"/>
              </w:rPr>
              <w:t>retrolective</w:t>
            </w:r>
            <w:proofErr w:type="spellEnd"/>
            <w:r w:rsidRPr="004A744D">
              <w:rPr>
                <w:rFonts w:ascii="Arial" w:hAnsi="Arial" w:cs="Arial"/>
                <w:lang w:val="en"/>
              </w:rPr>
              <w:t xml:space="preserve"> with a sample: 352 patients, with a non-probabilistic, non-randomized, convenience sampling, inclusion criteria: patient records with complete vaccination schedule and without vaccination schedule, older than 15 years old. Descriptive statistics were applied with SPSS v25® software.</w:t>
            </w:r>
          </w:p>
          <w:p w14:paraId="45F6A8FD" w14:textId="77777777" w:rsidR="004A744D" w:rsidRPr="004A744D" w:rsidRDefault="004A744D" w:rsidP="004A744D">
            <w:pPr>
              <w:spacing w:line="276" w:lineRule="auto"/>
              <w:jc w:val="both"/>
              <w:rPr>
                <w:rFonts w:ascii="Arial" w:hAnsi="Arial" w:cs="Arial"/>
                <w:lang w:val="en"/>
              </w:rPr>
            </w:pPr>
            <w:r w:rsidRPr="004A744D">
              <w:rPr>
                <w:rFonts w:ascii="Arial" w:hAnsi="Arial" w:cs="Arial"/>
                <w:lang w:val="en"/>
              </w:rPr>
              <w:t xml:space="preserve">Results: In the present research work, the association between vaccination history and SARS </w:t>
            </w:r>
            <w:proofErr w:type="spellStart"/>
            <w:r w:rsidRPr="004A744D">
              <w:rPr>
                <w:rFonts w:ascii="Arial" w:hAnsi="Arial" w:cs="Arial"/>
                <w:lang w:val="en"/>
              </w:rPr>
              <w:t>CoV</w:t>
            </w:r>
            <w:proofErr w:type="spellEnd"/>
            <w:r w:rsidRPr="004A744D">
              <w:rPr>
                <w:rFonts w:ascii="Arial" w:hAnsi="Arial" w:cs="Arial"/>
                <w:lang w:val="en"/>
              </w:rPr>
              <w:t xml:space="preserve"> 2 infection was analyzed regardless of the temporality (pre- or post-vaccination), (p= 0.199).</w:t>
            </w:r>
          </w:p>
          <w:p w14:paraId="53DBC0B6" w14:textId="77777777" w:rsidR="004A744D" w:rsidRDefault="004A744D" w:rsidP="004A744D">
            <w:pPr>
              <w:spacing w:line="276" w:lineRule="auto"/>
              <w:jc w:val="both"/>
              <w:rPr>
                <w:rFonts w:ascii="Arial" w:hAnsi="Arial" w:cs="Arial"/>
                <w:lang w:val="en"/>
              </w:rPr>
            </w:pPr>
            <w:r w:rsidRPr="004A744D">
              <w:rPr>
                <w:rFonts w:ascii="Arial" w:hAnsi="Arial" w:cs="Arial"/>
                <w:lang w:val="en"/>
              </w:rPr>
              <w:t>Conclusions: 74.7% (263 patients) present disease even with complete scheme, while 19.03% (67 patients) present disease without application of the vaccine, in our working hypothesis it was expected that 26% of patients would present disease with complete vaccination scheme, however, our percentage was higher.</w:t>
            </w:r>
          </w:p>
          <w:p w14:paraId="4F50DED3" w14:textId="18B86E81" w:rsidR="00A269AE" w:rsidRDefault="00BB4F8D" w:rsidP="004A744D">
            <w:pPr>
              <w:spacing w:before="240" w:line="276" w:lineRule="auto"/>
              <w:jc w:val="both"/>
              <w:rPr>
                <w:rFonts w:ascii="Arial" w:hAnsi="Arial" w:cs="Arial"/>
                <w:lang w:val="en-US"/>
              </w:rPr>
            </w:pPr>
            <w:r>
              <w:rPr>
                <w:rFonts w:ascii="Arial" w:hAnsi="Arial" w:cs="Arial"/>
                <w:b/>
                <w:lang w:val="en-US"/>
              </w:rPr>
              <w:t>KEY</w:t>
            </w:r>
            <w:r w:rsidR="005860BC">
              <w:rPr>
                <w:rFonts w:ascii="Arial" w:hAnsi="Arial" w:cs="Arial"/>
                <w:b/>
                <w:lang w:val="en-US"/>
              </w:rPr>
              <w:t>WORDS</w:t>
            </w:r>
            <w:r w:rsidR="005860BC" w:rsidRPr="004C5974">
              <w:rPr>
                <w:rFonts w:ascii="Arial" w:hAnsi="Arial" w:cs="Arial"/>
                <w:b/>
                <w:lang w:val="en-US"/>
              </w:rPr>
              <w:t>:</w:t>
            </w:r>
            <w:r w:rsidR="005860BC" w:rsidRPr="00DF23F3">
              <w:rPr>
                <w:rFonts w:ascii="Arial" w:hAnsi="Arial" w:cs="Arial"/>
                <w:spacing w:val="-3"/>
                <w:lang w:val="en-US"/>
              </w:rPr>
              <w:t xml:space="preserve"> </w:t>
            </w:r>
            <w:r w:rsidR="004A744D" w:rsidRPr="004A744D">
              <w:rPr>
                <w:rFonts w:ascii="Arial" w:hAnsi="Arial" w:cs="Arial"/>
                <w:lang w:val="en-US"/>
              </w:rPr>
              <w:t>COVID-19 infection</w:t>
            </w:r>
            <w:r w:rsidR="00CF4173">
              <w:rPr>
                <w:rFonts w:ascii="Arial" w:hAnsi="Arial" w:cs="Arial"/>
                <w:lang w:val="en-US"/>
              </w:rPr>
              <w:t>;</w:t>
            </w:r>
            <w:r w:rsidR="004A744D" w:rsidRPr="004A744D">
              <w:rPr>
                <w:rFonts w:ascii="Arial" w:hAnsi="Arial" w:cs="Arial"/>
                <w:lang w:val="en-US"/>
              </w:rPr>
              <w:t xml:space="preserve"> immunization</w:t>
            </w:r>
            <w:r w:rsidR="00CF4173">
              <w:rPr>
                <w:rFonts w:ascii="Arial" w:hAnsi="Arial" w:cs="Arial"/>
                <w:lang w:val="en-US"/>
              </w:rPr>
              <w:t>;</w:t>
            </w:r>
            <w:r w:rsidR="004A744D" w:rsidRPr="004A744D">
              <w:rPr>
                <w:rFonts w:ascii="Arial" w:hAnsi="Arial" w:cs="Arial"/>
                <w:lang w:val="en-US"/>
              </w:rPr>
              <w:t xml:space="preserve"> SARS-CoV-2</w:t>
            </w:r>
            <w:r w:rsidR="00CF4173">
              <w:rPr>
                <w:rFonts w:ascii="Arial" w:hAnsi="Arial" w:cs="Arial"/>
                <w:lang w:val="en-US"/>
              </w:rPr>
              <w:t>;</w:t>
            </w:r>
            <w:r w:rsidR="004A744D" w:rsidRPr="004A744D">
              <w:rPr>
                <w:rFonts w:ascii="Arial" w:hAnsi="Arial" w:cs="Arial"/>
                <w:lang w:val="en-US"/>
              </w:rPr>
              <w:t xml:space="preserve"> efficacy</w:t>
            </w:r>
            <w:r w:rsidR="00CF4173">
              <w:rPr>
                <w:rFonts w:ascii="Arial" w:hAnsi="Arial" w:cs="Arial"/>
                <w:lang w:val="en-US"/>
              </w:rPr>
              <w:t>;</w:t>
            </w:r>
            <w:r w:rsidR="004A744D" w:rsidRPr="004A744D">
              <w:rPr>
                <w:rFonts w:ascii="Arial" w:hAnsi="Arial" w:cs="Arial"/>
                <w:lang w:val="en-US"/>
              </w:rPr>
              <w:t xml:space="preserve"> vaccination schedule.</w:t>
            </w:r>
          </w:p>
          <w:p w14:paraId="7BD13174" w14:textId="0D88AC91" w:rsidR="001C7B0E" w:rsidRPr="001C7B0E" w:rsidRDefault="001C7B0E" w:rsidP="002E2D23">
            <w:pPr>
              <w:spacing w:line="276" w:lineRule="auto"/>
              <w:rPr>
                <w:sz w:val="20"/>
                <w:lang w:val="en-US"/>
              </w:rPr>
            </w:pPr>
          </w:p>
        </w:tc>
      </w:tr>
      <w:tr w:rsidR="005860BC" w:rsidRPr="00135127" w14:paraId="4ECC3E1F" w14:textId="77777777" w:rsidTr="00D4023C">
        <w:trPr>
          <w:trHeight w:val="371"/>
          <w:jc w:val="center"/>
        </w:trPr>
        <w:tc>
          <w:tcPr>
            <w:tcW w:w="9356" w:type="dxa"/>
            <w:gridSpan w:val="7"/>
            <w:shd w:val="clear" w:color="auto" w:fill="FFFFFF" w:themeFill="background1"/>
          </w:tcPr>
          <w:p w14:paraId="66FDE8D0" w14:textId="77777777" w:rsidR="00AF2D3A" w:rsidRPr="00D128AE" w:rsidRDefault="00AF2D3A" w:rsidP="00AF2D3A">
            <w:pPr>
              <w:pStyle w:val="NormalWeb"/>
              <w:spacing w:before="160" w:after="0" w:afterAutospacing="0"/>
              <w:jc w:val="both"/>
              <w:rPr>
                <w:rFonts w:ascii="Arial" w:hAnsi="Arial" w:cs="Arial"/>
                <w:sz w:val="14"/>
                <w:szCs w:val="14"/>
                <w:vertAlign w:val="superscript"/>
              </w:rPr>
            </w:pPr>
          </w:p>
          <w:p w14:paraId="79F2EC75" w14:textId="1ECBE30C" w:rsidR="001F50BC" w:rsidRDefault="00623094" w:rsidP="00AF2D3A">
            <w:pPr>
              <w:pStyle w:val="NormalWeb"/>
              <w:spacing w:before="0" w:beforeAutospacing="0" w:after="0" w:afterAutospacing="0"/>
              <w:jc w:val="both"/>
              <w:rPr>
                <w:rFonts w:ascii="Arial" w:hAnsi="Arial" w:cs="Arial"/>
                <w:sz w:val="14"/>
                <w:szCs w:val="14"/>
                <w:lang w:val="es-CR"/>
              </w:rPr>
            </w:pPr>
            <w:r w:rsidRPr="000D6A22">
              <w:rPr>
                <w:rFonts w:ascii="Arial" w:hAnsi="Arial" w:cs="Arial"/>
                <w:sz w:val="14"/>
                <w:szCs w:val="14"/>
                <w:vertAlign w:val="superscript"/>
                <w:lang w:val="es-CR"/>
              </w:rPr>
              <w:t xml:space="preserve">1 </w:t>
            </w:r>
            <w:proofErr w:type="gramStart"/>
            <w:r w:rsidR="001C7CA1" w:rsidRPr="001C7CA1">
              <w:rPr>
                <w:rFonts w:ascii="Arial" w:hAnsi="Arial" w:cs="Arial"/>
                <w:sz w:val="14"/>
                <w:szCs w:val="14"/>
                <w:lang w:val="es-CR"/>
              </w:rPr>
              <w:t>Médica</w:t>
            </w:r>
            <w:proofErr w:type="gramEnd"/>
            <w:r w:rsidR="001C7CA1" w:rsidRPr="001C7CA1">
              <w:rPr>
                <w:rFonts w:ascii="Arial" w:hAnsi="Arial" w:cs="Arial"/>
                <w:sz w:val="14"/>
                <w:szCs w:val="14"/>
                <w:lang w:val="es-CR"/>
              </w:rPr>
              <w:t xml:space="preserve"> residente de Medicina Familiar, Universidad Autónoma de México (UAM). Correo: </w:t>
            </w:r>
            <w:r w:rsidR="00520242" w:rsidRPr="00134A21">
              <w:rPr>
                <w:rFonts w:ascii="Arial" w:hAnsi="Arial" w:cs="Arial"/>
                <w:sz w:val="14"/>
                <w:szCs w:val="14"/>
                <w:lang w:val="es-CR"/>
              </w:rPr>
              <w:t>loan.nohe.0910@gmail.com</w:t>
            </w:r>
          </w:p>
          <w:p w14:paraId="397B6B32" w14:textId="3D25EDB0" w:rsidR="00520242" w:rsidRPr="00A26B89" w:rsidRDefault="00134A21" w:rsidP="00AF2D3A">
            <w:pPr>
              <w:pStyle w:val="NormalWeb"/>
              <w:spacing w:before="0" w:beforeAutospacing="0" w:after="0" w:afterAutospacing="0"/>
              <w:jc w:val="both"/>
              <w:rPr>
                <w:rFonts w:ascii="Arial" w:hAnsi="Arial" w:cs="Arial"/>
                <w:sz w:val="14"/>
                <w:szCs w:val="14"/>
                <w:lang w:val="es-CR"/>
              </w:rPr>
            </w:pPr>
            <w:r w:rsidRPr="00134A21">
              <w:rPr>
                <w:rFonts w:ascii="Arial" w:hAnsi="Arial" w:cs="Arial"/>
                <w:sz w:val="14"/>
                <w:szCs w:val="14"/>
                <w:vertAlign w:val="superscript"/>
                <w:lang w:val="es-CR"/>
              </w:rPr>
              <w:t>2</w:t>
            </w:r>
            <w:r>
              <w:rPr>
                <w:rFonts w:ascii="Arial" w:hAnsi="Arial" w:cs="Arial"/>
                <w:sz w:val="14"/>
                <w:szCs w:val="14"/>
                <w:vertAlign w:val="superscript"/>
                <w:lang w:val="es-CR"/>
              </w:rPr>
              <w:t xml:space="preserve"> </w:t>
            </w:r>
            <w:proofErr w:type="gramStart"/>
            <w:r w:rsidRPr="00134A21">
              <w:rPr>
                <w:rFonts w:ascii="Arial" w:hAnsi="Arial" w:cs="Arial"/>
                <w:sz w:val="14"/>
                <w:szCs w:val="14"/>
                <w:lang w:val="es-CR"/>
              </w:rPr>
              <w:t>Médico</w:t>
            </w:r>
            <w:proofErr w:type="gramEnd"/>
            <w:r w:rsidRPr="00134A21">
              <w:rPr>
                <w:rFonts w:ascii="Arial" w:hAnsi="Arial" w:cs="Arial"/>
                <w:sz w:val="14"/>
                <w:szCs w:val="14"/>
                <w:lang w:val="es-CR"/>
              </w:rPr>
              <w:t xml:space="preserve"> especialista en Medicina Familiar, graduado de la Universidad Autónoma de México (UAM). Correo: rubenum16@gmail.com</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1D7EE2">
      <w:pPr>
        <w:pStyle w:val="Ttulo1"/>
        <w:ind w:right="-45"/>
        <w:jc w:val="left"/>
        <w:sectPr w:rsidR="001D7EE2" w:rsidRPr="004D7BD5" w:rsidSect="00EA46DB">
          <w:headerReference w:type="default" r:id="rId16"/>
          <w:footerReference w:type="default" r:id="rId17"/>
          <w:footerReference w:type="first" r:id="rId18"/>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FB2E51">
      <w:pPr>
        <w:pStyle w:val="Ttulo1"/>
      </w:pPr>
      <w:r w:rsidRPr="00FB2E51">
        <w:t>INTRODUCCIÓN</w:t>
      </w:r>
    </w:p>
    <w:p w14:paraId="19B15310" w14:textId="77777777" w:rsidR="004A744D" w:rsidRPr="004A744D" w:rsidRDefault="004A744D" w:rsidP="004A744D">
      <w:pPr>
        <w:jc w:val="both"/>
        <w:rPr>
          <w:b/>
          <w:sz w:val="28"/>
          <w:szCs w:val="28"/>
          <w:lang w:val="es-CR"/>
        </w:rPr>
      </w:pPr>
      <w:r w:rsidRPr="004A744D">
        <w:rPr>
          <w:lang w:val="es-CR"/>
        </w:rPr>
        <w:t xml:space="preserve">El SARS-CoV-2 es un virus cuya subfamilia es </w:t>
      </w:r>
      <w:proofErr w:type="spellStart"/>
      <w:r w:rsidRPr="004A744D">
        <w:rPr>
          <w:i/>
          <w:lang w:val="es-CR"/>
        </w:rPr>
        <w:t>Orthocoronavirinae</w:t>
      </w:r>
      <w:proofErr w:type="spellEnd"/>
      <w:r w:rsidRPr="004A744D">
        <w:rPr>
          <w:lang w:val="es-CR"/>
        </w:rPr>
        <w:t>,</w:t>
      </w:r>
      <w:r w:rsidRPr="004A744D">
        <w:rPr>
          <w:i/>
          <w:lang w:val="es-CR"/>
        </w:rPr>
        <w:t xml:space="preserve"> </w:t>
      </w:r>
      <w:r w:rsidRPr="004A744D">
        <w:rPr>
          <w:lang w:val="es-CR"/>
        </w:rPr>
        <w:t xml:space="preserve">perteneciente al género </w:t>
      </w:r>
      <w:r w:rsidRPr="004A744D">
        <w:rPr>
          <w:i/>
          <w:lang w:val="es-CR"/>
        </w:rPr>
        <w:t>Coronavirus</w:t>
      </w:r>
      <w:r w:rsidRPr="004A744D">
        <w:rPr>
          <w:lang w:val="es-CR"/>
        </w:rPr>
        <w:t>. Dicho virus cuenta con una proteína S, la cual es responsable de la transmisión e infección del virus, y provoca infecciones respiratorias en un 10-25% de las personas, principalmente en otoño e invierno (1,2).</w:t>
      </w:r>
    </w:p>
    <w:p w14:paraId="42CC4802" w14:textId="77777777" w:rsidR="004A744D" w:rsidRPr="004A744D" w:rsidRDefault="004A744D" w:rsidP="004A744D">
      <w:pPr>
        <w:jc w:val="both"/>
        <w:rPr>
          <w:lang w:val="es-CR"/>
        </w:rPr>
      </w:pPr>
      <w:r w:rsidRPr="004A744D">
        <w:rPr>
          <w:lang w:val="es-CR"/>
        </w:rPr>
        <w:t xml:space="preserve">El SARS-CoV-2 tuvo su origen en Wuhan, China, en el año 2019. Desde ese momento tuvo rápida expansión en todo el mundo. </w:t>
      </w:r>
    </w:p>
    <w:p w14:paraId="31F346BD" w14:textId="606D382E" w:rsidR="004A744D" w:rsidRPr="004A744D" w:rsidRDefault="004A744D" w:rsidP="004A744D">
      <w:pPr>
        <w:jc w:val="both"/>
        <w:rPr>
          <w:lang w:val="es-CR"/>
        </w:rPr>
      </w:pPr>
      <w:r w:rsidRPr="004A744D">
        <w:rPr>
          <w:lang w:val="es-CR"/>
        </w:rPr>
        <w:t>Es importante resaltar que las vacunas se han convertido en un arma para disminuir la incidencia, erradicación y mortalidad de algunas enfermedades. Es importante recordar que</w:t>
      </w:r>
      <w:r>
        <w:rPr>
          <w:lang w:val="es-CR"/>
        </w:rPr>
        <w:t>,</w:t>
      </w:r>
      <w:r w:rsidRPr="004A744D">
        <w:rPr>
          <w:lang w:val="es-CR"/>
        </w:rPr>
        <w:t xml:space="preserve"> con esta pandemia, la comunidad científica se vio obligada a buscar alternativas para poder enfrentar dicha pandemia, por lo cual se propuso la vacuna; por esta razón, muchas farmacéuticas pusieron en marcha la realización de la vacuna, aprobándose la </w:t>
      </w:r>
      <w:r w:rsidRPr="004A744D">
        <w:rPr>
          <w:lang w:val="es-CR"/>
        </w:rPr>
        <w:t>primera vacuna en diciembre del mismo año del surgimiento de la pandemia (2).</w:t>
      </w:r>
    </w:p>
    <w:p w14:paraId="5CED7FE6" w14:textId="77777777" w:rsidR="004A744D" w:rsidRPr="004A744D" w:rsidRDefault="004A744D" w:rsidP="004A744D">
      <w:pPr>
        <w:jc w:val="both"/>
        <w:rPr>
          <w:lang w:val="es-CR"/>
        </w:rPr>
      </w:pPr>
      <w:r w:rsidRPr="004A744D">
        <w:rPr>
          <w:lang w:val="es-CR"/>
        </w:rPr>
        <w:t>A principios del año 2021 se descubrieron 16 vacunas en fase 3. Entre las vacunas autorizadas están las siguientes: Pfizer-BioNTech, Moderna AstraZeneca-Oxford, Johnson &amp; Johnson, Sputnik V y Sinovac. Una de las características de las vacunas es que sea eficaz, efectiva y segura. Se debe entender que la eficacia de las vacunas hace referencia a la capacidad de prevenir síntomas (2-5).</w:t>
      </w:r>
    </w:p>
    <w:p w14:paraId="1E508016" w14:textId="77777777" w:rsidR="004A744D" w:rsidRPr="004A744D" w:rsidRDefault="004A744D" w:rsidP="004A744D">
      <w:pPr>
        <w:jc w:val="both"/>
        <w:rPr>
          <w:lang w:val="es-CR"/>
        </w:rPr>
      </w:pPr>
      <w:r w:rsidRPr="004A744D">
        <w:rPr>
          <w:lang w:val="es-CR"/>
        </w:rPr>
        <w:t xml:space="preserve">Se realizaron diferentes estudios de las diferentes vacunas y en diferentes grupos etarios. Al inicio, la seguridad y la eficacia de las vacunas para las personas mayores era fundamental para su éxito. Uno de los grupos vulnerables fue la población adulta &gt;50 años, donde se demostró una eficacia de la vacuna Johnson &amp; Johnson del 89% posterior a la segunda dosis, un 90% contra infecciones que pueden conducir un ingreso en la Unidad de Cuidados Intensivos; de </w:t>
      </w:r>
      <w:r w:rsidRPr="004A744D">
        <w:rPr>
          <w:lang w:val="es-CR"/>
        </w:rPr>
        <w:lastRenderedPageBreak/>
        <w:t>igual manera, se han realizado estudios que demuestran que la vacuna AstraZeneca puede ser utilizada en pacientes mayores de 65 años, pero no para la población de menores de 18 años (6).</w:t>
      </w:r>
    </w:p>
    <w:p w14:paraId="114E8431" w14:textId="77777777" w:rsidR="004A744D" w:rsidRPr="004A744D" w:rsidRDefault="004A744D" w:rsidP="004A744D">
      <w:pPr>
        <w:jc w:val="both"/>
        <w:rPr>
          <w:lang w:val="es-CR"/>
        </w:rPr>
      </w:pPr>
      <w:r w:rsidRPr="004A744D">
        <w:rPr>
          <w:lang w:val="es-CR"/>
        </w:rPr>
        <w:t>Se han realizado estudios donde se ha comprobado que existen patologías que generan mayor riesgo de contraer COVID-19, y secundario a esto provocan secuelas graves. Las patologías más comunes son: hipertensión arterial en un 30%, Diabetes Mellitus tipo 2 con un 19%, y enfermedad coronaria con un 8%. Es por ello que al inicio de la vacunación masiva los pacientes con síndrome metabólico fueron los primeros pacientes, junto con el personal de salud, en recibir la vacuna, realizándose un estudio multicéntrico de casos y controles en adultos mayores con el propósito de evaluar la eficacia de la vacuna Pfizer-BioNTech y Moderna para la prevención de hospitalizaciones, encontrándose una eficacia global de la vacuna del 87.1% en comparación con un estudio de casos y controles de la vacuna AstraZeneca-Oxford, con una eficacia de 73%, demostrándose así que la aplicación de cualquiera de las dos vacunas reduce significativamente la prevalencia de COVID-19 (7,8).</w:t>
      </w:r>
    </w:p>
    <w:p w14:paraId="0C32081F" w14:textId="77777777" w:rsidR="004A744D" w:rsidRPr="004A744D" w:rsidRDefault="004A744D" w:rsidP="004A744D">
      <w:pPr>
        <w:jc w:val="both"/>
        <w:rPr>
          <w:color w:val="000000" w:themeColor="text1"/>
          <w:lang w:val="es-CR"/>
        </w:rPr>
      </w:pPr>
      <w:r w:rsidRPr="004A744D">
        <w:rPr>
          <w:color w:val="000000" w:themeColor="text1"/>
          <w:lang w:val="es-CR"/>
        </w:rPr>
        <w:t>El objetivo de este estudio es estimar la asociación de la aplicación o no de la vacuna con la presencia o ausencia de enfermedad de la COVID-19.</w:t>
      </w:r>
    </w:p>
    <w:p w14:paraId="766E4934" w14:textId="77777777" w:rsidR="004A744D" w:rsidRPr="004A744D" w:rsidRDefault="004A744D" w:rsidP="004A744D">
      <w:pPr>
        <w:jc w:val="both"/>
        <w:rPr>
          <w:sz w:val="24"/>
          <w:szCs w:val="28"/>
          <w:lang w:val="es-CR"/>
        </w:rPr>
      </w:pPr>
    </w:p>
    <w:p w14:paraId="7FFB35B7" w14:textId="77777777" w:rsidR="004A744D" w:rsidRPr="004A744D" w:rsidRDefault="004A744D" w:rsidP="004A744D">
      <w:pPr>
        <w:pStyle w:val="Ttulo1"/>
      </w:pPr>
      <w:r w:rsidRPr="004A744D">
        <w:t>MÉTODOS</w:t>
      </w:r>
    </w:p>
    <w:p w14:paraId="6348A7FD" w14:textId="2B0C4A42" w:rsidR="004A744D" w:rsidRPr="004A744D" w:rsidRDefault="004A744D" w:rsidP="004A744D">
      <w:pPr>
        <w:jc w:val="both"/>
        <w:rPr>
          <w:color w:val="000000" w:themeColor="text1"/>
          <w:lang w:val="es-CR"/>
        </w:rPr>
      </w:pPr>
      <w:r w:rsidRPr="004A744D">
        <w:rPr>
          <w:lang w:val="es-CR"/>
        </w:rPr>
        <w:t xml:space="preserve">Se realizó un estudio de tipo observacional, analítico, transversal y </w:t>
      </w:r>
      <w:proofErr w:type="spellStart"/>
      <w:r w:rsidRPr="004A744D">
        <w:rPr>
          <w:lang w:val="es-CR"/>
        </w:rPr>
        <w:t>retrolectivo</w:t>
      </w:r>
      <w:proofErr w:type="spellEnd"/>
      <w:r w:rsidRPr="004A744D">
        <w:rPr>
          <w:lang w:val="es-CR"/>
        </w:rPr>
        <w:t xml:space="preserve">. El estudio incluye 352 apacientes de ambos sexos, expedientes de pacientes con esquema de vacunación completo y sin esquema de vacunación, mayores de 15 años. Se realizó una ficha de identificación donde se incluirían los siguientes rubros: sexo, edad, marca de la vacuna, infección </w:t>
      </w:r>
      <w:proofErr w:type="spellStart"/>
      <w:r w:rsidRPr="004A744D">
        <w:rPr>
          <w:lang w:val="es-CR"/>
        </w:rPr>
        <w:t>prevacunación</w:t>
      </w:r>
      <w:proofErr w:type="spellEnd"/>
      <w:r w:rsidRPr="004A744D">
        <w:rPr>
          <w:lang w:val="es-CR"/>
        </w:rPr>
        <w:t xml:space="preserve">, infección </w:t>
      </w:r>
      <w:proofErr w:type="spellStart"/>
      <w:r w:rsidRPr="004A744D">
        <w:rPr>
          <w:lang w:val="es-CR"/>
        </w:rPr>
        <w:t>pos</w:t>
      </w:r>
      <w:r w:rsidR="00B73A85">
        <w:rPr>
          <w:lang w:val="es-CR"/>
        </w:rPr>
        <w:t>t</w:t>
      </w:r>
      <w:r w:rsidRPr="004A744D">
        <w:rPr>
          <w:lang w:val="es-CR"/>
        </w:rPr>
        <w:t>vacunación</w:t>
      </w:r>
      <w:proofErr w:type="spellEnd"/>
      <w:r w:rsidRPr="004A744D">
        <w:rPr>
          <w:lang w:val="es-CR"/>
        </w:rPr>
        <w:t xml:space="preserve">, ocupación, comorbilidades y aplicación de la vacuna. </w:t>
      </w:r>
      <w:r w:rsidRPr="004A744D">
        <w:rPr>
          <w:color w:val="000000" w:themeColor="text1"/>
          <w:lang w:val="es-CR"/>
        </w:rPr>
        <w:t>Se realizó en un segundo momento la prueba de chi cuadrado con una p &lt;0.05, la cual se utilizó para la asociación de las variables.</w:t>
      </w:r>
    </w:p>
    <w:p w14:paraId="75616E26" w14:textId="77777777" w:rsidR="004A744D" w:rsidRPr="004A744D" w:rsidRDefault="004A744D" w:rsidP="004A744D">
      <w:pPr>
        <w:jc w:val="both"/>
        <w:rPr>
          <w:color w:val="000000" w:themeColor="text1"/>
          <w:lang w:val="es-CR"/>
        </w:rPr>
      </w:pPr>
    </w:p>
    <w:p w14:paraId="35CB8E75" w14:textId="77777777" w:rsidR="004A744D" w:rsidRPr="004A744D" w:rsidRDefault="004A744D" w:rsidP="004A744D">
      <w:pPr>
        <w:pStyle w:val="Ttulo1"/>
      </w:pPr>
      <w:r w:rsidRPr="004A744D">
        <w:t>RESULTADOS</w:t>
      </w:r>
    </w:p>
    <w:p w14:paraId="3C8F3F3B" w14:textId="7091B61A" w:rsidR="004B023E" w:rsidRDefault="004A744D" w:rsidP="004A744D">
      <w:pPr>
        <w:jc w:val="both"/>
        <w:rPr>
          <w:lang w:val="es-CR"/>
        </w:rPr>
        <w:sectPr w:rsidR="004B023E" w:rsidSect="00D726D5">
          <w:type w:val="continuous"/>
          <w:pgSz w:w="12240" w:h="15840"/>
          <w:pgMar w:top="1440" w:right="1467" w:bottom="1440" w:left="1440" w:header="720" w:footer="720" w:gutter="0"/>
          <w:pgNumType w:start="1"/>
          <w:cols w:num="2" w:space="720"/>
        </w:sectPr>
      </w:pPr>
      <w:r w:rsidRPr="004A744D">
        <w:rPr>
          <w:lang w:val="es-CR"/>
        </w:rPr>
        <w:t xml:space="preserve">La asociación entre el antecedente vacunal e infección por SARS-CoV-2 sin importar la temporalidad (pre o post </w:t>
      </w:r>
      <w:proofErr w:type="spellStart"/>
      <w:r w:rsidRPr="004A744D">
        <w:rPr>
          <w:lang w:val="es-CR"/>
        </w:rPr>
        <w:t>vacunacional</w:t>
      </w:r>
      <w:proofErr w:type="spellEnd"/>
      <w:r w:rsidRPr="004A744D">
        <w:rPr>
          <w:lang w:val="es-CR"/>
        </w:rPr>
        <w:t xml:space="preserve">) es de p= 0.199 (tabla 1, </w:t>
      </w:r>
      <w:r w:rsidR="00302E11">
        <w:rPr>
          <w:lang w:val="es-CR"/>
        </w:rPr>
        <w:t>figura</w:t>
      </w:r>
      <w:r w:rsidRPr="004A744D">
        <w:rPr>
          <w:lang w:val="es-CR"/>
        </w:rPr>
        <w:t xml:space="preserve"> 1). Entre la presencia de esquema </w:t>
      </w:r>
      <w:proofErr w:type="spellStart"/>
      <w:r w:rsidRPr="004A744D">
        <w:rPr>
          <w:lang w:val="es-CR"/>
        </w:rPr>
        <w:t>vacunacional</w:t>
      </w:r>
      <w:proofErr w:type="spellEnd"/>
      <w:r w:rsidRPr="004A744D">
        <w:rPr>
          <w:lang w:val="es-CR"/>
        </w:rPr>
        <w:t xml:space="preserve"> completo y la presencia de infección </w:t>
      </w:r>
      <w:proofErr w:type="spellStart"/>
      <w:r w:rsidRPr="004A744D">
        <w:rPr>
          <w:lang w:val="es-CR"/>
        </w:rPr>
        <w:t>prevacunacional</w:t>
      </w:r>
      <w:proofErr w:type="spellEnd"/>
      <w:r w:rsidRPr="004A744D">
        <w:rPr>
          <w:lang w:val="es-CR"/>
        </w:rPr>
        <w:t xml:space="preserve"> (p &lt;0.001), OR 2.8 (IC de 95% de 1.99-3.62) (tabla 2, </w:t>
      </w:r>
      <w:r w:rsidR="00302E11">
        <w:rPr>
          <w:lang w:val="es-CR"/>
        </w:rPr>
        <w:t>figura</w:t>
      </w:r>
      <w:r w:rsidRPr="004A744D">
        <w:rPr>
          <w:lang w:val="es-CR"/>
        </w:rPr>
        <w:t xml:space="preserve"> 2). La relación entre la infección </w:t>
      </w:r>
      <w:proofErr w:type="spellStart"/>
      <w:r w:rsidRPr="004A744D">
        <w:rPr>
          <w:lang w:val="es-CR"/>
        </w:rPr>
        <w:t>postvacunacional</w:t>
      </w:r>
      <w:proofErr w:type="spellEnd"/>
      <w:r w:rsidRPr="004A744D">
        <w:rPr>
          <w:lang w:val="es-CR"/>
        </w:rPr>
        <w:t xml:space="preserve"> y esquema completo (p&lt;0.001), OR -5.93 (IC 95% -7.93 a -3.94) (tabla 3, </w:t>
      </w:r>
      <w:r w:rsidR="00302E11">
        <w:rPr>
          <w:lang w:val="es-CR"/>
        </w:rPr>
        <w:t>figura</w:t>
      </w:r>
      <w:r w:rsidRPr="004A744D">
        <w:rPr>
          <w:lang w:val="es-CR"/>
        </w:rPr>
        <w:t xml:space="preserve"> 3). </w:t>
      </w:r>
    </w:p>
    <w:p w14:paraId="440D18CA" w14:textId="77777777" w:rsidR="00DA0555" w:rsidRDefault="00DA0555" w:rsidP="004A744D">
      <w:pPr>
        <w:jc w:val="both"/>
        <w:rPr>
          <w:lang w:val="es-CR"/>
        </w:rPr>
      </w:pPr>
    </w:p>
    <w:tbl>
      <w:tblPr>
        <w:tblStyle w:val="Tablaconcuadrcula"/>
        <w:tblW w:w="9351" w:type="dxa"/>
        <w:tblInd w:w="-5" w:type="dxa"/>
        <w:tblLook w:val="04A0" w:firstRow="1" w:lastRow="0" w:firstColumn="1" w:lastColumn="0" w:noHBand="0" w:noVBand="1"/>
      </w:tblPr>
      <w:tblGrid>
        <w:gridCol w:w="2206"/>
        <w:gridCol w:w="1475"/>
        <w:gridCol w:w="1559"/>
        <w:gridCol w:w="1364"/>
        <w:gridCol w:w="1381"/>
        <w:gridCol w:w="1366"/>
      </w:tblGrid>
      <w:tr w:rsidR="00F73A74" w:rsidRPr="00B73A85" w14:paraId="711EC67E" w14:textId="77777777" w:rsidTr="00353AAA">
        <w:tc>
          <w:tcPr>
            <w:tcW w:w="9351" w:type="dxa"/>
            <w:gridSpan w:val="6"/>
            <w:tcBorders>
              <w:top w:val="single" w:sz="4" w:space="0" w:color="auto"/>
            </w:tcBorders>
          </w:tcPr>
          <w:p w14:paraId="545C39B5" w14:textId="1B547111" w:rsidR="00F73A74" w:rsidRPr="00052764" w:rsidRDefault="00F73A74" w:rsidP="00F73A74">
            <w:pPr>
              <w:spacing w:line="276" w:lineRule="auto"/>
              <w:jc w:val="both"/>
              <w:rPr>
                <w:rFonts w:ascii="Arial" w:hAnsi="Arial" w:cs="Arial"/>
                <w:b/>
              </w:rPr>
            </w:pPr>
            <w:r w:rsidRPr="00DB470B">
              <w:rPr>
                <w:rFonts w:ascii="Arial" w:hAnsi="Arial" w:cs="Arial"/>
                <w:b/>
              </w:rPr>
              <w:t xml:space="preserve">Tabla 1. </w:t>
            </w:r>
            <w:r w:rsidRPr="00DB470B">
              <w:rPr>
                <w:rFonts w:ascii="Arial" w:hAnsi="Arial" w:cs="Arial"/>
              </w:rPr>
              <w:t>Aplicación o no</w:t>
            </w:r>
            <w:r w:rsidRPr="00052764">
              <w:rPr>
                <w:rFonts w:ascii="Arial" w:hAnsi="Arial" w:cs="Arial"/>
              </w:rPr>
              <w:t xml:space="preserve"> de la vacuna asociada con la presencia o ausencia de enfermedad de la COVID-19, durante el año 2022</w:t>
            </w:r>
          </w:p>
        </w:tc>
      </w:tr>
      <w:tr w:rsidR="00F73A74" w:rsidRPr="00FF6E49" w14:paraId="1D04E715" w14:textId="77777777" w:rsidTr="00353AAA">
        <w:tc>
          <w:tcPr>
            <w:tcW w:w="2206" w:type="dxa"/>
            <w:vMerge w:val="restart"/>
          </w:tcPr>
          <w:p w14:paraId="44B1C5A3" w14:textId="77777777" w:rsidR="00F73A74" w:rsidRPr="00DA0555" w:rsidRDefault="00F73A74" w:rsidP="00F73A74">
            <w:pPr>
              <w:spacing w:line="276" w:lineRule="auto"/>
              <w:rPr>
                <w:rFonts w:ascii="Arial" w:hAnsi="Arial" w:cs="Arial"/>
                <w:sz w:val="20"/>
                <w:szCs w:val="20"/>
              </w:rPr>
            </w:pPr>
          </w:p>
        </w:tc>
        <w:tc>
          <w:tcPr>
            <w:tcW w:w="3034" w:type="dxa"/>
            <w:gridSpan w:val="2"/>
            <w:hideMark/>
          </w:tcPr>
          <w:p w14:paraId="72F7CD69" w14:textId="77777777" w:rsidR="00F73A74" w:rsidRPr="00DA0555" w:rsidRDefault="00F73A74" w:rsidP="00F73A74">
            <w:pPr>
              <w:spacing w:line="276" w:lineRule="auto"/>
              <w:jc w:val="center"/>
              <w:rPr>
                <w:rFonts w:ascii="Arial" w:hAnsi="Arial" w:cs="Arial"/>
                <w:b/>
                <w:bCs/>
                <w:sz w:val="20"/>
                <w:szCs w:val="20"/>
              </w:rPr>
            </w:pPr>
            <w:r w:rsidRPr="00DA0555">
              <w:rPr>
                <w:rFonts w:ascii="Arial" w:hAnsi="Arial" w:cs="Arial"/>
                <w:b/>
                <w:bCs/>
                <w:sz w:val="20"/>
                <w:szCs w:val="20"/>
              </w:rPr>
              <w:t>Sí presentó infección</w:t>
            </w:r>
          </w:p>
        </w:tc>
        <w:tc>
          <w:tcPr>
            <w:tcW w:w="2745" w:type="dxa"/>
            <w:gridSpan w:val="2"/>
            <w:hideMark/>
          </w:tcPr>
          <w:p w14:paraId="27903520" w14:textId="77777777" w:rsidR="00F73A74" w:rsidRPr="00DA0555" w:rsidRDefault="00F73A74" w:rsidP="00F73A74">
            <w:pPr>
              <w:spacing w:line="276" w:lineRule="auto"/>
              <w:jc w:val="center"/>
              <w:rPr>
                <w:rFonts w:ascii="Arial" w:hAnsi="Arial" w:cs="Arial"/>
                <w:b/>
                <w:bCs/>
                <w:sz w:val="20"/>
                <w:szCs w:val="20"/>
              </w:rPr>
            </w:pPr>
            <w:r w:rsidRPr="00DA0555">
              <w:rPr>
                <w:rFonts w:ascii="Arial" w:hAnsi="Arial" w:cs="Arial"/>
                <w:b/>
                <w:bCs/>
                <w:sz w:val="20"/>
                <w:szCs w:val="20"/>
              </w:rPr>
              <w:t>No presentó infección</w:t>
            </w:r>
          </w:p>
        </w:tc>
        <w:tc>
          <w:tcPr>
            <w:tcW w:w="1366" w:type="dxa"/>
            <w:vMerge w:val="restart"/>
            <w:vAlign w:val="center"/>
            <w:hideMark/>
          </w:tcPr>
          <w:p w14:paraId="6252C964" w14:textId="77777777" w:rsidR="00F73A74" w:rsidRPr="00DA0555" w:rsidRDefault="00F73A74" w:rsidP="00F73A74">
            <w:pPr>
              <w:spacing w:line="276" w:lineRule="auto"/>
              <w:jc w:val="center"/>
              <w:rPr>
                <w:rFonts w:ascii="Arial" w:hAnsi="Arial" w:cs="Arial"/>
                <w:b/>
                <w:bCs/>
                <w:sz w:val="20"/>
                <w:szCs w:val="20"/>
              </w:rPr>
            </w:pPr>
            <w:r w:rsidRPr="00DA0555">
              <w:rPr>
                <w:rFonts w:ascii="Arial" w:hAnsi="Arial" w:cs="Arial"/>
                <w:b/>
                <w:bCs/>
                <w:sz w:val="20"/>
                <w:szCs w:val="20"/>
              </w:rPr>
              <w:t>Valor p</w:t>
            </w:r>
          </w:p>
        </w:tc>
      </w:tr>
      <w:tr w:rsidR="00F73A74" w:rsidRPr="00FF6E49" w14:paraId="5234D3B5" w14:textId="77777777" w:rsidTr="00353AAA">
        <w:tc>
          <w:tcPr>
            <w:tcW w:w="2206" w:type="dxa"/>
            <w:vMerge/>
            <w:hideMark/>
          </w:tcPr>
          <w:p w14:paraId="6021DDBA" w14:textId="77777777" w:rsidR="00F73A74" w:rsidRPr="00DA0555" w:rsidRDefault="00F73A74" w:rsidP="00F73A74">
            <w:pPr>
              <w:spacing w:line="276" w:lineRule="auto"/>
              <w:rPr>
                <w:rFonts w:ascii="Arial" w:hAnsi="Arial" w:cs="Arial"/>
                <w:sz w:val="20"/>
                <w:szCs w:val="20"/>
              </w:rPr>
            </w:pPr>
          </w:p>
        </w:tc>
        <w:tc>
          <w:tcPr>
            <w:tcW w:w="1475" w:type="dxa"/>
            <w:hideMark/>
          </w:tcPr>
          <w:p w14:paraId="0E442541" w14:textId="77777777" w:rsidR="00F73A74" w:rsidRPr="00DA0555" w:rsidRDefault="00F73A74" w:rsidP="00F73A74">
            <w:pPr>
              <w:spacing w:line="276" w:lineRule="auto"/>
              <w:rPr>
                <w:rFonts w:ascii="Arial" w:hAnsi="Arial" w:cs="Arial"/>
                <w:b/>
                <w:bCs/>
                <w:sz w:val="20"/>
                <w:szCs w:val="20"/>
              </w:rPr>
            </w:pPr>
            <w:r w:rsidRPr="00DA0555">
              <w:rPr>
                <w:rFonts w:ascii="Arial" w:hAnsi="Arial" w:cs="Arial"/>
                <w:b/>
                <w:bCs/>
                <w:sz w:val="20"/>
                <w:szCs w:val="20"/>
              </w:rPr>
              <w:t>Frecuencia</w:t>
            </w:r>
          </w:p>
        </w:tc>
        <w:tc>
          <w:tcPr>
            <w:tcW w:w="1559" w:type="dxa"/>
            <w:hideMark/>
          </w:tcPr>
          <w:p w14:paraId="6755EBAE" w14:textId="77777777" w:rsidR="00F73A74" w:rsidRPr="00DA0555" w:rsidRDefault="00F73A74" w:rsidP="00F73A74">
            <w:pPr>
              <w:spacing w:line="276" w:lineRule="auto"/>
              <w:rPr>
                <w:rFonts w:ascii="Arial" w:hAnsi="Arial" w:cs="Arial"/>
                <w:b/>
                <w:bCs/>
                <w:sz w:val="20"/>
                <w:szCs w:val="20"/>
              </w:rPr>
            </w:pPr>
            <w:r w:rsidRPr="00DA0555">
              <w:rPr>
                <w:rFonts w:ascii="Arial" w:hAnsi="Arial" w:cs="Arial"/>
                <w:b/>
                <w:bCs/>
                <w:sz w:val="20"/>
                <w:szCs w:val="20"/>
              </w:rPr>
              <w:t>Porcentaje</w:t>
            </w:r>
          </w:p>
        </w:tc>
        <w:tc>
          <w:tcPr>
            <w:tcW w:w="1364" w:type="dxa"/>
            <w:hideMark/>
          </w:tcPr>
          <w:p w14:paraId="663F4D79" w14:textId="77777777" w:rsidR="00F73A74" w:rsidRPr="00DA0555" w:rsidRDefault="00F73A74" w:rsidP="00F73A74">
            <w:pPr>
              <w:spacing w:line="276" w:lineRule="auto"/>
              <w:rPr>
                <w:rFonts w:ascii="Arial" w:hAnsi="Arial" w:cs="Arial"/>
                <w:b/>
                <w:bCs/>
                <w:sz w:val="20"/>
                <w:szCs w:val="20"/>
              </w:rPr>
            </w:pPr>
            <w:r w:rsidRPr="00DA0555">
              <w:rPr>
                <w:rFonts w:ascii="Arial" w:hAnsi="Arial" w:cs="Arial"/>
                <w:b/>
                <w:bCs/>
                <w:sz w:val="20"/>
                <w:szCs w:val="20"/>
              </w:rPr>
              <w:t>Frecuencia</w:t>
            </w:r>
          </w:p>
        </w:tc>
        <w:tc>
          <w:tcPr>
            <w:tcW w:w="1381" w:type="dxa"/>
            <w:hideMark/>
          </w:tcPr>
          <w:p w14:paraId="258BFDF0" w14:textId="77777777" w:rsidR="00F73A74" w:rsidRPr="00DA0555" w:rsidRDefault="00F73A74" w:rsidP="00F73A74">
            <w:pPr>
              <w:spacing w:line="276" w:lineRule="auto"/>
              <w:rPr>
                <w:rFonts w:ascii="Arial" w:hAnsi="Arial" w:cs="Arial"/>
                <w:b/>
                <w:bCs/>
                <w:sz w:val="20"/>
                <w:szCs w:val="20"/>
              </w:rPr>
            </w:pPr>
            <w:r w:rsidRPr="00DA0555">
              <w:rPr>
                <w:rFonts w:ascii="Arial" w:hAnsi="Arial" w:cs="Arial"/>
                <w:b/>
                <w:bCs/>
                <w:sz w:val="20"/>
                <w:szCs w:val="20"/>
              </w:rPr>
              <w:t>Porcentaje</w:t>
            </w:r>
          </w:p>
        </w:tc>
        <w:tc>
          <w:tcPr>
            <w:tcW w:w="1366" w:type="dxa"/>
            <w:vMerge/>
            <w:hideMark/>
          </w:tcPr>
          <w:p w14:paraId="0699B802" w14:textId="77777777" w:rsidR="00F73A74" w:rsidRPr="00DA0555" w:rsidRDefault="00F73A74" w:rsidP="00F73A74">
            <w:pPr>
              <w:spacing w:line="276" w:lineRule="auto"/>
              <w:rPr>
                <w:rFonts w:ascii="Arial" w:hAnsi="Arial" w:cs="Arial"/>
                <w:b/>
                <w:bCs/>
                <w:sz w:val="20"/>
                <w:szCs w:val="20"/>
              </w:rPr>
            </w:pPr>
          </w:p>
        </w:tc>
      </w:tr>
      <w:tr w:rsidR="00F73A74" w:rsidRPr="00FF6E49" w14:paraId="3D572E1A" w14:textId="77777777" w:rsidTr="00353AAA">
        <w:tc>
          <w:tcPr>
            <w:tcW w:w="2206" w:type="dxa"/>
            <w:hideMark/>
          </w:tcPr>
          <w:p w14:paraId="4FAA9C52" w14:textId="77777777" w:rsidR="00F73A74" w:rsidRPr="00DA0555" w:rsidRDefault="00F73A74" w:rsidP="00F73A74">
            <w:pPr>
              <w:spacing w:line="276" w:lineRule="auto"/>
              <w:rPr>
                <w:rFonts w:ascii="Arial" w:hAnsi="Arial" w:cs="Arial"/>
                <w:sz w:val="20"/>
                <w:szCs w:val="20"/>
              </w:rPr>
            </w:pPr>
            <w:r w:rsidRPr="00DA0555">
              <w:rPr>
                <w:rFonts w:ascii="Arial" w:hAnsi="Arial" w:cs="Arial"/>
                <w:sz w:val="20"/>
                <w:szCs w:val="20"/>
              </w:rPr>
              <w:t>Esquema completo</w:t>
            </w:r>
          </w:p>
        </w:tc>
        <w:tc>
          <w:tcPr>
            <w:tcW w:w="1475" w:type="dxa"/>
            <w:hideMark/>
          </w:tcPr>
          <w:p w14:paraId="5F3BE043"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263</w:t>
            </w:r>
          </w:p>
        </w:tc>
        <w:tc>
          <w:tcPr>
            <w:tcW w:w="1559" w:type="dxa"/>
            <w:hideMark/>
          </w:tcPr>
          <w:p w14:paraId="17174874"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74.71%</w:t>
            </w:r>
          </w:p>
        </w:tc>
        <w:tc>
          <w:tcPr>
            <w:tcW w:w="1364" w:type="dxa"/>
            <w:hideMark/>
          </w:tcPr>
          <w:p w14:paraId="73434302"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15</w:t>
            </w:r>
          </w:p>
        </w:tc>
        <w:tc>
          <w:tcPr>
            <w:tcW w:w="1381" w:type="dxa"/>
            <w:hideMark/>
          </w:tcPr>
          <w:p w14:paraId="766E9EC1"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4.26%</w:t>
            </w:r>
          </w:p>
        </w:tc>
        <w:tc>
          <w:tcPr>
            <w:tcW w:w="1366" w:type="dxa"/>
            <w:vMerge w:val="restart"/>
            <w:hideMark/>
          </w:tcPr>
          <w:p w14:paraId="0CCD5C36" w14:textId="77777777" w:rsidR="00F73A74" w:rsidRPr="00DA0555" w:rsidRDefault="00F73A74" w:rsidP="00F73A74">
            <w:pPr>
              <w:spacing w:line="276" w:lineRule="auto"/>
              <w:jc w:val="center"/>
              <w:rPr>
                <w:rFonts w:ascii="Arial" w:hAnsi="Arial" w:cs="Arial"/>
                <w:sz w:val="20"/>
                <w:szCs w:val="20"/>
              </w:rPr>
            </w:pPr>
            <w:r w:rsidRPr="00DA0555">
              <w:rPr>
                <w:rFonts w:ascii="Arial" w:hAnsi="Arial" w:cs="Arial"/>
                <w:sz w:val="20"/>
                <w:szCs w:val="20"/>
              </w:rPr>
              <w:t>0.199</w:t>
            </w:r>
          </w:p>
        </w:tc>
      </w:tr>
      <w:tr w:rsidR="00F73A74" w:rsidRPr="00FF6E49" w14:paraId="00BF0B9B" w14:textId="77777777" w:rsidTr="00353AAA">
        <w:tc>
          <w:tcPr>
            <w:tcW w:w="2206" w:type="dxa"/>
            <w:hideMark/>
          </w:tcPr>
          <w:p w14:paraId="549074E9" w14:textId="77777777" w:rsidR="00F73A74" w:rsidRPr="00DA0555" w:rsidRDefault="00F73A74" w:rsidP="00F73A74">
            <w:pPr>
              <w:spacing w:line="276" w:lineRule="auto"/>
              <w:rPr>
                <w:rFonts w:ascii="Arial" w:hAnsi="Arial" w:cs="Arial"/>
                <w:sz w:val="20"/>
                <w:szCs w:val="20"/>
              </w:rPr>
            </w:pPr>
            <w:r w:rsidRPr="00DA0555">
              <w:rPr>
                <w:rFonts w:ascii="Arial" w:hAnsi="Arial" w:cs="Arial"/>
                <w:sz w:val="20"/>
                <w:szCs w:val="20"/>
              </w:rPr>
              <w:t xml:space="preserve">Sin esquema </w:t>
            </w:r>
          </w:p>
        </w:tc>
        <w:tc>
          <w:tcPr>
            <w:tcW w:w="1475" w:type="dxa"/>
            <w:hideMark/>
          </w:tcPr>
          <w:p w14:paraId="44E1E3D7"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67</w:t>
            </w:r>
          </w:p>
        </w:tc>
        <w:tc>
          <w:tcPr>
            <w:tcW w:w="1559" w:type="dxa"/>
            <w:hideMark/>
          </w:tcPr>
          <w:p w14:paraId="28EE76BD"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19.03%</w:t>
            </w:r>
          </w:p>
        </w:tc>
        <w:tc>
          <w:tcPr>
            <w:tcW w:w="1364" w:type="dxa"/>
            <w:hideMark/>
          </w:tcPr>
          <w:p w14:paraId="5F4DFD03"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7</w:t>
            </w:r>
          </w:p>
        </w:tc>
        <w:tc>
          <w:tcPr>
            <w:tcW w:w="1381" w:type="dxa"/>
            <w:hideMark/>
          </w:tcPr>
          <w:p w14:paraId="4DF03973"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1.98%</w:t>
            </w:r>
          </w:p>
        </w:tc>
        <w:tc>
          <w:tcPr>
            <w:tcW w:w="1366" w:type="dxa"/>
            <w:vMerge/>
            <w:hideMark/>
          </w:tcPr>
          <w:p w14:paraId="13D8D70F" w14:textId="77777777" w:rsidR="00F73A74" w:rsidRPr="00DA0555" w:rsidRDefault="00F73A74" w:rsidP="00F73A74">
            <w:pPr>
              <w:spacing w:line="276" w:lineRule="auto"/>
              <w:rPr>
                <w:rFonts w:ascii="Arial" w:hAnsi="Arial" w:cs="Arial"/>
                <w:sz w:val="20"/>
                <w:szCs w:val="20"/>
              </w:rPr>
            </w:pPr>
          </w:p>
        </w:tc>
      </w:tr>
      <w:tr w:rsidR="00F73A74" w:rsidRPr="00FF6E49" w14:paraId="29A33BB0" w14:textId="77777777" w:rsidTr="00353AAA">
        <w:tc>
          <w:tcPr>
            <w:tcW w:w="2206" w:type="dxa"/>
            <w:hideMark/>
          </w:tcPr>
          <w:p w14:paraId="3C2CF2C7" w14:textId="77777777" w:rsidR="00F73A74" w:rsidRPr="00DA0555" w:rsidRDefault="00F73A74" w:rsidP="00F73A74">
            <w:pPr>
              <w:spacing w:line="276" w:lineRule="auto"/>
              <w:rPr>
                <w:rFonts w:ascii="Arial" w:hAnsi="Arial" w:cs="Arial"/>
                <w:sz w:val="20"/>
                <w:szCs w:val="20"/>
              </w:rPr>
            </w:pPr>
            <w:r w:rsidRPr="00DA0555">
              <w:rPr>
                <w:rFonts w:ascii="Arial" w:hAnsi="Arial" w:cs="Arial"/>
                <w:sz w:val="20"/>
                <w:szCs w:val="20"/>
              </w:rPr>
              <w:t xml:space="preserve">Total </w:t>
            </w:r>
          </w:p>
        </w:tc>
        <w:tc>
          <w:tcPr>
            <w:tcW w:w="1475" w:type="dxa"/>
            <w:hideMark/>
          </w:tcPr>
          <w:p w14:paraId="236AA259"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330</w:t>
            </w:r>
          </w:p>
        </w:tc>
        <w:tc>
          <w:tcPr>
            <w:tcW w:w="1559" w:type="dxa"/>
          </w:tcPr>
          <w:p w14:paraId="4CE2FE68"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93.74%</w:t>
            </w:r>
          </w:p>
        </w:tc>
        <w:tc>
          <w:tcPr>
            <w:tcW w:w="1364" w:type="dxa"/>
            <w:hideMark/>
          </w:tcPr>
          <w:p w14:paraId="3B46BFF6"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22</w:t>
            </w:r>
          </w:p>
        </w:tc>
        <w:tc>
          <w:tcPr>
            <w:tcW w:w="1381" w:type="dxa"/>
            <w:hideMark/>
          </w:tcPr>
          <w:p w14:paraId="243F1497" w14:textId="77777777" w:rsidR="00F73A74" w:rsidRPr="00DA0555" w:rsidRDefault="00F73A74" w:rsidP="00C25DD4">
            <w:pPr>
              <w:spacing w:line="276" w:lineRule="auto"/>
              <w:jc w:val="center"/>
              <w:rPr>
                <w:rFonts w:ascii="Arial" w:hAnsi="Arial" w:cs="Arial"/>
                <w:sz w:val="20"/>
                <w:szCs w:val="20"/>
              </w:rPr>
            </w:pPr>
            <w:r w:rsidRPr="00DA0555">
              <w:rPr>
                <w:rFonts w:ascii="Arial" w:hAnsi="Arial" w:cs="Arial"/>
                <w:sz w:val="20"/>
                <w:szCs w:val="20"/>
              </w:rPr>
              <w:t>6.24%</w:t>
            </w:r>
          </w:p>
        </w:tc>
        <w:tc>
          <w:tcPr>
            <w:tcW w:w="1366" w:type="dxa"/>
            <w:hideMark/>
          </w:tcPr>
          <w:p w14:paraId="23059EA1" w14:textId="77777777" w:rsidR="00F73A74" w:rsidRPr="00DA0555" w:rsidRDefault="00F73A74" w:rsidP="00F73A74">
            <w:pPr>
              <w:spacing w:line="276" w:lineRule="auto"/>
              <w:jc w:val="center"/>
              <w:rPr>
                <w:rFonts w:ascii="Arial" w:hAnsi="Arial" w:cs="Arial"/>
                <w:sz w:val="20"/>
                <w:szCs w:val="20"/>
              </w:rPr>
            </w:pPr>
            <w:r w:rsidRPr="00DA0555">
              <w:rPr>
                <w:rFonts w:ascii="Arial" w:hAnsi="Arial" w:cs="Arial"/>
                <w:sz w:val="20"/>
                <w:szCs w:val="20"/>
              </w:rPr>
              <w:t>352</w:t>
            </w:r>
          </w:p>
        </w:tc>
      </w:tr>
      <w:tr w:rsidR="00F73A74" w:rsidRPr="00B73A85" w14:paraId="52168A16" w14:textId="77777777" w:rsidTr="00353AAA">
        <w:tc>
          <w:tcPr>
            <w:tcW w:w="9351" w:type="dxa"/>
            <w:gridSpan w:val="6"/>
          </w:tcPr>
          <w:p w14:paraId="5E1B2CA8" w14:textId="15F53E7B" w:rsidR="00F73A74" w:rsidRDefault="00D252EA" w:rsidP="00F73A74">
            <w:pPr>
              <w:spacing w:line="276" w:lineRule="auto"/>
              <w:jc w:val="both"/>
              <w:rPr>
                <w:rFonts w:ascii="Arial" w:hAnsi="Arial" w:cs="Arial"/>
                <w:sz w:val="18"/>
              </w:rPr>
            </w:pPr>
            <w:r>
              <w:rPr>
                <w:rFonts w:ascii="Arial" w:hAnsi="Arial" w:cs="Arial"/>
                <w:sz w:val="18"/>
              </w:rPr>
              <w:t>* P</w:t>
            </w:r>
            <w:r w:rsidR="00F73A74" w:rsidRPr="00052764">
              <w:rPr>
                <w:rFonts w:ascii="Arial" w:hAnsi="Arial" w:cs="Arial"/>
                <w:sz w:val="18"/>
              </w:rPr>
              <w:t>rueba chi cuadrado</w:t>
            </w:r>
            <w:r>
              <w:rPr>
                <w:rFonts w:ascii="Arial" w:hAnsi="Arial" w:cs="Arial"/>
                <w:sz w:val="18"/>
              </w:rPr>
              <w:t>.</w:t>
            </w:r>
          </w:p>
          <w:p w14:paraId="0364EE4C" w14:textId="657D60BE" w:rsidR="003C71AE" w:rsidRPr="003C71AE" w:rsidRDefault="003C71AE" w:rsidP="00F73A74">
            <w:pPr>
              <w:spacing w:line="276" w:lineRule="auto"/>
              <w:jc w:val="both"/>
              <w:rPr>
                <w:rFonts w:ascii="Arial" w:hAnsi="Arial" w:cs="Arial"/>
                <w:sz w:val="18"/>
              </w:rPr>
            </w:pPr>
            <w:r w:rsidRPr="00052764">
              <w:rPr>
                <w:rFonts w:ascii="Arial" w:hAnsi="Arial" w:cs="Arial"/>
                <w:b/>
                <w:sz w:val="18"/>
              </w:rPr>
              <w:t>Fuente</w:t>
            </w:r>
            <w:r w:rsidR="00D252EA">
              <w:rPr>
                <w:rFonts w:ascii="Arial" w:hAnsi="Arial" w:cs="Arial"/>
                <w:b/>
                <w:sz w:val="18"/>
              </w:rPr>
              <w:t>.</w:t>
            </w:r>
            <w:r w:rsidRPr="00052764">
              <w:rPr>
                <w:rFonts w:ascii="Arial" w:hAnsi="Arial" w:cs="Arial"/>
                <w:sz w:val="18"/>
              </w:rPr>
              <w:t xml:space="preserve"> Encuesta realizada durante el estudio clínico.</w:t>
            </w:r>
          </w:p>
        </w:tc>
      </w:tr>
    </w:tbl>
    <w:p w14:paraId="54BD1121" w14:textId="77777777" w:rsidR="00F73A74" w:rsidRDefault="00F73A74" w:rsidP="004A744D">
      <w:pPr>
        <w:jc w:val="both"/>
        <w:rPr>
          <w:lang w:val="es-CR"/>
        </w:rPr>
      </w:pPr>
    </w:p>
    <w:tbl>
      <w:tblPr>
        <w:tblStyle w:val="Tablaconcuadrcula"/>
        <w:tblW w:w="9351" w:type="dxa"/>
        <w:tblLook w:val="04A0" w:firstRow="1" w:lastRow="0" w:firstColumn="1" w:lastColumn="0" w:noHBand="0" w:noVBand="1"/>
      </w:tblPr>
      <w:tblGrid>
        <w:gridCol w:w="9351"/>
      </w:tblGrid>
      <w:tr w:rsidR="00D252EA" w:rsidRPr="00B73A85" w14:paraId="4A511A03" w14:textId="77777777" w:rsidTr="005E3646">
        <w:tc>
          <w:tcPr>
            <w:tcW w:w="9351" w:type="dxa"/>
          </w:tcPr>
          <w:p w14:paraId="4FAD66E4" w14:textId="422812E0" w:rsidR="00D252EA" w:rsidRDefault="00DA0555" w:rsidP="005E3646">
            <w:pPr>
              <w:spacing w:line="276" w:lineRule="auto"/>
              <w:jc w:val="both"/>
              <w:rPr>
                <w:rFonts w:ascii="Arial" w:hAnsi="Arial" w:cs="Arial"/>
              </w:rPr>
            </w:pPr>
            <w:r>
              <w:rPr>
                <w:rFonts w:ascii="Arial" w:hAnsi="Arial" w:cs="Arial"/>
                <w:b/>
                <w:szCs w:val="24"/>
              </w:rPr>
              <w:lastRenderedPageBreak/>
              <w:t>Figura</w:t>
            </w:r>
            <w:r w:rsidR="00D252EA" w:rsidRPr="00DB470B">
              <w:rPr>
                <w:rFonts w:ascii="Arial" w:hAnsi="Arial" w:cs="Arial"/>
                <w:b/>
                <w:szCs w:val="24"/>
              </w:rPr>
              <w:t xml:space="preserve"> 1</w:t>
            </w:r>
            <w:r w:rsidR="00D252EA">
              <w:rPr>
                <w:rFonts w:ascii="Arial" w:hAnsi="Arial" w:cs="Arial"/>
                <w:b/>
                <w:szCs w:val="24"/>
              </w:rPr>
              <w:t>.</w:t>
            </w:r>
            <w:r w:rsidR="00D252EA" w:rsidRPr="00DB470B">
              <w:rPr>
                <w:rFonts w:ascii="Arial" w:hAnsi="Arial" w:cs="Arial"/>
                <w:b/>
                <w:szCs w:val="24"/>
              </w:rPr>
              <w:t xml:space="preserve"> </w:t>
            </w:r>
            <w:r w:rsidRPr="00DA0555">
              <w:rPr>
                <w:rFonts w:ascii="Arial" w:hAnsi="Arial" w:cs="Arial"/>
                <w:bCs/>
                <w:szCs w:val="24"/>
              </w:rPr>
              <w:t>Gráfico de la a</w:t>
            </w:r>
            <w:r w:rsidR="00D252EA" w:rsidRPr="00DA0555">
              <w:rPr>
                <w:rFonts w:ascii="Arial" w:hAnsi="Arial" w:cs="Arial"/>
                <w:bCs/>
                <w:szCs w:val="24"/>
              </w:rPr>
              <w:t>plicación o no de la vacuna asociada con la presencia o ausencia de enfermedad de la COVID-19, durante el año 2022</w:t>
            </w:r>
          </w:p>
        </w:tc>
      </w:tr>
      <w:tr w:rsidR="00D252EA" w14:paraId="05CDFD6D" w14:textId="77777777" w:rsidTr="005E3646">
        <w:tc>
          <w:tcPr>
            <w:tcW w:w="9351" w:type="dxa"/>
          </w:tcPr>
          <w:p w14:paraId="245FAF1F" w14:textId="77777777" w:rsidR="00D252EA" w:rsidRDefault="00D252EA" w:rsidP="005E3646">
            <w:pPr>
              <w:spacing w:line="276" w:lineRule="auto"/>
              <w:jc w:val="center"/>
              <w:rPr>
                <w:rFonts w:ascii="Arial" w:hAnsi="Arial" w:cs="Arial"/>
              </w:rPr>
            </w:pPr>
            <w:r w:rsidRPr="00FF6E49">
              <w:rPr>
                <w:noProof/>
                <w:lang w:val="es-CR" w:eastAsia="es-CR"/>
              </w:rPr>
              <w:drawing>
                <wp:inline distT="0" distB="0" distL="0" distR="0" wp14:anchorId="067F6E26" wp14:editId="61B15A14">
                  <wp:extent cx="3497967" cy="2162754"/>
                  <wp:effectExtent l="0" t="0" r="762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D252EA" w:rsidRPr="00B73A85" w14:paraId="2779CB77" w14:textId="77777777" w:rsidTr="005E3646">
        <w:tc>
          <w:tcPr>
            <w:tcW w:w="9351" w:type="dxa"/>
          </w:tcPr>
          <w:p w14:paraId="4A7FE4D0" w14:textId="33815C4E" w:rsidR="00D252EA" w:rsidRDefault="00DA0555" w:rsidP="005E3646">
            <w:pPr>
              <w:spacing w:line="276" w:lineRule="auto"/>
              <w:jc w:val="both"/>
              <w:rPr>
                <w:rFonts w:ascii="Arial" w:hAnsi="Arial" w:cs="Arial"/>
              </w:rPr>
            </w:pPr>
            <w:r w:rsidRPr="00052764">
              <w:rPr>
                <w:rFonts w:ascii="Arial" w:hAnsi="Arial" w:cs="Arial"/>
                <w:b/>
                <w:sz w:val="18"/>
              </w:rPr>
              <w:t>Fuente</w:t>
            </w:r>
            <w:r>
              <w:rPr>
                <w:rFonts w:ascii="Arial" w:hAnsi="Arial" w:cs="Arial"/>
                <w:b/>
                <w:sz w:val="18"/>
              </w:rPr>
              <w:t>.</w:t>
            </w:r>
            <w:r w:rsidRPr="00052764">
              <w:rPr>
                <w:rFonts w:ascii="Arial" w:hAnsi="Arial" w:cs="Arial"/>
                <w:sz w:val="18"/>
              </w:rPr>
              <w:t xml:space="preserve"> Encuesta realizada durante el estudio clínico.</w:t>
            </w:r>
          </w:p>
        </w:tc>
      </w:tr>
    </w:tbl>
    <w:p w14:paraId="11639587" w14:textId="77777777" w:rsidR="00D252EA" w:rsidRDefault="00D252EA" w:rsidP="004A744D">
      <w:pPr>
        <w:jc w:val="both"/>
        <w:rPr>
          <w:lang w:val="es-CR"/>
        </w:rPr>
      </w:pPr>
    </w:p>
    <w:tbl>
      <w:tblPr>
        <w:tblStyle w:val="Tablaconcuadrcula"/>
        <w:tblW w:w="9351" w:type="dxa"/>
        <w:tblLook w:val="04A0" w:firstRow="1" w:lastRow="0" w:firstColumn="1" w:lastColumn="0" w:noHBand="0" w:noVBand="1"/>
      </w:tblPr>
      <w:tblGrid>
        <w:gridCol w:w="2353"/>
        <w:gridCol w:w="1305"/>
        <w:gridCol w:w="1268"/>
        <w:gridCol w:w="1407"/>
        <w:gridCol w:w="1276"/>
        <w:gridCol w:w="1742"/>
      </w:tblGrid>
      <w:tr w:rsidR="00DA0555" w:rsidRPr="00B73A85" w14:paraId="315BFE49" w14:textId="77777777" w:rsidTr="005E3646">
        <w:tc>
          <w:tcPr>
            <w:tcW w:w="9351" w:type="dxa"/>
            <w:gridSpan w:val="6"/>
          </w:tcPr>
          <w:p w14:paraId="7EA59542" w14:textId="5EC734FE" w:rsidR="00DA0555" w:rsidRPr="00052764" w:rsidRDefault="00DA0555" w:rsidP="005E3646">
            <w:pPr>
              <w:spacing w:line="276" w:lineRule="auto"/>
              <w:jc w:val="both"/>
              <w:rPr>
                <w:rFonts w:ascii="Arial" w:hAnsi="Arial" w:cs="Arial"/>
              </w:rPr>
            </w:pPr>
            <w:r w:rsidRPr="00DB470B">
              <w:rPr>
                <w:rFonts w:ascii="Arial" w:hAnsi="Arial" w:cs="Arial"/>
                <w:b/>
              </w:rPr>
              <w:t xml:space="preserve">Tabla 2. </w:t>
            </w:r>
            <w:r w:rsidRPr="00DB470B">
              <w:rPr>
                <w:rFonts w:ascii="Arial" w:hAnsi="Arial" w:cs="Arial"/>
              </w:rPr>
              <w:t xml:space="preserve">Presencia de esquema completo COVID-19 con presencia de enfermedad </w:t>
            </w:r>
            <w:proofErr w:type="gramStart"/>
            <w:r w:rsidRPr="00DB470B">
              <w:rPr>
                <w:rFonts w:ascii="Arial" w:hAnsi="Arial" w:cs="Arial"/>
              </w:rPr>
              <w:t>pre vacunación</w:t>
            </w:r>
            <w:proofErr w:type="gramEnd"/>
            <w:r w:rsidRPr="00DB470B">
              <w:rPr>
                <w:rFonts w:ascii="Arial" w:hAnsi="Arial" w:cs="Arial"/>
              </w:rPr>
              <w:t xml:space="preserve"> en pacientes durante el 2022</w:t>
            </w:r>
          </w:p>
        </w:tc>
      </w:tr>
      <w:tr w:rsidR="00DA0555" w:rsidRPr="00FF6E49" w14:paraId="587F5491" w14:textId="77777777" w:rsidTr="00DA0555">
        <w:tc>
          <w:tcPr>
            <w:tcW w:w="2353" w:type="dxa"/>
            <w:vMerge w:val="restart"/>
          </w:tcPr>
          <w:p w14:paraId="3137135B" w14:textId="77777777" w:rsidR="00DA0555" w:rsidRPr="00DA0555" w:rsidRDefault="00DA0555" w:rsidP="005E3646">
            <w:pPr>
              <w:spacing w:line="276" w:lineRule="auto"/>
              <w:rPr>
                <w:rFonts w:ascii="Arial" w:hAnsi="Arial" w:cs="Arial"/>
                <w:sz w:val="20"/>
                <w:szCs w:val="20"/>
              </w:rPr>
            </w:pPr>
          </w:p>
        </w:tc>
        <w:tc>
          <w:tcPr>
            <w:tcW w:w="2573" w:type="dxa"/>
            <w:gridSpan w:val="2"/>
            <w:hideMark/>
          </w:tcPr>
          <w:p w14:paraId="28EE65EC" w14:textId="77777777" w:rsidR="00DA0555" w:rsidRPr="00DA0555" w:rsidRDefault="00DA0555" w:rsidP="005E3646">
            <w:pPr>
              <w:spacing w:line="276" w:lineRule="auto"/>
              <w:jc w:val="center"/>
              <w:rPr>
                <w:rFonts w:ascii="Arial" w:hAnsi="Arial" w:cs="Arial"/>
                <w:b/>
                <w:bCs/>
                <w:sz w:val="20"/>
                <w:szCs w:val="20"/>
              </w:rPr>
            </w:pPr>
            <w:r w:rsidRPr="00DA0555">
              <w:rPr>
                <w:rFonts w:ascii="Arial" w:hAnsi="Arial" w:cs="Arial"/>
                <w:b/>
                <w:bCs/>
                <w:sz w:val="20"/>
                <w:szCs w:val="20"/>
              </w:rPr>
              <w:t>Sí presentó infección</w:t>
            </w:r>
          </w:p>
        </w:tc>
        <w:tc>
          <w:tcPr>
            <w:tcW w:w="2683" w:type="dxa"/>
            <w:gridSpan w:val="2"/>
            <w:hideMark/>
          </w:tcPr>
          <w:p w14:paraId="5CC8DCBC" w14:textId="77777777" w:rsidR="00DA0555" w:rsidRPr="00DA0555" w:rsidRDefault="00DA0555" w:rsidP="005E3646">
            <w:pPr>
              <w:spacing w:line="276" w:lineRule="auto"/>
              <w:jc w:val="center"/>
              <w:rPr>
                <w:rFonts w:ascii="Arial" w:hAnsi="Arial" w:cs="Arial"/>
                <w:b/>
                <w:bCs/>
                <w:sz w:val="20"/>
                <w:szCs w:val="20"/>
              </w:rPr>
            </w:pPr>
            <w:r w:rsidRPr="00DA0555">
              <w:rPr>
                <w:rFonts w:ascii="Arial" w:hAnsi="Arial" w:cs="Arial"/>
                <w:b/>
                <w:bCs/>
                <w:sz w:val="20"/>
                <w:szCs w:val="20"/>
              </w:rPr>
              <w:t>No presentó infección</w:t>
            </w:r>
          </w:p>
        </w:tc>
        <w:tc>
          <w:tcPr>
            <w:tcW w:w="1742" w:type="dxa"/>
            <w:vMerge w:val="restart"/>
            <w:vAlign w:val="center"/>
            <w:hideMark/>
          </w:tcPr>
          <w:p w14:paraId="20C8F583" w14:textId="77777777" w:rsidR="00DA0555" w:rsidRPr="00DA0555" w:rsidRDefault="00DA0555" w:rsidP="005E3646">
            <w:pPr>
              <w:spacing w:line="276" w:lineRule="auto"/>
              <w:jc w:val="center"/>
              <w:rPr>
                <w:rFonts w:ascii="Arial" w:hAnsi="Arial" w:cs="Arial"/>
                <w:b/>
                <w:bCs/>
                <w:sz w:val="20"/>
                <w:szCs w:val="20"/>
              </w:rPr>
            </w:pPr>
            <w:r w:rsidRPr="00DA0555">
              <w:rPr>
                <w:rFonts w:ascii="Arial" w:hAnsi="Arial" w:cs="Arial"/>
                <w:b/>
                <w:bCs/>
                <w:sz w:val="20"/>
                <w:szCs w:val="20"/>
              </w:rPr>
              <w:t>Valor p</w:t>
            </w:r>
          </w:p>
        </w:tc>
      </w:tr>
      <w:tr w:rsidR="00DA0555" w:rsidRPr="00FF6E49" w14:paraId="4C3DB927" w14:textId="77777777" w:rsidTr="005E3646">
        <w:tc>
          <w:tcPr>
            <w:tcW w:w="2353" w:type="dxa"/>
            <w:vMerge/>
            <w:hideMark/>
          </w:tcPr>
          <w:p w14:paraId="27DC1E70" w14:textId="77777777" w:rsidR="00DA0555" w:rsidRPr="00DA0555" w:rsidRDefault="00DA0555" w:rsidP="005E3646">
            <w:pPr>
              <w:spacing w:line="276" w:lineRule="auto"/>
              <w:rPr>
                <w:rFonts w:ascii="Arial" w:hAnsi="Arial" w:cs="Arial"/>
                <w:sz w:val="20"/>
                <w:szCs w:val="20"/>
              </w:rPr>
            </w:pPr>
          </w:p>
        </w:tc>
        <w:tc>
          <w:tcPr>
            <w:tcW w:w="1305" w:type="dxa"/>
            <w:hideMark/>
          </w:tcPr>
          <w:p w14:paraId="42886769" w14:textId="77777777" w:rsidR="00DA0555" w:rsidRPr="00DA0555" w:rsidRDefault="00DA0555" w:rsidP="005E3646">
            <w:pPr>
              <w:spacing w:line="276" w:lineRule="auto"/>
              <w:rPr>
                <w:rFonts w:ascii="Arial" w:hAnsi="Arial" w:cs="Arial"/>
                <w:b/>
                <w:bCs/>
                <w:sz w:val="20"/>
                <w:szCs w:val="20"/>
              </w:rPr>
            </w:pPr>
            <w:r w:rsidRPr="00DA0555">
              <w:rPr>
                <w:rFonts w:ascii="Arial" w:hAnsi="Arial" w:cs="Arial"/>
                <w:b/>
                <w:bCs/>
                <w:sz w:val="20"/>
                <w:szCs w:val="20"/>
              </w:rPr>
              <w:t>Frecuencia</w:t>
            </w:r>
          </w:p>
        </w:tc>
        <w:tc>
          <w:tcPr>
            <w:tcW w:w="1268" w:type="dxa"/>
            <w:hideMark/>
          </w:tcPr>
          <w:p w14:paraId="05F3EDE1" w14:textId="77777777" w:rsidR="00DA0555" w:rsidRPr="00DA0555" w:rsidRDefault="00DA0555" w:rsidP="005E3646">
            <w:pPr>
              <w:spacing w:line="276" w:lineRule="auto"/>
              <w:rPr>
                <w:rFonts w:ascii="Arial" w:hAnsi="Arial" w:cs="Arial"/>
                <w:b/>
                <w:bCs/>
                <w:sz w:val="20"/>
                <w:szCs w:val="20"/>
              </w:rPr>
            </w:pPr>
            <w:r w:rsidRPr="00DA0555">
              <w:rPr>
                <w:rFonts w:ascii="Arial" w:hAnsi="Arial" w:cs="Arial"/>
                <w:b/>
                <w:bCs/>
                <w:sz w:val="20"/>
                <w:szCs w:val="20"/>
              </w:rPr>
              <w:t>Porcentaje</w:t>
            </w:r>
          </w:p>
        </w:tc>
        <w:tc>
          <w:tcPr>
            <w:tcW w:w="1407" w:type="dxa"/>
            <w:hideMark/>
          </w:tcPr>
          <w:p w14:paraId="79F99632" w14:textId="77777777" w:rsidR="00DA0555" w:rsidRPr="00DA0555" w:rsidRDefault="00DA0555" w:rsidP="005E3646">
            <w:pPr>
              <w:spacing w:line="276" w:lineRule="auto"/>
              <w:rPr>
                <w:rFonts w:ascii="Arial" w:hAnsi="Arial" w:cs="Arial"/>
                <w:b/>
                <w:bCs/>
                <w:sz w:val="20"/>
                <w:szCs w:val="20"/>
              </w:rPr>
            </w:pPr>
            <w:r w:rsidRPr="00DA0555">
              <w:rPr>
                <w:rFonts w:ascii="Arial" w:hAnsi="Arial" w:cs="Arial"/>
                <w:b/>
                <w:bCs/>
                <w:sz w:val="20"/>
                <w:szCs w:val="20"/>
              </w:rPr>
              <w:t>Frecuencia</w:t>
            </w:r>
          </w:p>
        </w:tc>
        <w:tc>
          <w:tcPr>
            <w:tcW w:w="1276" w:type="dxa"/>
            <w:hideMark/>
          </w:tcPr>
          <w:p w14:paraId="7703E49C" w14:textId="77777777" w:rsidR="00DA0555" w:rsidRPr="00DA0555" w:rsidRDefault="00DA0555" w:rsidP="005E3646">
            <w:pPr>
              <w:spacing w:line="276" w:lineRule="auto"/>
              <w:rPr>
                <w:rFonts w:ascii="Arial" w:hAnsi="Arial" w:cs="Arial"/>
                <w:b/>
                <w:bCs/>
                <w:sz w:val="20"/>
                <w:szCs w:val="20"/>
              </w:rPr>
            </w:pPr>
            <w:r w:rsidRPr="00DA0555">
              <w:rPr>
                <w:rFonts w:ascii="Arial" w:hAnsi="Arial" w:cs="Arial"/>
                <w:b/>
                <w:bCs/>
                <w:sz w:val="20"/>
                <w:szCs w:val="20"/>
              </w:rPr>
              <w:t>Porcentaje</w:t>
            </w:r>
          </w:p>
        </w:tc>
        <w:tc>
          <w:tcPr>
            <w:tcW w:w="1742" w:type="dxa"/>
            <w:vMerge/>
            <w:hideMark/>
          </w:tcPr>
          <w:p w14:paraId="6B663CF7" w14:textId="77777777" w:rsidR="00DA0555" w:rsidRPr="00DA0555" w:rsidRDefault="00DA0555" w:rsidP="005E3646">
            <w:pPr>
              <w:spacing w:line="276" w:lineRule="auto"/>
              <w:rPr>
                <w:rFonts w:ascii="Arial" w:hAnsi="Arial" w:cs="Arial"/>
                <w:b/>
                <w:bCs/>
                <w:sz w:val="20"/>
                <w:szCs w:val="20"/>
              </w:rPr>
            </w:pPr>
          </w:p>
        </w:tc>
      </w:tr>
      <w:tr w:rsidR="00DA0555" w:rsidRPr="00FF6E49" w14:paraId="52661348" w14:textId="77777777" w:rsidTr="005E3646">
        <w:tc>
          <w:tcPr>
            <w:tcW w:w="2353" w:type="dxa"/>
            <w:hideMark/>
          </w:tcPr>
          <w:p w14:paraId="76F4FCE2"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Esquema completo</w:t>
            </w:r>
          </w:p>
        </w:tc>
        <w:tc>
          <w:tcPr>
            <w:tcW w:w="1305" w:type="dxa"/>
            <w:hideMark/>
          </w:tcPr>
          <w:p w14:paraId="2F9663A3"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102</w:t>
            </w:r>
          </w:p>
        </w:tc>
        <w:tc>
          <w:tcPr>
            <w:tcW w:w="1268" w:type="dxa"/>
            <w:hideMark/>
          </w:tcPr>
          <w:p w14:paraId="37792FAB"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28.95%</w:t>
            </w:r>
          </w:p>
        </w:tc>
        <w:tc>
          <w:tcPr>
            <w:tcW w:w="1407" w:type="dxa"/>
            <w:hideMark/>
          </w:tcPr>
          <w:p w14:paraId="3F268997"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176</w:t>
            </w:r>
          </w:p>
        </w:tc>
        <w:tc>
          <w:tcPr>
            <w:tcW w:w="1276" w:type="dxa"/>
            <w:hideMark/>
          </w:tcPr>
          <w:p w14:paraId="447930DC"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50%</w:t>
            </w:r>
          </w:p>
        </w:tc>
        <w:tc>
          <w:tcPr>
            <w:tcW w:w="1742" w:type="dxa"/>
            <w:vMerge w:val="restart"/>
            <w:hideMark/>
          </w:tcPr>
          <w:p w14:paraId="78543AF0" w14:textId="77777777" w:rsidR="00DA0555" w:rsidRPr="00DA0555" w:rsidRDefault="00DA0555" w:rsidP="005E3646">
            <w:pPr>
              <w:spacing w:line="276" w:lineRule="auto"/>
              <w:jc w:val="center"/>
              <w:rPr>
                <w:rFonts w:ascii="Arial" w:hAnsi="Arial" w:cs="Arial"/>
                <w:sz w:val="20"/>
                <w:szCs w:val="20"/>
              </w:rPr>
            </w:pPr>
            <w:r w:rsidRPr="00DA0555">
              <w:rPr>
                <w:rFonts w:ascii="Arial" w:hAnsi="Arial" w:cs="Arial"/>
                <w:sz w:val="20"/>
                <w:szCs w:val="20"/>
              </w:rPr>
              <w:t>0.001</w:t>
            </w:r>
          </w:p>
        </w:tc>
      </w:tr>
      <w:tr w:rsidR="00DA0555" w:rsidRPr="00FF6E49" w14:paraId="7E5EB89C" w14:textId="77777777" w:rsidTr="005E3646">
        <w:tc>
          <w:tcPr>
            <w:tcW w:w="2353" w:type="dxa"/>
            <w:hideMark/>
          </w:tcPr>
          <w:p w14:paraId="30FE8201"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 xml:space="preserve">Sin esquema </w:t>
            </w:r>
          </w:p>
        </w:tc>
        <w:tc>
          <w:tcPr>
            <w:tcW w:w="1305" w:type="dxa"/>
            <w:hideMark/>
          </w:tcPr>
          <w:p w14:paraId="2ECE39D4"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67</w:t>
            </w:r>
          </w:p>
        </w:tc>
        <w:tc>
          <w:tcPr>
            <w:tcW w:w="1268" w:type="dxa"/>
            <w:hideMark/>
          </w:tcPr>
          <w:p w14:paraId="388D4F36"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19.0%</w:t>
            </w:r>
          </w:p>
        </w:tc>
        <w:tc>
          <w:tcPr>
            <w:tcW w:w="1407" w:type="dxa"/>
            <w:hideMark/>
          </w:tcPr>
          <w:p w14:paraId="20249240"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7</w:t>
            </w:r>
          </w:p>
        </w:tc>
        <w:tc>
          <w:tcPr>
            <w:tcW w:w="1276" w:type="dxa"/>
            <w:hideMark/>
          </w:tcPr>
          <w:p w14:paraId="360B6D9A"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1.9%</w:t>
            </w:r>
          </w:p>
        </w:tc>
        <w:tc>
          <w:tcPr>
            <w:tcW w:w="1742" w:type="dxa"/>
            <w:vMerge/>
            <w:hideMark/>
          </w:tcPr>
          <w:p w14:paraId="6F788A4E" w14:textId="77777777" w:rsidR="00DA0555" w:rsidRPr="00DA0555" w:rsidRDefault="00DA0555" w:rsidP="005E3646">
            <w:pPr>
              <w:spacing w:line="276" w:lineRule="auto"/>
              <w:rPr>
                <w:rFonts w:ascii="Arial" w:hAnsi="Arial" w:cs="Arial"/>
                <w:sz w:val="20"/>
                <w:szCs w:val="20"/>
              </w:rPr>
            </w:pPr>
          </w:p>
        </w:tc>
      </w:tr>
      <w:tr w:rsidR="00DA0555" w:rsidRPr="00FF6E49" w14:paraId="2A011423" w14:textId="77777777" w:rsidTr="005E3646">
        <w:tc>
          <w:tcPr>
            <w:tcW w:w="2353" w:type="dxa"/>
            <w:tcBorders>
              <w:bottom w:val="single" w:sz="4" w:space="0" w:color="auto"/>
            </w:tcBorders>
            <w:hideMark/>
          </w:tcPr>
          <w:p w14:paraId="12DD36A1"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 xml:space="preserve">Total </w:t>
            </w:r>
          </w:p>
        </w:tc>
        <w:tc>
          <w:tcPr>
            <w:tcW w:w="1305" w:type="dxa"/>
            <w:tcBorders>
              <w:bottom w:val="single" w:sz="4" w:space="0" w:color="auto"/>
            </w:tcBorders>
            <w:hideMark/>
          </w:tcPr>
          <w:p w14:paraId="4B857F00"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169</w:t>
            </w:r>
          </w:p>
        </w:tc>
        <w:tc>
          <w:tcPr>
            <w:tcW w:w="1268" w:type="dxa"/>
            <w:tcBorders>
              <w:bottom w:val="single" w:sz="4" w:space="0" w:color="auto"/>
            </w:tcBorders>
          </w:tcPr>
          <w:p w14:paraId="5B660BE6"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47.95%</w:t>
            </w:r>
          </w:p>
        </w:tc>
        <w:tc>
          <w:tcPr>
            <w:tcW w:w="1407" w:type="dxa"/>
            <w:tcBorders>
              <w:bottom w:val="single" w:sz="4" w:space="0" w:color="auto"/>
            </w:tcBorders>
            <w:hideMark/>
          </w:tcPr>
          <w:p w14:paraId="74E35BC8"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183</w:t>
            </w:r>
          </w:p>
        </w:tc>
        <w:tc>
          <w:tcPr>
            <w:tcW w:w="1276" w:type="dxa"/>
            <w:tcBorders>
              <w:bottom w:val="single" w:sz="4" w:space="0" w:color="auto"/>
            </w:tcBorders>
            <w:hideMark/>
          </w:tcPr>
          <w:p w14:paraId="5144F0B4" w14:textId="77777777" w:rsidR="00DA0555" w:rsidRPr="00DA0555" w:rsidRDefault="00DA0555" w:rsidP="005E3646">
            <w:pPr>
              <w:spacing w:line="276" w:lineRule="auto"/>
              <w:rPr>
                <w:rFonts w:ascii="Arial" w:hAnsi="Arial" w:cs="Arial"/>
                <w:sz w:val="20"/>
                <w:szCs w:val="20"/>
              </w:rPr>
            </w:pPr>
            <w:r w:rsidRPr="00DA0555">
              <w:rPr>
                <w:rFonts w:ascii="Arial" w:hAnsi="Arial" w:cs="Arial"/>
                <w:sz w:val="20"/>
                <w:szCs w:val="20"/>
              </w:rPr>
              <w:t>51.9%</w:t>
            </w:r>
          </w:p>
        </w:tc>
        <w:tc>
          <w:tcPr>
            <w:tcW w:w="1742" w:type="dxa"/>
            <w:tcBorders>
              <w:bottom w:val="single" w:sz="4" w:space="0" w:color="auto"/>
            </w:tcBorders>
            <w:hideMark/>
          </w:tcPr>
          <w:p w14:paraId="5CD31CB4" w14:textId="77777777" w:rsidR="00DA0555" w:rsidRPr="00DA0555" w:rsidRDefault="00DA0555" w:rsidP="005E3646">
            <w:pPr>
              <w:spacing w:line="276" w:lineRule="auto"/>
              <w:jc w:val="center"/>
              <w:rPr>
                <w:rFonts w:ascii="Arial" w:hAnsi="Arial" w:cs="Arial"/>
                <w:sz w:val="20"/>
                <w:szCs w:val="20"/>
              </w:rPr>
            </w:pPr>
            <w:r w:rsidRPr="00DA0555">
              <w:rPr>
                <w:rFonts w:ascii="Arial" w:hAnsi="Arial" w:cs="Arial"/>
                <w:sz w:val="20"/>
                <w:szCs w:val="20"/>
              </w:rPr>
              <w:t>352</w:t>
            </w:r>
          </w:p>
        </w:tc>
      </w:tr>
      <w:tr w:rsidR="00DA0555" w:rsidRPr="00B73A85" w14:paraId="2964B853" w14:textId="77777777" w:rsidTr="005E3646">
        <w:tc>
          <w:tcPr>
            <w:tcW w:w="9351" w:type="dxa"/>
            <w:gridSpan w:val="6"/>
            <w:tcBorders>
              <w:bottom w:val="single" w:sz="4" w:space="0" w:color="auto"/>
            </w:tcBorders>
          </w:tcPr>
          <w:p w14:paraId="637AD546" w14:textId="77777777" w:rsidR="00DA0555" w:rsidRDefault="00DA0555" w:rsidP="00DA0555">
            <w:pPr>
              <w:spacing w:line="276" w:lineRule="auto"/>
              <w:jc w:val="both"/>
              <w:rPr>
                <w:rFonts w:ascii="Arial" w:hAnsi="Arial" w:cs="Arial"/>
                <w:sz w:val="18"/>
              </w:rPr>
            </w:pPr>
            <w:r>
              <w:rPr>
                <w:rFonts w:ascii="Arial" w:hAnsi="Arial" w:cs="Arial"/>
                <w:sz w:val="18"/>
              </w:rPr>
              <w:t>* P</w:t>
            </w:r>
            <w:r w:rsidRPr="00052764">
              <w:rPr>
                <w:rFonts w:ascii="Arial" w:hAnsi="Arial" w:cs="Arial"/>
                <w:sz w:val="18"/>
              </w:rPr>
              <w:t>rueba chi cuadrado</w:t>
            </w:r>
            <w:r>
              <w:rPr>
                <w:rFonts w:ascii="Arial" w:hAnsi="Arial" w:cs="Arial"/>
                <w:sz w:val="18"/>
              </w:rPr>
              <w:t>.</w:t>
            </w:r>
          </w:p>
          <w:p w14:paraId="4FCDE8B1" w14:textId="7A54BB7D" w:rsidR="00DA0555" w:rsidRPr="00052764" w:rsidRDefault="00DA0555" w:rsidP="00DA0555">
            <w:pPr>
              <w:spacing w:line="276" w:lineRule="auto"/>
              <w:jc w:val="both"/>
              <w:rPr>
                <w:rFonts w:ascii="Arial" w:hAnsi="Arial" w:cs="Arial"/>
                <w:sz w:val="18"/>
              </w:rPr>
            </w:pPr>
            <w:r w:rsidRPr="00052764">
              <w:rPr>
                <w:rFonts w:ascii="Arial" w:hAnsi="Arial" w:cs="Arial"/>
                <w:b/>
                <w:sz w:val="18"/>
              </w:rPr>
              <w:t>Fuente</w:t>
            </w:r>
            <w:r>
              <w:rPr>
                <w:rFonts w:ascii="Arial" w:hAnsi="Arial" w:cs="Arial"/>
                <w:b/>
                <w:sz w:val="18"/>
              </w:rPr>
              <w:t>.</w:t>
            </w:r>
            <w:r w:rsidRPr="00052764">
              <w:rPr>
                <w:rFonts w:ascii="Arial" w:hAnsi="Arial" w:cs="Arial"/>
                <w:sz w:val="18"/>
              </w:rPr>
              <w:t xml:space="preserve"> Encuesta realizada durante el estudio clínico.</w:t>
            </w:r>
          </w:p>
        </w:tc>
      </w:tr>
    </w:tbl>
    <w:p w14:paraId="15C207AE" w14:textId="77777777" w:rsidR="00D252EA" w:rsidRDefault="00D252EA" w:rsidP="004A744D">
      <w:pPr>
        <w:jc w:val="both"/>
        <w:rPr>
          <w:lang w:val="es-CR"/>
        </w:rPr>
      </w:pPr>
    </w:p>
    <w:tbl>
      <w:tblPr>
        <w:tblStyle w:val="Tablaconcuadrcula"/>
        <w:tblW w:w="9351" w:type="dxa"/>
        <w:tblInd w:w="-5" w:type="dxa"/>
        <w:tblLook w:val="04A0" w:firstRow="1" w:lastRow="0" w:firstColumn="1" w:lastColumn="0" w:noHBand="0" w:noVBand="1"/>
      </w:tblPr>
      <w:tblGrid>
        <w:gridCol w:w="9351"/>
      </w:tblGrid>
      <w:tr w:rsidR="00353AAA" w:rsidRPr="00B73A85" w14:paraId="6FC9E475" w14:textId="77777777" w:rsidTr="00353AAA">
        <w:tc>
          <w:tcPr>
            <w:tcW w:w="9351" w:type="dxa"/>
            <w:tcBorders>
              <w:top w:val="single" w:sz="4" w:space="0" w:color="auto"/>
            </w:tcBorders>
          </w:tcPr>
          <w:p w14:paraId="2F5F22E1" w14:textId="77777777" w:rsidR="00353AAA" w:rsidRPr="00052764" w:rsidRDefault="00353AAA" w:rsidP="00353AAA">
            <w:pPr>
              <w:spacing w:line="276" w:lineRule="auto"/>
              <w:jc w:val="both"/>
              <w:rPr>
                <w:rFonts w:ascii="Arial" w:hAnsi="Arial" w:cs="Arial"/>
                <w:b/>
              </w:rPr>
            </w:pPr>
            <w:r w:rsidRPr="00DB470B">
              <w:rPr>
                <w:rFonts w:ascii="Arial" w:hAnsi="Arial" w:cs="Arial"/>
                <w:b/>
              </w:rPr>
              <w:t xml:space="preserve">Gráfico 2. </w:t>
            </w:r>
            <w:r w:rsidRPr="00052764">
              <w:rPr>
                <w:rFonts w:ascii="Arial" w:hAnsi="Arial" w:cs="Arial"/>
              </w:rPr>
              <w:t xml:space="preserve">Presencia de esquema completo COVID-19 con presencia de enfermedad </w:t>
            </w:r>
            <w:proofErr w:type="gramStart"/>
            <w:r w:rsidRPr="00052764">
              <w:rPr>
                <w:rFonts w:ascii="Arial" w:hAnsi="Arial" w:cs="Arial"/>
              </w:rPr>
              <w:t>pre vacunación</w:t>
            </w:r>
            <w:proofErr w:type="gramEnd"/>
            <w:r w:rsidRPr="00052764">
              <w:rPr>
                <w:rFonts w:ascii="Arial" w:hAnsi="Arial" w:cs="Arial"/>
              </w:rPr>
              <w:t xml:space="preserve"> en pacientes durante el año 2022.</w:t>
            </w:r>
          </w:p>
        </w:tc>
      </w:tr>
      <w:tr w:rsidR="00353AAA" w14:paraId="69957C89" w14:textId="77777777" w:rsidTr="00353AAA">
        <w:tc>
          <w:tcPr>
            <w:tcW w:w="9351" w:type="dxa"/>
          </w:tcPr>
          <w:p w14:paraId="2F4E4ABA" w14:textId="77777777" w:rsidR="00353AAA" w:rsidRDefault="00353AAA" w:rsidP="00353AAA">
            <w:pPr>
              <w:spacing w:line="276" w:lineRule="auto"/>
              <w:jc w:val="center"/>
              <w:rPr>
                <w:rFonts w:ascii="Arial" w:hAnsi="Arial" w:cs="Arial"/>
                <w:b/>
              </w:rPr>
            </w:pPr>
            <w:r>
              <w:rPr>
                <w:noProof/>
                <w:lang w:val="es-CR" w:eastAsia="es-CR"/>
              </w:rPr>
              <w:drawing>
                <wp:inline distT="0" distB="0" distL="0" distR="0" wp14:anchorId="7C3D391C" wp14:editId="53C4D265">
                  <wp:extent cx="3641090" cy="2218165"/>
                  <wp:effectExtent l="0" t="0" r="16510" b="1079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353AAA" w:rsidRPr="00B73A85" w14:paraId="370CAC5D" w14:textId="77777777" w:rsidTr="00353AAA">
        <w:tc>
          <w:tcPr>
            <w:tcW w:w="9351" w:type="dxa"/>
          </w:tcPr>
          <w:p w14:paraId="26D7921A" w14:textId="4343D4C2" w:rsidR="00353AAA" w:rsidRPr="00052764" w:rsidRDefault="006A5727" w:rsidP="00353AAA">
            <w:pPr>
              <w:spacing w:line="276" w:lineRule="auto"/>
              <w:rPr>
                <w:rFonts w:ascii="Arial" w:hAnsi="Arial" w:cs="Arial"/>
              </w:rPr>
            </w:pPr>
            <w:r w:rsidRPr="00052764">
              <w:rPr>
                <w:rFonts w:ascii="Arial" w:hAnsi="Arial" w:cs="Arial"/>
                <w:b/>
                <w:sz w:val="18"/>
              </w:rPr>
              <w:t>Fuente</w:t>
            </w:r>
            <w:r>
              <w:rPr>
                <w:rFonts w:ascii="Arial" w:hAnsi="Arial" w:cs="Arial"/>
                <w:b/>
                <w:sz w:val="18"/>
              </w:rPr>
              <w:t>.</w:t>
            </w:r>
            <w:r w:rsidRPr="00052764">
              <w:rPr>
                <w:rFonts w:ascii="Arial" w:hAnsi="Arial" w:cs="Arial"/>
                <w:sz w:val="18"/>
              </w:rPr>
              <w:t xml:space="preserve"> Encuesta realizada durante el estudio clínico.</w:t>
            </w:r>
          </w:p>
        </w:tc>
      </w:tr>
    </w:tbl>
    <w:p w14:paraId="11A94AE1" w14:textId="77777777" w:rsidR="00353AAA" w:rsidRDefault="00353AAA" w:rsidP="004A744D">
      <w:pPr>
        <w:jc w:val="both"/>
        <w:rPr>
          <w:lang w:val="es-CR"/>
        </w:rPr>
      </w:pPr>
    </w:p>
    <w:p w14:paraId="6D05384C" w14:textId="77777777" w:rsidR="00353AAA" w:rsidRDefault="00353AAA" w:rsidP="004A744D">
      <w:pPr>
        <w:jc w:val="both"/>
        <w:rPr>
          <w:lang w:val="es-CR"/>
        </w:rPr>
      </w:pPr>
    </w:p>
    <w:p w14:paraId="65832A30" w14:textId="77777777" w:rsidR="006A5727" w:rsidRDefault="006A5727" w:rsidP="004A744D">
      <w:pPr>
        <w:jc w:val="both"/>
        <w:rPr>
          <w:lang w:val="es-CR"/>
        </w:rPr>
      </w:pPr>
    </w:p>
    <w:p w14:paraId="4EBCA366" w14:textId="77777777" w:rsidR="006A5727" w:rsidRDefault="006A5727" w:rsidP="004A744D">
      <w:pPr>
        <w:jc w:val="both"/>
        <w:rPr>
          <w:lang w:val="es-CR"/>
        </w:rPr>
      </w:pPr>
    </w:p>
    <w:tbl>
      <w:tblPr>
        <w:tblStyle w:val="Tablaconcuadrcula"/>
        <w:tblW w:w="9351" w:type="dxa"/>
        <w:tblLook w:val="04A0" w:firstRow="1" w:lastRow="0" w:firstColumn="1" w:lastColumn="0" w:noHBand="0" w:noVBand="1"/>
      </w:tblPr>
      <w:tblGrid>
        <w:gridCol w:w="1831"/>
        <w:gridCol w:w="1305"/>
        <w:gridCol w:w="1395"/>
        <w:gridCol w:w="1418"/>
        <w:gridCol w:w="1559"/>
        <w:gridCol w:w="1843"/>
      </w:tblGrid>
      <w:tr w:rsidR="006A5727" w:rsidRPr="00B73A85" w14:paraId="4D479F88" w14:textId="77777777" w:rsidTr="005E3646">
        <w:tc>
          <w:tcPr>
            <w:tcW w:w="9351" w:type="dxa"/>
            <w:gridSpan w:val="6"/>
          </w:tcPr>
          <w:p w14:paraId="782C0EFB" w14:textId="75F96CDF" w:rsidR="006A5727" w:rsidRPr="00052764" w:rsidRDefault="006A5727" w:rsidP="005E3646">
            <w:pPr>
              <w:autoSpaceDE w:val="0"/>
              <w:autoSpaceDN w:val="0"/>
              <w:adjustRightInd w:val="0"/>
              <w:spacing w:line="276" w:lineRule="auto"/>
              <w:jc w:val="both"/>
              <w:rPr>
                <w:rFonts w:ascii="Arial" w:hAnsi="Arial" w:cs="Arial"/>
                <w:b/>
              </w:rPr>
            </w:pPr>
            <w:r w:rsidRPr="00DB470B">
              <w:rPr>
                <w:rFonts w:ascii="Arial" w:hAnsi="Arial" w:cs="Arial"/>
                <w:b/>
              </w:rPr>
              <w:lastRenderedPageBreak/>
              <w:t xml:space="preserve">Tabla 3. </w:t>
            </w:r>
            <w:r w:rsidRPr="00052764">
              <w:rPr>
                <w:rFonts w:ascii="Arial" w:hAnsi="Arial" w:cs="Arial"/>
              </w:rPr>
              <w:t>Presencia de esquema completo COVID-19 asociado presencia de enfermedad post vacunación durante el año 2022</w:t>
            </w:r>
          </w:p>
        </w:tc>
      </w:tr>
      <w:tr w:rsidR="006A5727" w:rsidRPr="00FF6E49" w14:paraId="3C2A2830" w14:textId="77777777" w:rsidTr="006A5727">
        <w:tc>
          <w:tcPr>
            <w:tcW w:w="1831" w:type="dxa"/>
            <w:vMerge w:val="restart"/>
          </w:tcPr>
          <w:p w14:paraId="4FBFF10F" w14:textId="77777777" w:rsidR="006A5727" w:rsidRPr="006A5727" w:rsidRDefault="006A5727" w:rsidP="005E3646">
            <w:pPr>
              <w:spacing w:line="276" w:lineRule="auto"/>
              <w:rPr>
                <w:rFonts w:ascii="Arial" w:hAnsi="Arial" w:cs="Arial"/>
                <w:sz w:val="20"/>
                <w:szCs w:val="20"/>
              </w:rPr>
            </w:pPr>
          </w:p>
        </w:tc>
        <w:tc>
          <w:tcPr>
            <w:tcW w:w="2700" w:type="dxa"/>
            <w:gridSpan w:val="2"/>
            <w:hideMark/>
          </w:tcPr>
          <w:p w14:paraId="118F9F53" w14:textId="77777777" w:rsidR="006A5727" w:rsidRPr="006A5727" w:rsidRDefault="006A5727" w:rsidP="005E3646">
            <w:pPr>
              <w:spacing w:line="276" w:lineRule="auto"/>
              <w:jc w:val="center"/>
              <w:rPr>
                <w:rFonts w:ascii="Arial" w:hAnsi="Arial" w:cs="Arial"/>
                <w:b/>
                <w:bCs/>
                <w:sz w:val="20"/>
                <w:szCs w:val="20"/>
              </w:rPr>
            </w:pPr>
            <w:r w:rsidRPr="006A5727">
              <w:rPr>
                <w:rFonts w:ascii="Arial" w:hAnsi="Arial" w:cs="Arial"/>
                <w:b/>
                <w:bCs/>
                <w:sz w:val="20"/>
                <w:szCs w:val="20"/>
              </w:rPr>
              <w:t>Sí presentó infección</w:t>
            </w:r>
          </w:p>
        </w:tc>
        <w:tc>
          <w:tcPr>
            <w:tcW w:w="2977" w:type="dxa"/>
            <w:gridSpan w:val="2"/>
            <w:hideMark/>
          </w:tcPr>
          <w:p w14:paraId="4DDFE295" w14:textId="77777777" w:rsidR="006A5727" w:rsidRPr="006A5727" w:rsidRDefault="006A5727" w:rsidP="005E3646">
            <w:pPr>
              <w:spacing w:line="276" w:lineRule="auto"/>
              <w:jc w:val="center"/>
              <w:rPr>
                <w:rFonts w:ascii="Arial" w:hAnsi="Arial" w:cs="Arial"/>
                <w:b/>
                <w:bCs/>
                <w:sz w:val="20"/>
                <w:szCs w:val="20"/>
              </w:rPr>
            </w:pPr>
            <w:r w:rsidRPr="006A5727">
              <w:rPr>
                <w:rFonts w:ascii="Arial" w:hAnsi="Arial" w:cs="Arial"/>
                <w:b/>
                <w:bCs/>
                <w:sz w:val="20"/>
                <w:szCs w:val="20"/>
              </w:rPr>
              <w:t>No presentó infección</w:t>
            </w:r>
          </w:p>
        </w:tc>
        <w:tc>
          <w:tcPr>
            <w:tcW w:w="1843" w:type="dxa"/>
            <w:vMerge w:val="restart"/>
            <w:vAlign w:val="center"/>
            <w:hideMark/>
          </w:tcPr>
          <w:p w14:paraId="21044725" w14:textId="77777777" w:rsidR="006A5727" w:rsidRPr="006A5727" w:rsidRDefault="006A5727" w:rsidP="005E3646">
            <w:pPr>
              <w:spacing w:line="276" w:lineRule="auto"/>
              <w:jc w:val="center"/>
              <w:rPr>
                <w:rFonts w:ascii="Arial" w:hAnsi="Arial" w:cs="Arial"/>
                <w:b/>
                <w:bCs/>
                <w:sz w:val="20"/>
                <w:szCs w:val="20"/>
              </w:rPr>
            </w:pPr>
            <w:r w:rsidRPr="006A5727">
              <w:rPr>
                <w:rFonts w:ascii="Arial" w:hAnsi="Arial" w:cs="Arial"/>
                <w:b/>
                <w:bCs/>
                <w:sz w:val="20"/>
                <w:szCs w:val="20"/>
              </w:rPr>
              <w:t>Valor p</w:t>
            </w:r>
          </w:p>
        </w:tc>
      </w:tr>
      <w:tr w:rsidR="006A5727" w:rsidRPr="00FF6E49" w14:paraId="4FAF679E" w14:textId="77777777" w:rsidTr="006A5727">
        <w:tc>
          <w:tcPr>
            <w:tcW w:w="1831" w:type="dxa"/>
            <w:vMerge/>
            <w:hideMark/>
          </w:tcPr>
          <w:p w14:paraId="385499CC" w14:textId="77777777" w:rsidR="006A5727" w:rsidRPr="006A5727" w:rsidRDefault="006A5727" w:rsidP="005E3646">
            <w:pPr>
              <w:spacing w:line="276" w:lineRule="auto"/>
              <w:rPr>
                <w:rFonts w:ascii="Arial" w:hAnsi="Arial" w:cs="Arial"/>
                <w:sz w:val="20"/>
                <w:szCs w:val="20"/>
              </w:rPr>
            </w:pPr>
          </w:p>
        </w:tc>
        <w:tc>
          <w:tcPr>
            <w:tcW w:w="1305" w:type="dxa"/>
            <w:hideMark/>
          </w:tcPr>
          <w:p w14:paraId="209CF137" w14:textId="77777777" w:rsidR="006A5727" w:rsidRPr="006A5727" w:rsidRDefault="006A5727" w:rsidP="005E3646">
            <w:pPr>
              <w:spacing w:line="276" w:lineRule="auto"/>
              <w:rPr>
                <w:rFonts w:ascii="Arial" w:hAnsi="Arial" w:cs="Arial"/>
                <w:b/>
                <w:bCs/>
                <w:sz w:val="20"/>
                <w:szCs w:val="20"/>
              </w:rPr>
            </w:pPr>
            <w:r w:rsidRPr="006A5727">
              <w:rPr>
                <w:rFonts w:ascii="Arial" w:hAnsi="Arial" w:cs="Arial"/>
                <w:b/>
                <w:bCs/>
                <w:sz w:val="20"/>
                <w:szCs w:val="20"/>
              </w:rPr>
              <w:t>Frecuencia</w:t>
            </w:r>
          </w:p>
        </w:tc>
        <w:tc>
          <w:tcPr>
            <w:tcW w:w="1395" w:type="dxa"/>
            <w:hideMark/>
          </w:tcPr>
          <w:p w14:paraId="3FDE971C" w14:textId="77777777" w:rsidR="006A5727" w:rsidRPr="006A5727" w:rsidRDefault="006A5727" w:rsidP="005E3646">
            <w:pPr>
              <w:spacing w:line="276" w:lineRule="auto"/>
              <w:rPr>
                <w:rFonts w:ascii="Arial" w:hAnsi="Arial" w:cs="Arial"/>
                <w:b/>
                <w:bCs/>
                <w:sz w:val="20"/>
                <w:szCs w:val="20"/>
              </w:rPr>
            </w:pPr>
            <w:r w:rsidRPr="006A5727">
              <w:rPr>
                <w:rFonts w:ascii="Arial" w:hAnsi="Arial" w:cs="Arial"/>
                <w:b/>
                <w:bCs/>
                <w:sz w:val="20"/>
                <w:szCs w:val="20"/>
              </w:rPr>
              <w:t>Porcentaje</w:t>
            </w:r>
          </w:p>
        </w:tc>
        <w:tc>
          <w:tcPr>
            <w:tcW w:w="1418" w:type="dxa"/>
            <w:hideMark/>
          </w:tcPr>
          <w:p w14:paraId="5957D5A0" w14:textId="77777777" w:rsidR="006A5727" w:rsidRPr="006A5727" w:rsidRDefault="006A5727" w:rsidP="005E3646">
            <w:pPr>
              <w:spacing w:line="276" w:lineRule="auto"/>
              <w:rPr>
                <w:rFonts w:ascii="Arial" w:hAnsi="Arial" w:cs="Arial"/>
                <w:b/>
                <w:bCs/>
                <w:sz w:val="20"/>
                <w:szCs w:val="20"/>
              </w:rPr>
            </w:pPr>
            <w:r w:rsidRPr="006A5727">
              <w:rPr>
                <w:rFonts w:ascii="Arial" w:hAnsi="Arial" w:cs="Arial"/>
                <w:b/>
                <w:bCs/>
                <w:sz w:val="20"/>
                <w:szCs w:val="20"/>
              </w:rPr>
              <w:t>Frecuencia</w:t>
            </w:r>
          </w:p>
        </w:tc>
        <w:tc>
          <w:tcPr>
            <w:tcW w:w="1559" w:type="dxa"/>
            <w:hideMark/>
          </w:tcPr>
          <w:p w14:paraId="19AB4DC5" w14:textId="77777777" w:rsidR="006A5727" w:rsidRPr="006A5727" w:rsidRDefault="006A5727" w:rsidP="005E3646">
            <w:pPr>
              <w:spacing w:line="276" w:lineRule="auto"/>
              <w:rPr>
                <w:rFonts w:ascii="Arial" w:hAnsi="Arial" w:cs="Arial"/>
                <w:b/>
                <w:bCs/>
                <w:sz w:val="20"/>
                <w:szCs w:val="20"/>
              </w:rPr>
            </w:pPr>
            <w:r w:rsidRPr="006A5727">
              <w:rPr>
                <w:rFonts w:ascii="Arial" w:hAnsi="Arial" w:cs="Arial"/>
                <w:b/>
                <w:bCs/>
                <w:sz w:val="20"/>
                <w:szCs w:val="20"/>
              </w:rPr>
              <w:t>Porcentaje</w:t>
            </w:r>
          </w:p>
        </w:tc>
        <w:tc>
          <w:tcPr>
            <w:tcW w:w="1843" w:type="dxa"/>
            <w:vMerge/>
            <w:hideMark/>
          </w:tcPr>
          <w:p w14:paraId="5BD32E98" w14:textId="77777777" w:rsidR="006A5727" w:rsidRPr="006A5727" w:rsidRDefault="006A5727" w:rsidP="005E3646">
            <w:pPr>
              <w:spacing w:line="276" w:lineRule="auto"/>
              <w:rPr>
                <w:rFonts w:ascii="Arial" w:hAnsi="Arial" w:cs="Arial"/>
                <w:b/>
                <w:bCs/>
                <w:sz w:val="20"/>
                <w:szCs w:val="20"/>
              </w:rPr>
            </w:pPr>
          </w:p>
        </w:tc>
      </w:tr>
      <w:tr w:rsidR="006A5727" w:rsidRPr="00FF6E49" w14:paraId="3A383AA5" w14:textId="77777777" w:rsidTr="006A5727">
        <w:tc>
          <w:tcPr>
            <w:tcW w:w="1831" w:type="dxa"/>
            <w:hideMark/>
          </w:tcPr>
          <w:p w14:paraId="1726EF8B"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Esquema completo</w:t>
            </w:r>
          </w:p>
        </w:tc>
        <w:tc>
          <w:tcPr>
            <w:tcW w:w="1305" w:type="dxa"/>
            <w:hideMark/>
          </w:tcPr>
          <w:p w14:paraId="4BC0647D"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233</w:t>
            </w:r>
          </w:p>
        </w:tc>
        <w:tc>
          <w:tcPr>
            <w:tcW w:w="1395" w:type="dxa"/>
            <w:hideMark/>
          </w:tcPr>
          <w:p w14:paraId="2EDBE3B5"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66.2%</w:t>
            </w:r>
          </w:p>
        </w:tc>
        <w:tc>
          <w:tcPr>
            <w:tcW w:w="1418" w:type="dxa"/>
            <w:hideMark/>
          </w:tcPr>
          <w:p w14:paraId="44BB577E"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45</w:t>
            </w:r>
          </w:p>
        </w:tc>
        <w:tc>
          <w:tcPr>
            <w:tcW w:w="1559" w:type="dxa"/>
            <w:hideMark/>
          </w:tcPr>
          <w:p w14:paraId="62185437"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12.8%</w:t>
            </w:r>
          </w:p>
        </w:tc>
        <w:tc>
          <w:tcPr>
            <w:tcW w:w="1843" w:type="dxa"/>
            <w:vMerge w:val="restart"/>
            <w:hideMark/>
          </w:tcPr>
          <w:p w14:paraId="5A639AD8" w14:textId="77777777" w:rsidR="006A5727" w:rsidRPr="006A5727" w:rsidRDefault="006A5727" w:rsidP="005E3646">
            <w:pPr>
              <w:spacing w:line="276" w:lineRule="auto"/>
              <w:jc w:val="center"/>
              <w:rPr>
                <w:rFonts w:ascii="Arial" w:hAnsi="Arial" w:cs="Arial"/>
                <w:sz w:val="20"/>
                <w:szCs w:val="20"/>
              </w:rPr>
            </w:pPr>
            <w:r w:rsidRPr="006A5727">
              <w:rPr>
                <w:rFonts w:ascii="Arial" w:hAnsi="Arial" w:cs="Arial"/>
                <w:sz w:val="20"/>
                <w:szCs w:val="20"/>
              </w:rPr>
              <w:t>0.001</w:t>
            </w:r>
          </w:p>
        </w:tc>
      </w:tr>
      <w:tr w:rsidR="006A5727" w:rsidRPr="00FF6E49" w14:paraId="2F734833" w14:textId="77777777" w:rsidTr="006A5727">
        <w:tc>
          <w:tcPr>
            <w:tcW w:w="1831" w:type="dxa"/>
            <w:hideMark/>
          </w:tcPr>
          <w:p w14:paraId="1A2E8E2E"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 xml:space="preserve">Sin esquema </w:t>
            </w:r>
          </w:p>
        </w:tc>
        <w:tc>
          <w:tcPr>
            <w:tcW w:w="1305" w:type="dxa"/>
            <w:hideMark/>
          </w:tcPr>
          <w:p w14:paraId="07114412"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1</w:t>
            </w:r>
          </w:p>
        </w:tc>
        <w:tc>
          <w:tcPr>
            <w:tcW w:w="1395" w:type="dxa"/>
            <w:hideMark/>
          </w:tcPr>
          <w:p w14:paraId="3C6D1359"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0.3%</w:t>
            </w:r>
          </w:p>
        </w:tc>
        <w:tc>
          <w:tcPr>
            <w:tcW w:w="1418" w:type="dxa"/>
            <w:hideMark/>
          </w:tcPr>
          <w:p w14:paraId="3F8C08A3"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73</w:t>
            </w:r>
          </w:p>
        </w:tc>
        <w:tc>
          <w:tcPr>
            <w:tcW w:w="1559" w:type="dxa"/>
            <w:hideMark/>
          </w:tcPr>
          <w:p w14:paraId="7A341DBE"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20.7%</w:t>
            </w:r>
          </w:p>
        </w:tc>
        <w:tc>
          <w:tcPr>
            <w:tcW w:w="1843" w:type="dxa"/>
            <w:vMerge/>
            <w:hideMark/>
          </w:tcPr>
          <w:p w14:paraId="3C65FBA2" w14:textId="77777777" w:rsidR="006A5727" w:rsidRPr="006A5727" w:rsidRDefault="006A5727" w:rsidP="005E3646">
            <w:pPr>
              <w:spacing w:line="276" w:lineRule="auto"/>
              <w:rPr>
                <w:rFonts w:ascii="Arial" w:hAnsi="Arial" w:cs="Arial"/>
                <w:sz w:val="20"/>
                <w:szCs w:val="20"/>
              </w:rPr>
            </w:pPr>
          </w:p>
        </w:tc>
      </w:tr>
      <w:tr w:rsidR="006A5727" w:rsidRPr="00FF6E49" w14:paraId="39FEA0FC" w14:textId="77777777" w:rsidTr="006A5727">
        <w:tc>
          <w:tcPr>
            <w:tcW w:w="1831" w:type="dxa"/>
            <w:hideMark/>
          </w:tcPr>
          <w:p w14:paraId="74A597E7"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 xml:space="preserve">Total </w:t>
            </w:r>
          </w:p>
        </w:tc>
        <w:tc>
          <w:tcPr>
            <w:tcW w:w="1305" w:type="dxa"/>
            <w:hideMark/>
          </w:tcPr>
          <w:p w14:paraId="0FC16EC9"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234</w:t>
            </w:r>
          </w:p>
        </w:tc>
        <w:tc>
          <w:tcPr>
            <w:tcW w:w="1395" w:type="dxa"/>
          </w:tcPr>
          <w:p w14:paraId="0AC3BDDC"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66.5%</w:t>
            </w:r>
          </w:p>
        </w:tc>
        <w:tc>
          <w:tcPr>
            <w:tcW w:w="1418" w:type="dxa"/>
            <w:hideMark/>
          </w:tcPr>
          <w:p w14:paraId="1257542D"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118</w:t>
            </w:r>
          </w:p>
        </w:tc>
        <w:tc>
          <w:tcPr>
            <w:tcW w:w="1559" w:type="dxa"/>
            <w:hideMark/>
          </w:tcPr>
          <w:p w14:paraId="3B44FF1D" w14:textId="77777777" w:rsidR="006A5727" w:rsidRPr="006A5727" w:rsidRDefault="006A5727" w:rsidP="005E3646">
            <w:pPr>
              <w:spacing w:line="276" w:lineRule="auto"/>
              <w:rPr>
                <w:rFonts w:ascii="Arial" w:hAnsi="Arial" w:cs="Arial"/>
                <w:sz w:val="20"/>
                <w:szCs w:val="20"/>
              </w:rPr>
            </w:pPr>
            <w:r w:rsidRPr="006A5727">
              <w:rPr>
                <w:rFonts w:ascii="Arial" w:hAnsi="Arial" w:cs="Arial"/>
                <w:sz w:val="20"/>
                <w:szCs w:val="20"/>
              </w:rPr>
              <w:t>33.5%</w:t>
            </w:r>
          </w:p>
        </w:tc>
        <w:tc>
          <w:tcPr>
            <w:tcW w:w="1843" w:type="dxa"/>
            <w:hideMark/>
          </w:tcPr>
          <w:p w14:paraId="60FBE149" w14:textId="77777777" w:rsidR="006A5727" w:rsidRPr="006A5727" w:rsidRDefault="006A5727" w:rsidP="005E3646">
            <w:pPr>
              <w:spacing w:line="276" w:lineRule="auto"/>
              <w:jc w:val="center"/>
              <w:rPr>
                <w:rFonts w:ascii="Arial" w:hAnsi="Arial" w:cs="Arial"/>
                <w:sz w:val="20"/>
                <w:szCs w:val="20"/>
              </w:rPr>
            </w:pPr>
            <w:r w:rsidRPr="006A5727">
              <w:rPr>
                <w:rFonts w:ascii="Arial" w:hAnsi="Arial" w:cs="Arial"/>
                <w:sz w:val="20"/>
                <w:szCs w:val="20"/>
              </w:rPr>
              <w:t>352</w:t>
            </w:r>
          </w:p>
        </w:tc>
      </w:tr>
      <w:tr w:rsidR="006A5727" w:rsidRPr="00B73A85" w14:paraId="1AACE5D2" w14:textId="77777777" w:rsidTr="005E3646">
        <w:tc>
          <w:tcPr>
            <w:tcW w:w="9351" w:type="dxa"/>
            <w:gridSpan w:val="6"/>
            <w:tcBorders>
              <w:bottom w:val="single" w:sz="4" w:space="0" w:color="auto"/>
            </w:tcBorders>
          </w:tcPr>
          <w:p w14:paraId="1117402B" w14:textId="77777777" w:rsidR="006A5727" w:rsidRDefault="006A5727" w:rsidP="006A5727">
            <w:pPr>
              <w:spacing w:line="276" w:lineRule="auto"/>
              <w:jc w:val="both"/>
              <w:rPr>
                <w:rFonts w:ascii="Arial" w:hAnsi="Arial" w:cs="Arial"/>
                <w:sz w:val="18"/>
              </w:rPr>
            </w:pPr>
            <w:r>
              <w:rPr>
                <w:rFonts w:ascii="Arial" w:hAnsi="Arial" w:cs="Arial"/>
                <w:sz w:val="18"/>
              </w:rPr>
              <w:t>* P</w:t>
            </w:r>
            <w:r w:rsidRPr="00052764">
              <w:rPr>
                <w:rFonts w:ascii="Arial" w:hAnsi="Arial" w:cs="Arial"/>
                <w:sz w:val="18"/>
              </w:rPr>
              <w:t>rueba chi cuadrado</w:t>
            </w:r>
            <w:r>
              <w:rPr>
                <w:rFonts w:ascii="Arial" w:hAnsi="Arial" w:cs="Arial"/>
                <w:sz w:val="18"/>
              </w:rPr>
              <w:t>.</w:t>
            </w:r>
          </w:p>
          <w:p w14:paraId="645136B7" w14:textId="440560E7" w:rsidR="006A5727" w:rsidRPr="008B28D1" w:rsidRDefault="006A5727" w:rsidP="006A5727">
            <w:pPr>
              <w:spacing w:line="276" w:lineRule="auto"/>
              <w:jc w:val="both"/>
              <w:rPr>
                <w:rFonts w:ascii="Arial" w:hAnsi="Arial" w:cs="Arial"/>
                <w:sz w:val="18"/>
              </w:rPr>
            </w:pPr>
            <w:r w:rsidRPr="00052764">
              <w:rPr>
                <w:rFonts w:ascii="Arial" w:hAnsi="Arial" w:cs="Arial"/>
                <w:b/>
                <w:sz w:val="18"/>
              </w:rPr>
              <w:t>Fuente</w:t>
            </w:r>
            <w:r>
              <w:rPr>
                <w:rFonts w:ascii="Arial" w:hAnsi="Arial" w:cs="Arial"/>
                <w:b/>
                <w:sz w:val="18"/>
              </w:rPr>
              <w:t>.</w:t>
            </w:r>
            <w:r w:rsidRPr="00052764">
              <w:rPr>
                <w:rFonts w:ascii="Arial" w:hAnsi="Arial" w:cs="Arial"/>
                <w:sz w:val="18"/>
              </w:rPr>
              <w:t xml:space="preserve"> Encuesta realizada durante el estudio clínico.</w:t>
            </w:r>
          </w:p>
        </w:tc>
      </w:tr>
    </w:tbl>
    <w:p w14:paraId="4A7A9BEF" w14:textId="77777777" w:rsidR="00DA0555" w:rsidRDefault="00DA0555" w:rsidP="004A744D">
      <w:pPr>
        <w:jc w:val="both"/>
        <w:rPr>
          <w:lang w:val="es-CR"/>
        </w:rPr>
      </w:pPr>
    </w:p>
    <w:tbl>
      <w:tblPr>
        <w:tblStyle w:val="Tablaconcuadrcula"/>
        <w:tblW w:w="9351" w:type="dxa"/>
        <w:tblLook w:val="04A0" w:firstRow="1" w:lastRow="0" w:firstColumn="1" w:lastColumn="0" w:noHBand="0" w:noVBand="1"/>
      </w:tblPr>
      <w:tblGrid>
        <w:gridCol w:w="9351"/>
      </w:tblGrid>
      <w:tr w:rsidR="00353AAA" w:rsidRPr="00B73A85" w14:paraId="70BA38C7" w14:textId="77777777" w:rsidTr="00353AAA">
        <w:tc>
          <w:tcPr>
            <w:tcW w:w="9351" w:type="dxa"/>
            <w:tcBorders>
              <w:top w:val="nil"/>
              <w:left w:val="nil"/>
              <w:bottom w:val="single" w:sz="4" w:space="0" w:color="auto"/>
              <w:right w:val="nil"/>
            </w:tcBorders>
          </w:tcPr>
          <w:p w14:paraId="4B435254" w14:textId="77777777" w:rsidR="00353AAA" w:rsidRPr="008B28D1" w:rsidRDefault="00353AAA" w:rsidP="00353AAA">
            <w:pPr>
              <w:jc w:val="both"/>
              <w:rPr>
                <w:b/>
                <w:sz w:val="2"/>
              </w:rPr>
            </w:pPr>
          </w:p>
        </w:tc>
      </w:tr>
      <w:tr w:rsidR="00353AAA" w:rsidRPr="00B73A85" w14:paraId="1A3FDDB2" w14:textId="77777777" w:rsidTr="00353AAA">
        <w:tc>
          <w:tcPr>
            <w:tcW w:w="9351" w:type="dxa"/>
            <w:tcBorders>
              <w:top w:val="single" w:sz="4" w:space="0" w:color="auto"/>
            </w:tcBorders>
          </w:tcPr>
          <w:p w14:paraId="33212973" w14:textId="77777777" w:rsidR="00353AAA" w:rsidRPr="00DB470B" w:rsidRDefault="00353AAA" w:rsidP="00353AAA">
            <w:pPr>
              <w:spacing w:line="276" w:lineRule="auto"/>
              <w:jc w:val="both"/>
              <w:rPr>
                <w:rFonts w:ascii="Arial" w:hAnsi="Arial" w:cs="Arial"/>
              </w:rPr>
            </w:pPr>
            <w:r>
              <w:rPr>
                <w:rFonts w:ascii="Arial" w:hAnsi="Arial" w:cs="Arial"/>
                <w:b/>
              </w:rPr>
              <w:t xml:space="preserve">Gráfico 3. </w:t>
            </w:r>
            <w:r w:rsidRPr="00052764">
              <w:rPr>
                <w:rFonts w:ascii="Arial" w:hAnsi="Arial" w:cs="Arial"/>
              </w:rPr>
              <w:t>Presencia de esquema completo COVID-19 asociado a presencia de enfermedad post vacunación en pacientes, durante el año 2022.</w:t>
            </w:r>
          </w:p>
        </w:tc>
      </w:tr>
      <w:tr w:rsidR="00353AAA" w14:paraId="79CD4F21" w14:textId="77777777" w:rsidTr="00353AAA">
        <w:tc>
          <w:tcPr>
            <w:tcW w:w="9351" w:type="dxa"/>
          </w:tcPr>
          <w:p w14:paraId="1F28C2FE" w14:textId="77777777" w:rsidR="00353AAA" w:rsidRDefault="00353AAA" w:rsidP="00353AAA">
            <w:pPr>
              <w:spacing w:line="276" w:lineRule="auto"/>
              <w:jc w:val="center"/>
              <w:rPr>
                <w:rFonts w:ascii="Arial" w:hAnsi="Arial" w:cs="Arial"/>
              </w:rPr>
            </w:pPr>
            <w:r>
              <w:rPr>
                <w:noProof/>
                <w:lang w:val="es-CR" w:eastAsia="es-CR"/>
              </w:rPr>
              <w:drawing>
                <wp:inline distT="0" distB="0" distL="0" distR="0" wp14:anchorId="357C6288" wp14:editId="7FDCC26F">
                  <wp:extent cx="3999506" cy="2400825"/>
                  <wp:effectExtent l="0" t="0" r="127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53AAA" w:rsidRPr="00B73A85" w14:paraId="40A0BF68" w14:textId="77777777" w:rsidTr="00353AAA">
        <w:tc>
          <w:tcPr>
            <w:tcW w:w="9351" w:type="dxa"/>
            <w:tcBorders>
              <w:bottom w:val="single" w:sz="4" w:space="0" w:color="auto"/>
            </w:tcBorders>
          </w:tcPr>
          <w:p w14:paraId="5461A26B" w14:textId="433518AF" w:rsidR="00353AAA" w:rsidRPr="00DB470B" w:rsidRDefault="006A5727" w:rsidP="00353AAA">
            <w:pPr>
              <w:spacing w:line="276" w:lineRule="auto"/>
              <w:rPr>
                <w:rFonts w:ascii="Arial" w:hAnsi="Arial" w:cs="Arial"/>
              </w:rPr>
            </w:pPr>
            <w:r w:rsidRPr="00052764">
              <w:rPr>
                <w:rFonts w:ascii="Arial" w:hAnsi="Arial" w:cs="Arial"/>
                <w:b/>
                <w:sz w:val="18"/>
              </w:rPr>
              <w:t>Fuente</w:t>
            </w:r>
            <w:r>
              <w:rPr>
                <w:rFonts w:ascii="Arial" w:hAnsi="Arial" w:cs="Arial"/>
                <w:b/>
                <w:sz w:val="18"/>
              </w:rPr>
              <w:t>.</w:t>
            </w:r>
            <w:r w:rsidRPr="00052764">
              <w:rPr>
                <w:rFonts w:ascii="Arial" w:hAnsi="Arial" w:cs="Arial"/>
                <w:sz w:val="18"/>
              </w:rPr>
              <w:t xml:space="preserve"> Encuesta realizada durante el estudio clínico.</w:t>
            </w:r>
          </w:p>
        </w:tc>
      </w:tr>
    </w:tbl>
    <w:p w14:paraId="4D16CD24" w14:textId="77777777" w:rsidR="00353AAA" w:rsidRDefault="00353AAA" w:rsidP="004A744D">
      <w:pPr>
        <w:jc w:val="both"/>
        <w:rPr>
          <w:lang w:val="es-CR"/>
        </w:rPr>
      </w:pPr>
    </w:p>
    <w:p w14:paraId="343BB2A5" w14:textId="4FC65EFC" w:rsidR="00F73A74" w:rsidRDefault="00F73A74" w:rsidP="004A744D">
      <w:pPr>
        <w:jc w:val="both"/>
        <w:rPr>
          <w:lang w:val="es-CR"/>
        </w:rPr>
        <w:sectPr w:rsidR="00F73A74" w:rsidSect="00F73A74">
          <w:type w:val="continuous"/>
          <w:pgSz w:w="12240" w:h="15840"/>
          <w:pgMar w:top="1440" w:right="1467" w:bottom="1440" w:left="1440" w:header="720" w:footer="720" w:gutter="0"/>
          <w:pgNumType w:start="1"/>
          <w:cols w:space="720"/>
        </w:sectPr>
      </w:pPr>
    </w:p>
    <w:p w14:paraId="7154F97D" w14:textId="77777777" w:rsidR="004A744D" w:rsidRPr="00052764" w:rsidRDefault="004A744D" w:rsidP="008B28D1">
      <w:pPr>
        <w:pStyle w:val="Ttulo1"/>
      </w:pPr>
      <w:r w:rsidRPr="00052764">
        <w:t>DISCUSIÓN</w:t>
      </w:r>
    </w:p>
    <w:p w14:paraId="63F4364E" w14:textId="77777777" w:rsidR="004A744D" w:rsidRDefault="004A744D" w:rsidP="004A744D">
      <w:pPr>
        <w:jc w:val="both"/>
        <w:rPr>
          <w:lang w:val="es-ES_tradnl"/>
        </w:rPr>
      </w:pPr>
      <w:r w:rsidRPr="00D8243B">
        <w:rPr>
          <w:lang w:val="es-ES_tradnl"/>
        </w:rPr>
        <w:t>La pandemia de COVID</w:t>
      </w:r>
      <w:r>
        <w:rPr>
          <w:lang w:val="es-ES_tradnl"/>
        </w:rPr>
        <w:t>-</w:t>
      </w:r>
      <w:r w:rsidRPr="00D8243B">
        <w:rPr>
          <w:lang w:val="es-ES_tradnl"/>
        </w:rPr>
        <w:t xml:space="preserve">19 ha marcado un parteaguas en la historia de la medicina moderna a nivel mundial. </w:t>
      </w:r>
      <w:r w:rsidRPr="00DB470B">
        <w:rPr>
          <w:lang w:val="es-ES_tradnl"/>
        </w:rPr>
        <w:t xml:space="preserve">Su impacto social y económico en todo el orbe ha </w:t>
      </w:r>
      <w:r>
        <w:rPr>
          <w:lang w:val="es-ES_tradnl"/>
        </w:rPr>
        <w:t>modificado</w:t>
      </w:r>
      <w:r w:rsidRPr="00DB470B">
        <w:rPr>
          <w:lang w:val="es-ES_tradnl"/>
        </w:rPr>
        <w:t xml:space="preserve"> las dinámicas sociales que se han mantenido por decenas de años, y la prolongación de la pandemia ha cobrado cerca de un millón y medio de vidas en América Latina y el Caribe</w:t>
      </w:r>
      <w:r>
        <w:rPr>
          <w:lang w:val="es-ES_tradnl"/>
        </w:rPr>
        <w:t>,</w:t>
      </w:r>
      <w:r w:rsidRPr="00DB470B">
        <w:rPr>
          <w:lang w:val="es-ES_tradnl"/>
        </w:rPr>
        <w:t xml:space="preserve"> y ha dado lugar a más de 44 millones de casos confirmados desde su aparición en la región, en febrero </w:t>
      </w:r>
      <w:r>
        <w:rPr>
          <w:lang w:val="es-ES_tradnl"/>
        </w:rPr>
        <w:t xml:space="preserve">de </w:t>
      </w:r>
      <w:r w:rsidRPr="00DB470B">
        <w:rPr>
          <w:lang w:val="es-ES_tradnl"/>
        </w:rPr>
        <w:t xml:space="preserve">2020 </w:t>
      </w:r>
      <w:r w:rsidRPr="00052764">
        <w:rPr>
          <w:lang w:val="es-ES_tradnl"/>
        </w:rPr>
        <w:t>(</w:t>
      </w:r>
      <w:r>
        <w:rPr>
          <w:lang w:val="es-ES_tradnl"/>
        </w:rPr>
        <w:t>9</w:t>
      </w:r>
      <w:r w:rsidRPr="00052764">
        <w:rPr>
          <w:lang w:val="es-ES_tradnl"/>
        </w:rPr>
        <w:t>)</w:t>
      </w:r>
      <w:r w:rsidRPr="00DB470B">
        <w:rPr>
          <w:lang w:val="es-ES_tradnl"/>
        </w:rPr>
        <w:t xml:space="preserve">. </w:t>
      </w:r>
    </w:p>
    <w:p w14:paraId="2AD43EF4" w14:textId="77777777" w:rsidR="004A744D" w:rsidRDefault="004A744D" w:rsidP="004A744D">
      <w:pPr>
        <w:jc w:val="both"/>
        <w:rPr>
          <w:lang w:val="es-ES_tradnl"/>
        </w:rPr>
      </w:pPr>
      <w:r w:rsidRPr="00DB470B">
        <w:rPr>
          <w:lang w:val="es-ES_tradnl"/>
        </w:rPr>
        <w:t>Inicialmente</w:t>
      </w:r>
      <w:r>
        <w:rPr>
          <w:lang w:val="es-ES_tradnl"/>
        </w:rPr>
        <w:t>,</w:t>
      </w:r>
      <w:r w:rsidRPr="00DB470B">
        <w:rPr>
          <w:lang w:val="es-ES_tradnl"/>
        </w:rPr>
        <w:t xml:space="preserve"> </w:t>
      </w:r>
      <w:r>
        <w:rPr>
          <w:lang w:val="es-ES_tradnl"/>
        </w:rPr>
        <w:t>la finalidad d</w:t>
      </w:r>
      <w:r w:rsidRPr="00DB470B">
        <w:rPr>
          <w:lang w:val="es-ES_tradnl"/>
        </w:rPr>
        <w:t xml:space="preserve">el desarrollo de las vacunas contra </w:t>
      </w:r>
      <w:r>
        <w:rPr>
          <w:lang w:val="es-ES_tradnl"/>
        </w:rPr>
        <w:t>la</w:t>
      </w:r>
      <w:r w:rsidRPr="00DB470B">
        <w:rPr>
          <w:lang w:val="es-ES_tradnl"/>
        </w:rPr>
        <w:t xml:space="preserve"> COVID</w:t>
      </w:r>
      <w:r>
        <w:rPr>
          <w:lang w:val="es-ES_tradnl"/>
        </w:rPr>
        <w:t>-</w:t>
      </w:r>
      <w:r w:rsidRPr="00DB470B">
        <w:rPr>
          <w:lang w:val="es-ES_tradnl"/>
        </w:rPr>
        <w:t xml:space="preserve">19 fue la reducción de la mortalidad o las </w:t>
      </w:r>
      <w:r w:rsidRPr="00DB470B">
        <w:rPr>
          <w:lang w:val="es-ES_tradnl"/>
        </w:rPr>
        <w:t>presentaciones graves de la enfermedad</w:t>
      </w:r>
      <w:r>
        <w:rPr>
          <w:lang w:val="es-ES_tradnl"/>
        </w:rPr>
        <w:t>.</w:t>
      </w:r>
      <w:r w:rsidRPr="00DB470B">
        <w:rPr>
          <w:lang w:val="es-ES_tradnl"/>
        </w:rPr>
        <w:t xml:space="preserve"> Actualmente</w:t>
      </w:r>
      <w:r>
        <w:rPr>
          <w:lang w:val="es-ES_tradnl"/>
        </w:rPr>
        <w:t>,</w:t>
      </w:r>
      <w:r w:rsidRPr="00DB470B">
        <w:rPr>
          <w:lang w:val="es-ES_tradnl"/>
        </w:rPr>
        <w:t xml:space="preserve"> el mundo ha visto un despliegue de infraestructura y movilización de recursos humanos, materiales y económicos para el desarrollo de las campañas de vacunación contra el SARS</w:t>
      </w:r>
      <w:r>
        <w:rPr>
          <w:lang w:val="es-ES_tradnl"/>
        </w:rPr>
        <w:t>-</w:t>
      </w:r>
      <w:r w:rsidRPr="00DB470B">
        <w:rPr>
          <w:lang w:val="es-ES_tradnl"/>
        </w:rPr>
        <w:t>CoV</w:t>
      </w:r>
      <w:r>
        <w:rPr>
          <w:lang w:val="es-ES_tradnl"/>
        </w:rPr>
        <w:t>-</w:t>
      </w:r>
      <w:r w:rsidRPr="00DB470B">
        <w:rPr>
          <w:lang w:val="es-ES_tradnl"/>
        </w:rPr>
        <w:t>2</w:t>
      </w:r>
      <w:r>
        <w:rPr>
          <w:lang w:val="es-ES_tradnl"/>
        </w:rPr>
        <w:t>. A</w:t>
      </w:r>
      <w:r w:rsidRPr="00DB470B">
        <w:rPr>
          <w:lang w:val="es-ES_tradnl"/>
        </w:rPr>
        <w:t xml:space="preserve">l corte del día </w:t>
      </w:r>
      <w:r>
        <w:rPr>
          <w:lang w:val="es-ES_tradnl"/>
        </w:rPr>
        <w:t>0</w:t>
      </w:r>
      <w:r w:rsidRPr="00DB470B">
        <w:rPr>
          <w:lang w:val="es-ES_tradnl"/>
        </w:rPr>
        <w:t>7 de octubre de 2022</w:t>
      </w:r>
      <w:r>
        <w:rPr>
          <w:lang w:val="es-ES_tradnl"/>
        </w:rPr>
        <w:t>,</w:t>
      </w:r>
      <w:r w:rsidRPr="00DB470B">
        <w:rPr>
          <w:lang w:val="es-ES_tradnl"/>
        </w:rPr>
        <w:t xml:space="preserve"> en el mundo se han aplicado 12</w:t>
      </w:r>
      <w:r>
        <w:rPr>
          <w:lang w:val="es-ES_tradnl"/>
        </w:rPr>
        <w:t xml:space="preserve"> </w:t>
      </w:r>
      <w:r w:rsidRPr="00DB470B">
        <w:rPr>
          <w:lang w:val="es-ES_tradnl"/>
        </w:rPr>
        <w:t>862</w:t>
      </w:r>
      <w:r>
        <w:rPr>
          <w:lang w:val="es-ES_tradnl"/>
        </w:rPr>
        <w:t xml:space="preserve"> </w:t>
      </w:r>
      <w:r w:rsidRPr="00DB470B">
        <w:rPr>
          <w:lang w:val="es-ES_tradnl"/>
        </w:rPr>
        <w:t>546</w:t>
      </w:r>
      <w:r>
        <w:rPr>
          <w:lang w:val="es-ES_tradnl"/>
        </w:rPr>
        <w:t xml:space="preserve"> </w:t>
      </w:r>
      <w:r w:rsidRPr="00DB470B">
        <w:rPr>
          <w:lang w:val="es-ES_tradnl"/>
        </w:rPr>
        <w:t>984 vacunas, mientras que en nuestro país se han aplicado 223</w:t>
      </w:r>
      <w:r>
        <w:rPr>
          <w:lang w:val="es-ES_tradnl"/>
        </w:rPr>
        <w:t> </w:t>
      </w:r>
      <w:r w:rsidRPr="00DB470B">
        <w:rPr>
          <w:lang w:val="es-ES_tradnl"/>
        </w:rPr>
        <w:t>158</w:t>
      </w:r>
      <w:r>
        <w:rPr>
          <w:lang w:val="es-ES_tradnl"/>
        </w:rPr>
        <w:t xml:space="preserve"> </w:t>
      </w:r>
      <w:r w:rsidRPr="00DB470B">
        <w:rPr>
          <w:lang w:val="es-ES_tradnl"/>
        </w:rPr>
        <w:t>993 vacunas contra</w:t>
      </w:r>
      <w:r>
        <w:rPr>
          <w:lang w:val="es-ES_tradnl"/>
        </w:rPr>
        <w:t xml:space="preserve"> la</w:t>
      </w:r>
      <w:r w:rsidRPr="00DB470B">
        <w:rPr>
          <w:lang w:val="es-ES_tradnl"/>
        </w:rPr>
        <w:t xml:space="preserve"> COVID</w:t>
      </w:r>
      <w:r>
        <w:rPr>
          <w:lang w:val="es-ES_tradnl"/>
        </w:rPr>
        <w:t>-</w:t>
      </w:r>
      <w:r w:rsidRPr="00DB470B">
        <w:rPr>
          <w:lang w:val="es-ES_tradnl"/>
        </w:rPr>
        <w:t xml:space="preserve">19 </w:t>
      </w:r>
      <w:r w:rsidRPr="00052764">
        <w:rPr>
          <w:lang w:val="es-ES_tradnl"/>
        </w:rPr>
        <w:t>(1</w:t>
      </w:r>
      <w:r>
        <w:rPr>
          <w:lang w:val="es-ES_tradnl"/>
        </w:rPr>
        <w:t>0</w:t>
      </w:r>
      <w:r w:rsidRPr="00052764">
        <w:rPr>
          <w:lang w:val="es-ES_tradnl"/>
        </w:rPr>
        <w:t>)</w:t>
      </w:r>
      <w:r w:rsidRPr="00DB470B">
        <w:rPr>
          <w:lang w:val="es-ES_tradnl"/>
        </w:rPr>
        <w:t xml:space="preserve">. </w:t>
      </w:r>
    </w:p>
    <w:p w14:paraId="2B7FF0B5" w14:textId="44B7C581" w:rsidR="004A744D" w:rsidRDefault="004A744D" w:rsidP="004A744D">
      <w:pPr>
        <w:jc w:val="both"/>
        <w:rPr>
          <w:lang w:val="es-ES_tradnl"/>
        </w:rPr>
      </w:pPr>
      <w:r w:rsidRPr="00DB470B">
        <w:rPr>
          <w:lang w:val="es-ES_tradnl"/>
        </w:rPr>
        <w:t>Al momento se tienen diversos biológicos en circulación para completar esquemas de vacunación para COVID</w:t>
      </w:r>
      <w:r>
        <w:rPr>
          <w:lang w:val="es-ES_tradnl"/>
        </w:rPr>
        <w:t>-</w:t>
      </w:r>
      <w:r w:rsidRPr="00DB470B">
        <w:rPr>
          <w:lang w:val="es-ES_tradnl"/>
        </w:rPr>
        <w:t xml:space="preserve">19 </w:t>
      </w:r>
      <w:proofErr w:type="gramStart"/>
      <w:r w:rsidRPr="00DB470B">
        <w:rPr>
          <w:lang w:val="es-ES_tradnl"/>
        </w:rPr>
        <w:t>de acuerdo a</w:t>
      </w:r>
      <w:proofErr w:type="gramEnd"/>
      <w:r w:rsidRPr="00DB470B">
        <w:rPr>
          <w:lang w:val="es-ES_tradnl"/>
        </w:rPr>
        <w:t xml:space="preserve"> las necesidades de algunos países</w:t>
      </w:r>
      <w:r>
        <w:rPr>
          <w:lang w:val="es-ES_tradnl"/>
        </w:rPr>
        <w:t>.</w:t>
      </w:r>
      <w:r w:rsidRPr="00DB470B">
        <w:rPr>
          <w:lang w:val="es-ES_tradnl"/>
        </w:rPr>
        <w:t xml:space="preserve"> </w:t>
      </w:r>
      <w:r>
        <w:rPr>
          <w:lang w:val="es-ES_tradnl"/>
        </w:rPr>
        <w:t>E</w:t>
      </w:r>
      <w:r w:rsidRPr="00DB470B">
        <w:rPr>
          <w:lang w:val="es-ES_tradnl"/>
        </w:rPr>
        <w:t xml:space="preserve">n </w:t>
      </w:r>
      <w:r>
        <w:rPr>
          <w:lang w:val="es-ES_tradnl"/>
        </w:rPr>
        <w:t>México</w:t>
      </w:r>
      <w:r w:rsidRPr="00DB470B">
        <w:rPr>
          <w:lang w:val="es-ES_tradnl"/>
        </w:rPr>
        <w:t xml:space="preserve"> se encuentran disponibles los siguientes biológicos para inmunización versus SARS</w:t>
      </w:r>
      <w:r>
        <w:rPr>
          <w:lang w:val="es-ES_tradnl"/>
        </w:rPr>
        <w:t>-</w:t>
      </w:r>
      <w:r w:rsidRPr="00DB470B">
        <w:rPr>
          <w:lang w:val="es-ES_tradnl"/>
        </w:rPr>
        <w:lastRenderedPageBreak/>
        <w:t>CoV</w:t>
      </w:r>
      <w:r>
        <w:rPr>
          <w:lang w:val="es-ES_tradnl"/>
        </w:rPr>
        <w:t>-</w:t>
      </w:r>
      <w:r w:rsidRPr="00DB470B">
        <w:rPr>
          <w:lang w:val="es-ES_tradnl"/>
        </w:rPr>
        <w:t xml:space="preserve">2: Pfizer-BioNTech, Cansino, COVAX, AstraZeneca, Sputnik V, Sinovac, Janssen Abdala y Moderna </w:t>
      </w:r>
      <w:r w:rsidRPr="00052764">
        <w:rPr>
          <w:lang w:val="es-ES_tradnl"/>
        </w:rPr>
        <w:t>(1</w:t>
      </w:r>
      <w:r>
        <w:rPr>
          <w:lang w:val="es-ES_tradnl"/>
        </w:rPr>
        <w:t>1,12</w:t>
      </w:r>
      <w:r w:rsidRPr="00052764">
        <w:rPr>
          <w:lang w:val="es-ES_tradnl"/>
        </w:rPr>
        <w:t>)</w:t>
      </w:r>
      <w:r w:rsidRPr="00DB470B">
        <w:rPr>
          <w:lang w:val="es-ES_tradnl"/>
        </w:rPr>
        <w:t>.</w:t>
      </w:r>
    </w:p>
    <w:p w14:paraId="331C40D2" w14:textId="77777777" w:rsidR="004A744D" w:rsidRPr="00DB470B" w:rsidRDefault="004A744D" w:rsidP="004A744D">
      <w:pPr>
        <w:jc w:val="both"/>
        <w:rPr>
          <w:lang w:val="es-ES_tradnl"/>
        </w:rPr>
      </w:pPr>
      <w:r w:rsidRPr="00DB470B">
        <w:rPr>
          <w:lang w:val="es-ES_tradnl"/>
        </w:rPr>
        <w:t xml:space="preserve">Los resultados </w:t>
      </w:r>
      <w:r>
        <w:rPr>
          <w:lang w:val="es-ES_tradnl"/>
        </w:rPr>
        <w:t>del</w:t>
      </w:r>
      <w:r w:rsidRPr="00DB470B">
        <w:rPr>
          <w:lang w:val="es-ES_tradnl"/>
        </w:rPr>
        <w:t xml:space="preserve"> estudio muestran una tendencia de la población femenina, a diferencia de otras series de nuestro país</w:t>
      </w:r>
      <w:r>
        <w:rPr>
          <w:lang w:val="es-ES_tradnl"/>
        </w:rPr>
        <w:t>,</w:t>
      </w:r>
      <w:r w:rsidRPr="00DB470B">
        <w:rPr>
          <w:lang w:val="es-ES_tradnl"/>
        </w:rPr>
        <w:t xml:space="preserve"> en donde la tendencia de la infección ha afectado mayoritariamente a los hombres </w:t>
      </w:r>
      <w:r w:rsidRPr="00052764">
        <w:rPr>
          <w:lang w:val="es-ES_tradnl"/>
        </w:rPr>
        <w:t>(1</w:t>
      </w:r>
      <w:r>
        <w:rPr>
          <w:lang w:val="es-ES_tradnl"/>
        </w:rPr>
        <w:t>3</w:t>
      </w:r>
      <w:r w:rsidRPr="00052764">
        <w:rPr>
          <w:lang w:val="es-ES_tradnl"/>
        </w:rPr>
        <w:t>-1</w:t>
      </w:r>
      <w:r>
        <w:rPr>
          <w:lang w:val="es-ES_tradnl"/>
        </w:rPr>
        <w:t>5</w:t>
      </w:r>
      <w:r w:rsidRPr="00052764">
        <w:rPr>
          <w:lang w:val="es-ES_tradnl"/>
        </w:rPr>
        <w:t>)</w:t>
      </w:r>
      <w:r w:rsidRPr="00DB470B">
        <w:rPr>
          <w:lang w:val="es-ES_tradnl"/>
        </w:rPr>
        <w:t xml:space="preserve">. Aunque si bien el promedio de la edad se respeta a lo reportado por otras literaturas, </w:t>
      </w:r>
      <w:r>
        <w:rPr>
          <w:lang w:val="es-ES_tradnl"/>
        </w:rPr>
        <w:t>la</w:t>
      </w:r>
      <w:r w:rsidRPr="00DB470B">
        <w:rPr>
          <w:lang w:val="es-ES_tradnl"/>
        </w:rPr>
        <w:t xml:space="preserve"> población </w:t>
      </w:r>
      <w:r>
        <w:rPr>
          <w:lang w:val="es-ES_tradnl"/>
        </w:rPr>
        <w:t xml:space="preserve">en estudio </w:t>
      </w:r>
      <w:r w:rsidRPr="00DB470B">
        <w:rPr>
          <w:lang w:val="es-ES_tradnl"/>
        </w:rPr>
        <w:t>tiene una edad ligeramente menor a la observada en otros estudios previos realizados en población mexicana</w:t>
      </w:r>
      <w:r>
        <w:rPr>
          <w:lang w:val="es-ES_tradnl"/>
        </w:rPr>
        <w:t>,</w:t>
      </w:r>
      <w:r w:rsidRPr="00DB470B">
        <w:rPr>
          <w:lang w:val="es-ES_tradnl"/>
        </w:rPr>
        <w:t xml:space="preserve"> donde la edad promedio ha sido reportada entre los 50 a 55 </w:t>
      </w:r>
      <w:proofErr w:type="gramStart"/>
      <w:r w:rsidRPr="00DB470B">
        <w:rPr>
          <w:lang w:val="es-ES_tradnl"/>
        </w:rPr>
        <w:t>años de edad</w:t>
      </w:r>
      <w:proofErr w:type="gramEnd"/>
      <w:r w:rsidRPr="00DB470B">
        <w:rPr>
          <w:lang w:val="es-ES_tradnl"/>
        </w:rPr>
        <w:t xml:space="preserve"> </w:t>
      </w:r>
      <w:r w:rsidRPr="00052764">
        <w:rPr>
          <w:lang w:val="es-ES_tradnl"/>
        </w:rPr>
        <w:t>(1</w:t>
      </w:r>
      <w:r>
        <w:rPr>
          <w:lang w:val="es-ES_tradnl"/>
        </w:rPr>
        <w:t>6,17)</w:t>
      </w:r>
      <w:r w:rsidRPr="00DB470B">
        <w:rPr>
          <w:lang w:val="es-ES_tradnl"/>
        </w:rPr>
        <w:t xml:space="preserve">, pudiéndose relacionar </w:t>
      </w:r>
    </w:p>
    <w:p w14:paraId="66420FF7" w14:textId="280DC3C6" w:rsidR="004A744D" w:rsidRDefault="004A744D" w:rsidP="004A744D">
      <w:pPr>
        <w:jc w:val="both"/>
        <w:rPr>
          <w:lang w:val="es-ES_tradnl"/>
        </w:rPr>
      </w:pPr>
      <w:r w:rsidRPr="00DB470B">
        <w:rPr>
          <w:lang w:val="es-ES_tradnl"/>
        </w:rPr>
        <w:t>directamente con la muestra de la población analizada.</w:t>
      </w:r>
    </w:p>
    <w:p w14:paraId="0F6B6A20" w14:textId="77777777" w:rsidR="004A744D" w:rsidRPr="004A744D" w:rsidRDefault="004A744D" w:rsidP="004A744D">
      <w:pPr>
        <w:jc w:val="both"/>
        <w:rPr>
          <w:b/>
          <w:sz w:val="28"/>
          <w:szCs w:val="28"/>
          <w:lang w:val="es-CR"/>
        </w:rPr>
      </w:pPr>
      <w:r w:rsidRPr="00DB470B">
        <w:rPr>
          <w:lang w:val="es-ES_tradnl"/>
        </w:rPr>
        <w:t>Durante el desarrollo de la presente investigación se tuvieron algunas limitaciones metodológicas tales como que la variable analizada acerca de las comorbilidades se</w:t>
      </w:r>
      <w:r>
        <w:rPr>
          <w:lang w:val="es-ES_tradnl"/>
        </w:rPr>
        <w:t xml:space="preserve"> ha</w:t>
      </w:r>
      <w:r w:rsidRPr="00DB470B">
        <w:rPr>
          <w:lang w:val="es-ES_tradnl"/>
        </w:rPr>
        <w:t xml:space="preserve"> establecido como una variable dicotómica, sin poder así especificar directamente la asociación de alguna comorbilidad en específico</w:t>
      </w:r>
      <w:r>
        <w:rPr>
          <w:lang w:val="es-ES_tradnl"/>
        </w:rPr>
        <w:t>,</w:t>
      </w:r>
      <w:r w:rsidRPr="00DB470B">
        <w:rPr>
          <w:lang w:val="es-ES_tradnl"/>
        </w:rPr>
        <w:t xml:space="preserve"> sino como un grupo de estas, por lo cual la asociación de estas variables</w:t>
      </w:r>
      <w:r>
        <w:rPr>
          <w:lang w:val="es-ES_tradnl"/>
        </w:rPr>
        <w:t>,</w:t>
      </w:r>
      <w:r w:rsidRPr="00DB470B">
        <w:rPr>
          <w:lang w:val="es-ES_tradnl"/>
        </w:rPr>
        <w:t xml:space="preserve"> si bien muestra una tendencia importante sobre la presencia o no de las comorbilidades, se ha reportado por otros autores la asociación de mayor riesgo relativo con la presencia de </w:t>
      </w:r>
      <w:r>
        <w:rPr>
          <w:lang w:val="es-ES_tradnl"/>
        </w:rPr>
        <w:t>h</w:t>
      </w:r>
      <w:r w:rsidRPr="00DB470B">
        <w:rPr>
          <w:lang w:val="es-ES_tradnl"/>
        </w:rPr>
        <w:t xml:space="preserve">ipertensión </w:t>
      </w:r>
      <w:r>
        <w:rPr>
          <w:lang w:val="es-ES_tradnl"/>
        </w:rPr>
        <w:t>a</w:t>
      </w:r>
      <w:r w:rsidRPr="00DB470B">
        <w:rPr>
          <w:lang w:val="es-ES_tradnl"/>
        </w:rPr>
        <w:t xml:space="preserve">rterial </w:t>
      </w:r>
      <w:r>
        <w:rPr>
          <w:lang w:val="es-ES_tradnl"/>
        </w:rPr>
        <w:t>s</w:t>
      </w:r>
      <w:r w:rsidRPr="00DB470B">
        <w:rPr>
          <w:lang w:val="es-ES_tradnl"/>
        </w:rPr>
        <w:t xml:space="preserve">istémica </w:t>
      </w:r>
      <w:r w:rsidRPr="00052764">
        <w:rPr>
          <w:lang w:val="es-ES_tradnl"/>
        </w:rPr>
        <w:t>(</w:t>
      </w:r>
      <w:r>
        <w:rPr>
          <w:lang w:val="es-ES_tradnl"/>
        </w:rPr>
        <w:t>18-</w:t>
      </w:r>
      <w:r w:rsidRPr="00052764">
        <w:rPr>
          <w:lang w:val="es-ES_tradnl"/>
        </w:rPr>
        <w:t>2</w:t>
      </w:r>
      <w:r>
        <w:rPr>
          <w:lang w:val="es-ES_tradnl"/>
        </w:rPr>
        <w:t>1</w:t>
      </w:r>
      <w:r w:rsidRPr="00052764">
        <w:rPr>
          <w:lang w:val="es-ES_tradnl"/>
        </w:rPr>
        <w:t>)</w:t>
      </w:r>
      <w:r>
        <w:rPr>
          <w:lang w:val="es-ES_tradnl"/>
        </w:rPr>
        <w:t>,</w:t>
      </w:r>
      <w:r w:rsidRPr="00DB470B">
        <w:rPr>
          <w:lang w:val="es-ES_tradnl"/>
        </w:rPr>
        <w:t xml:space="preserve"> en comparación a otras comorbilidades tales como cáncer, diabetes tipo 2 o inmunodeficiencias </w:t>
      </w:r>
      <w:r w:rsidRPr="00052764">
        <w:rPr>
          <w:lang w:val="es-ES_tradnl"/>
        </w:rPr>
        <w:t>(2</w:t>
      </w:r>
      <w:r>
        <w:rPr>
          <w:lang w:val="es-ES_tradnl"/>
        </w:rPr>
        <w:t>2-</w:t>
      </w:r>
      <w:r w:rsidRPr="00052764">
        <w:rPr>
          <w:lang w:val="es-ES_tradnl"/>
        </w:rPr>
        <w:t>2</w:t>
      </w:r>
      <w:r>
        <w:rPr>
          <w:lang w:val="es-ES_tradnl"/>
        </w:rPr>
        <w:t>4</w:t>
      </w:r>
      <w:r w:rsidRPr="00052764">
        <w:rPr>
          <w:lang w:val="es-ES_tradnl"/>
        </w:rPr>
        <w:t>)</w:t>
      </w:r>
      <w:r w:rsidRPr="00DB470B">
        <w:rPr>
          <w:lang w:val="es-ES_tradnl"/>
        </w:rPr>
        <w:t>.</w:t>
      </w:r>
    </w:p>
    <w:p w14:paraId="26D2F69D" w14:textId="77777777" w:rsidR="004A744D" w:rsidRPr="00052764" w:rsidRDefault="004A744D" w:rsidP="004A744D">
      <w:pPr>
        <w:jc w:val="both"/>
        <w:rPr>
          <w:lang w:val="es-ES_tradnl"/>
        </w:rPr>
      </w:pPr>
      <w:r w:rsidRPr="00DB470B">
        <w:rPr>
          <w:lang w:val="es-ES_tradnl"/>
        </w:rPr>
        <w:t>De la población atendida en nuestra unidad</w:t>
      </w:r>
      <w:r>
        <w:rPr>
          <w:lang w:val="es-ES_tradnl"/>
        </w:rPr>
        <w:t>,</w:t>
      </w:r>
      <w:r w:rsidRPr="00DB470B">
        <w:rPr>
          <w:lang w:val="es-ES_tradnl"/>
        </w:rPr>
        <w:t xml:space="preserve"> más del 70% de ellos presentaban esquema </w:t>
      </w:r>
      <w:r>
        <w:rPr>
          <w:lang w:val="es-ES_tradnl"/>
        </w:rPr>
        <w:t>de vacunación</w:t>
      </w:r>
      <w:r w:rsidRPr="00DB470B">
        <w:rPr>
          <w:lang w:val="es-ES_tradnl"/>
        </w:rPr>
        <w:t xml:space="preserve"> completo similar a las cifras de vacunación reportadas por las autoridades sanitarias de nuestro país, en relación similar a las mismas proporciones de las marcas de vacunas aplicadas </w:t>
      </w:r>
      <w:r w:rsidRPr="00052764">
        <w:rPr>
          <w:lang w:val="es-ES_tradnl"/>
        </w:rPr>
        <w:t>(2</w:t>
      </w:r>
      <w:r>
        <w:rPr>
          <w:lang w:val="es-ES_tradnl"/>
        </w:rPr>
        <w:t>5</w:t>
      </w:r>
      <w:r w:rsidRPr="00052764">
        <w:rPr>
          <w:lang w:val="es-ES_tradnl"/>
        </w:rPr>
        <w:t>)</w:t>
      </w:r>
      <w:r w:rsidRPr="00DB470B">
        <w:rPr>
          <w:lang w:val="es-ES_tradnl"/>
        </w:rPr>
        <w:t xml:space="preserve">, </w:t>
      </w:r>
      <w:r w:rsidRPr="00DB470B">
        <w:rPr>
          <w:lang w:val="es-ES_tradnl"/>
        </w:rPr>
        <w:t xml:space="preserve">siendo la principalmente usada la de Astra </w:t>
      </w:r>
      <w:proofErr w:type="spellStart"/>
      <w:r w:rsidRPr="00DB470B">
        <w:rPr>
          <w:lang w:val="es-ES_tradnl"/>
        </w:rPr>
        <w:t>Zeneca</w:t>
      </w:r>
      <w:proofErr w:type="spellEnd"/>
      <w:r w:rsidRPr="00DB470B">
        <w:rPr>
          <w:lang w:val="es-ES_tradnl"/>
        </w:rPr>
        <w:t xml:space="preserve"> </w:t>
      </w:r>
      <w:r w:rsidRPr="00052764">
        <w:rPr>
          <w:lang w:val="es-ES_tradnl"/>
        </w:rPr>
        <w:t>(2</w:t>
      </w:r>
      <w:r>
        <w:rPr>
          <w:lang w:val="es-ES_tradnl"/>
        </w:rPr>
        <w:t>6</w:t>
      </w:r>
      <w:r w:rsidRPr="00052764">
        <w:rPr>
          <w:lang w:val="es-ES_tradnl"/>
        </w:rPr>
        <w:t>)</w:t>
      </w:r>
      <w:r w:rsidRPr="006C7F1B">
        <w:rPr>
          <w:lang w:val="es-ES_tradnl"/>
        </w:rPr>
        <w:t>.</w:t>
      </w:r>
      <w:r w:rsidRPr="00DB470B">
        <w:rPr>
          <w:lang w:val="es-ES_tradnl"/>
        </w:rPr>
        <w:t xml:space="preserve"> </w:t>
      </w:r>
    </w:p>
    <w:p w14:paraId="064BA63A" w14:textId="77777777" w:rsidR="004A744D" w:rsidRDefault="004A744D" w:rsidP="004A744D">
      <w:pPr>
        <w:jc w:val="both"/>
        <w:rPr>
          <w:lang w:val="es-ES_tradnl"/>
        </w:rPr>
      </w:pPr>
      <w:r w:rsidRPr="00DB470B">
        <w:rPr>
          <w:lang w:val="es-ES_tradnl"/>
        </w:rPr>
        <w:t xml:space="preserve">En relación </w:t>
      </w:r>
      <w:r>
        <w:rPr>
          <w:lang w:val="es-ES_tradnl"/>
        </w:rPr>
        <w:t>con</w:t>
      </w:r>
      <w:r w:rsidRPr="00DB470B">
        <w:rPr>
          <w:lang w:val="es-ES_tradnl"/>
        </w:rPr>
        <w:t xml:space="preserve"> la presencia de la infección, el desarrollo del presente trabajo analiza la presencia o ausencia de la enfermedad en la población analizada</w:t>
      </w:r>
      <w:r>
        <w:rPr>
          <w:lang w:val="es-ES_tradnl"/>
        </w:rPr>
        <w:t>;</w:t>
      </w:r>
      <w:r w:rsidRPr="00DB470B">
        <w:rPr>
          <w:lang w:val="es-ES_tradnl"/>
        </w:rPr>
        <w:t xml:space="preserve"> sin embargo, no se pueden establecer relaciones causales y medir la eficacia</w:t>
      </w:r>
      <w:r>
        <w:rPr>
          <w:lang w:val="es-ES_tradnl"/>
        </w:rPr>
        <w:t xml:space="preserve"> o </w:t>
      </w:r>
      <w:r w:rsidRPr="00DB470B">
        <w:rPr>
          <w:lang w:val="es-ES_tradnl"/>
        </w:rPr>
        <w:t xml:space="preserve">efectividad de prevenir </w:t>
      </w:r>
      <w:r>
        <w:rPr>
          <w:lang w:val="es-ES_tradnl"/>
        </w:rPr>
        <w:t>su</w:t>
      </w:r>
      <w:r w:rsidRPr="00DB470B">
        <w:rPr>
          <w:lang w:val="es-ES_tradnl"/>
        </w:rPr>
        <w:t xml:space="preserve"> aparición. </w:t>
      </w:r>
      <w:r>
        <w:rPr>
          <w:lang w:val="es-ES_tradnl"/>
        </w:rPr>
        <w:t>Sin embargo,</w:t>
      </w:r>
      <w:r w:rsidRPr="00DB470B">
        <w:rPr>
          <w:lang w:val="es-ES_tradnl"/>
        </w:rPr>
        <w:t xml:space="preserve"> </w:t>
      </w:r>
      <w:r>
        <w:rPr>
          <w:lang w:val="es-ES_tradnl"/>
        </w:rPr>
        <w:t>los</w:t>
      </w:r>
      <w:r w:rsidRPr="00DB470B">
        <w:rPr>
          <w:lang w:val="es-ES_tradnl"/>
        </w:rPr>
        <w:t xml:space="preserve"> resultados de la asociación de estas variables permiten notar que en la infección </w:t>
      </w:r>
      <w:proofErr w:type="spellStart"/>
      <w:r w:rsidRPr="00DB470B">
        <w:rPr>
          <w:lang w:val="es-ES_tradnl"/>
        </w:rPr>
        <w:t>prevacunacional</w:t>
      </w:r>
      <w:proofErr w:type="spellEnd"/>
      <w:r w:rsidRPr="00DB470B">
        <w:rPr>
          <w:lang w:val="es-ES_tradnl"/>
        </w:rPr>
        <w:t xml:space="preserve"> s</w:t>
      </w:r>
      <w:r>
        <w:rPr>
          <w:lang w:val="es-ES_tradnl"/>
        </w:rPr>
        <w:t>í</w:t>
      </w:r>
      <w:r w:rsidRPr="00DB470B">
        <w:rPr>
          <w:lang w:val="es-ES_tradnl"/>
        </w:rPr>
        <w:t xml:space="preserve"> tuvo un efecto positivo la vacunación, al notar valores de ji cuadrada positivos, y un OR adecuado como factor de prevención de </w:t>
      </w:r>
      <w:r>
        <w:rPr>
          <w:lang w:val="es-ES_tradnl"/>
        </w:rPr>
        <w:t>esta</w:t>
      </w:r>
      <w:r w:rsidRPr="00DB470B">
        <w:rPr>
          <w:lang w:val="es-ES_tradnl"/>
        </w:rPr>
        <w:t>.</w:t>
      </w:r>
    </w:p>
    <w:p w14:paraId="1F34B399" w14:textId="77777777" w:rsidR="004A744D" w:rsidRPr="004A744D" w:rsidRDefault="004A744D" w:rsidP="004A744D">
      <w:pPr>
        <w:jc w:val="both"/>
        <w:rPr>
          <w:lang w:val="es-CR"/>
        </w:rPr>
      </w:pPr>
    </w:p>
    <w:p w14:paraId="43DAB4B9" w14:textId="77777777" w:rsidR="004A744D" w:rsidRPr="004A744D" w:rsidRDefault="004A744D" w:rsidP="008B28D1">
      <w:pPr>
        <w:pStyle w:val="Ttulo1"/>
      </w:pPr>
      <w:r w:rsidRPr="004A744D">
        <w:t>CONCLUSIONES</w:t>
      </w:r>
    </w:p>
    <w:p w14:paraId="3853E344" w14:textId="77777777" w:rsidR="004A744D" w:rsidRPr="004A744D" w:rsidRDefault="004A744D" w:rsidP="004A744D">
      <w:pPr>
        <w:jc w:val="both"/>
        <w:rPr>
          <w:b/>
          <w:sz w:val="28"/>
          <w:szCs w:val="28"/>
          <w:lang w:val="es-CR"/>
        </w:rPr>
      </w:pPr>
      <w:r w:rsidRPr="00DB470B">
        <w:rPr>
          <w:lang w:val="es-ES_tradnl"/>
        </w:rPr>
        <w:t>El presente trabajo de investigación ofrece una aproximación al comportamiento de la vacunación como manera de prevención de la infección por SARS</w:t>
      </w:r>
      <w:r>
        <w:rPr>
          <w:lang w:val="es-ES_tradnl"/>
        </w:rPr>
        <w:t>-</w:t>
      </w:r>
      <w:r w:rsidRPr="00DB470B">
        <w:rPr>
          <w:lang w:val="es-ES_tradnl"/>
        </w:rPr>
        <w:t>CoV</w:t>
      </w:r>
      <w:r>
        <w:rPr>
          <w:lang w:val="es-ES_tradnl"/>
        </w:rPr>
        <w:t>-</w:t>
      </w:r>
      <w:r w:rsidRPr="00DB470B">
        <w:rPr>
          <w:lang w:val="es-ES_tradnl"/>
        </w:rPr>
        <w:t>2</w:t>
      </w:r>
      <w:r>
        <w:rPr>
          <w:lang w:val="es-ES_tradnl"/>
        </w:rPr>
        <w:t>;</w:t>
      </w:r>
      <w:r w:rsidRPr="00DB470B">
        <w:rPr>
          <w:lang w:val="es-ES_tradnl"/>
        </w:rPr>
        <w:t xml:space="preserve"> sin embargo, faltan más análisis a profundidad para evaluar su efectividad en la prevención de esta novísima enfermedad. </w:t>
      </w:r>
      <w:r>
        <w:rPr>
          <w:lang w:val="es-ES_tradnl"/>
        </w:rPr>
        <w:t>El presente</w:t>
      </w:r>
      <w:r w:rsidRPr="00DB470B">
        <w:rPr>
          <w:lang w:val="es-ES_tradnl"/>
        </w:rPr>
        <w:t xml:space="preserve"> análisis</w:t>
      </w:r>
      <w:r>
        <w:rPr>
          <w:lang w:val="es-ES_tradnl"/>
        </w:rPr>
        <w:t>,</w:t>
      </w:r>
      <w:r w:rsidRPr="00DB470B">
        <w:rPr>
          <w:lang w:val="es-ES_tradnl"/>
        </w:rPr>
        <w:t xml:space="preserve"> aunque </w:t>
      </w:r>
      <w:r>
        <w:rPr>
          <w:lang w:val="es-ES_tradnl"/>
        </w:rPr>
        <w:t>parte de</w:t>
      </w:r>
      <w:r w:rsidRPr="00DB470B">
        <w:rPr>
          <w:lang w:val="es-ES_tradnl"/>
        </w:rPr>
        <w:t xml:space="preserve"> una muestra pequeña</w:t>
      </w:r>
      <w:r>
        <w:rPr>
          <w:lang w:val="es-ES_tradnl"/>
        </w:rPr>
        <w:t>,</w:t>
      </w:r>
      <w:r w:rsidRPr="00DB470B">
        <w:rPr>
          <w:lang w:val="es-ES_tradnl"/>
        </w:rPr>
        <w:t xml:space="preserve"> da datos que pueden abrir nuevas ventanas de investigación a corto o largo plazo.</w:t>
      </w:r>
    </w:p>
    <w:p w14:paraId="05427B2D" w14:textId="77777777" w:rsidR="004A744D" w:rsidRPr="00DB470B" w:rsidRDefault="004A744D" w:rsidP="004A744D">
      <w:pPr>
        <w:jc w:val="both"/>
        <w:rPr>
          <w:lang w:val="es-ES_tradnl"/>
        </w:rPr>
      </w:pPr>
      <w:r w:rsidRPr="00DB470B">
        <w:rPr>
          <w:lang w:val="es-ES_tradnl"/>
        </w:rPr>
        <w:t>Faltaría hacer estudios con otra perspectiva</w:t>
      </w:r>
      <w:r>
        <w:rPr>
          <w:lang w:val="es-ES_tradnl"/>
        </w:rPr>
        <w:t>,</w:t>
      </w:r>
      <w:r w:rsidRPr="00DB470B">
        <w:rPr>
          <w:lang w:val="es-ES_tradnl"/>
        </w:rPr>
        <w:t xml:space="preserve"> para que se puedan establecer relaciones de causalidad, y medir la eficacia de la prevención, así tal como la medición de los intervalos de confianza</w:t>
      </w:r>
      <w:r>
        <w:rPr>
          <w:lang w:val="es-ES_tradnl"/>
        </w:rPr>
        <w:t>,</w:t>
      </w:r>
      <w:r w:rsidRPr="00DB470B">
        <w:rPr>
          <w:lang w:val="es-ES_tradnl"/>
        </w:rPr>
        <w:t xml:space="preserve"> y por tanto el riesgo relativo de presentar la enfermedad tras la vacunación con esquemas completos.</w:t>
      </w:r>
    </w:p>
    <w:p w14:paraId="627C2E29" w14:textId="77777777" w:rsidR="004A744D" w:rsidRDefault="004A744D" w:rsidP="004A744D">
      <w:pPr>
        <w:jc w:val="both"/>
        <w:rPr>
          <w:lang w:val="es-ES_tradnl"/>
        </w:rPr>
      </w:pPr>
      <w:r w:rsidRPr="00DB470B">
        <w:rPr>
          <w:lang w:val="es-ES_tradnl"/>
        </w:rPr>
        <w:t>En este estudio se encuentran con algunas limitaciones tales como la muestra, el de ser de carácter descriptivo, y de no contar con grupos de comparación en condiciones similares</w:t>
      </w:r>
      <w:r>
        <w:rPr>
          <w:lang w:val="es-ES_tradnl"/>
        </w:rPr>
        <w:t>;</w:t>
      </w:r>
      <w:r w:rsidRPr="00DB470B">
        <w:rPr>
          <w:lang w:val="es-ES_tradnl"/>
        </w:rPr>
        <w:t xml:space="preserve"> sin embargo</w:t>
      </w:r>
      <w:r>
        <w:rPr>
          <w:lang w:val="es-ES_tradnl"/>
        </w:rPr>
        <w:t>,</w:t>
      </w:r>
      <w:r w:rsidRPr="00DB470B">
        <w:rPr>
          <w:lang w:val="es-ES_tradnl"/>
        </w:rPr>
        <w:t xml:space="preserve"> esta investigación abre la puerta a nuevas perspectivas de la atención en el área de la medicina familiar, para realizar futuras investigaciones en el área y continuar con avances en la </w:t>
      </w:r>
      <w:r w:rsidRPr="00DB470B">
        <w:rPr>
          <w:lang w:val="es-ES_tradnl"/>
        </w:rPr>
        <w:lastRenderedPageBreak/>
        <w:t xml:space="preserve">producción científica desde </w:t>
      </w:r>
      <w:r>
        <w:rPr>
          <w:lang w:val="es-ES_tradnl"/>
        </w:rPr>
        <w:t>la actual</w:t>
      </w:r>
      <w:r w:rsidRPr="00DB470B">
        <w:rPr>
          <w:lang w:val="es-ES_tradnl"/>
        </w:rPr>
        <w:t xml:space="preserve"> trinchera</w:t>
      </w:r>
      <w:r>
        <w:rPr>
          <w:lang w:val="es-ES_tradnl"/>
        </w:rPr>
        <w:t>,</w:t>
      </w:r>
      <w:r w:rsidRPr="00DB470B">
        <w:rPr>
          <w:lang w:val="es-ES_tradnl"/>
        </w:rPr>
        <w:t xml:space="preserve"> para mejorar la calidad de la atención a los pacientes y mejorar las condiciones de salud de nuestra población.</w:t>
      </w:r>
    </w:p>
    <w:p w14:paraId="1A6AFEEB" w14:textId="4E0619CD" w:rsidR="00ED7BE0" w:rsidRPr="004A744D" w:rsidRDefault="00ED7BE0" w:rsidP="00ED7BE0">
      <w:pPr>
        <w:jc w:val="both"/>
        <w:rPr>
          <w:color w:val="000000"/>
          <w:lang w:val="es-ES_tradnl"/>
        </w:rPr>
      </w:pPr>
    </w:p>
    <w:p w14:paraId="37769429" w14:textId="77777777" w:rsidR="0031108A" w:rsidRPr="00A05503" w:rsidRDefault="0031108A" w:rsidP="00A05503">
      <w:pPr>
        <w:pStyle w:val="Ttulo1"/>
      </w:pPr>
      <w:r w:rsidRPr="00A05503">
        <w:t>REFERENCIAS</w:t>
      </w:r>
    </w:p>
    <w:p w14:paraId="26405B08" w14:textId="77777777" w:rsidR="008B28D1" w:rsidRPr="00052764" w:rsidRDefault="008B28D1" w:rsidP="008B28D1">
      <w:pPr>
        <w:pStyle w:val="Prrafodelista"/>
        <w:numPr>
          <w:ilvl w:val="0"/>
          <w:numId w:val="49"/>
        </w:numPr>
        <w:ind w:left="284" w:hanging="284"/>
        <w:jc w:val="both"/>
        <w:rPr>
          <w:sz w:val="20"/>
          <w:szCs w:val="20"/>
        </w:rPr>
      </w:pPr>
      <w:r w:rsidRPr="008B28D1">
        <w:rPr>
          <w:sz w:val="20"/>
          <w:szCs w:val="20"/>
          <w:lang w:val="es-CR"/>
        </w:rPr>
        <w:t xml:space="preserve">Villeros J. Efectividad de las vacunas ante el SARS-Cov-2 y sus mutaciones. </w:t>
      </w:r>
      <w:proofErr w:type="spellStart"/>
      <w:r w:rsidRPr="00052764">
        <w:rPr>
          <w:sz w:val="20"/>
          <w:szCs w:val="20"/>
        </w:rPr>
        <w:t>IMedPub</w:t>
      </w:r>
      <w:proofErr w:type="spellEnd"/>
      <w:r w:rsidRPr="00052764">
        <w:rPr>
          <w:sz w:val="20"/>
          <w:szCs w:val="20"/>
        </w:rPr>
        <w:t xml:space="preserve"> Journals. 19 de </w:t>
      </w:r>
      <w:proofErr w:type="spellStart"/>
      <w:r w:rsidRPr="00052764">
        <w:rPr>
          <w:sz w:val="20"/>
          <w:szCs w:val="20"/>
        </w:rPr>
        <w:t>febrero</w:t>
      </w:r>
      <w:proofErr w:type="spellEnd"/>
      <w:r w:rsidRPr="00052764">
        <w:rPr>
          <w:sz w:val="20"/>
          <w:szCs w:val="20"/>
        </w:rPr>
        <w:t>, 2021;17(S1:4).</w:t>
      </w:r>
    </w:p>
    <w:p w14:paraId="0DF1008D" w14:textId="21BD79FA" w:rsidR="008B28D1" w:rsidRPr="008B28D1" w:rsidRDefault="008B28D1" w:rsidP="008B28D1">
      <w:pPr>
        <w:pStyle w:val="Prrafodelista"/>
        <w:numPr>
          <w:ilvl w:val="0"/>
          <w:numId w:val="49"/>
        </w:numPr>
        <w:ind w:left="284" w:hanging="284"/>
        <w:jc w:val="both"/>
        <w:rPr>
          <w:sz w:val="20"/>
          <w:szCs w:val="20"/>
          <w:lang w:val="es-CR"/>
        </w:rPr>
      </w:pPr>
      <w:r w:rsidRPr="008B28D1">
        <w:rPr>
          <w:sz w:val="20"/>
          <w:szCs w:val="20"/>
          <w:lang w:val="es-CR"/>
        </w:rPr>
        <w:t xml:space="preserve">Villar F. Martínez MA, Jiménez D, et al. Recomendaciones SEPAR sobre la vacuna COVID-19 en las enfermedades respiratorias. Open </w:t>
      </w:r>
      <w:proofErr w:type="spellStart"/>
      <w:r w:rsidRPr="008B28D1">
        <w:rPr>
          <w:sz w:val="20"/>
          <w:szCs w:val="20"/>
          <w:lang w:val="es-CR"/>
        </w:rPr>
        <w:t>Respiratory</w:t>
      </w:r>
      <w:proofErr w:type="spellEnd"/>
      <w:r w:rsidRPr="008B28D1">
        <w:rPr>
          <w:sz w:val="20"/>
          <w:szCs w:val="20"/>
          <w:lang w:val="es-CR"/>
        </w:rPr>
        <w:t xml:space="preserve"> Archives [Internet]. 2021 </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8B28D1">
        <w:rPr>
          <w:sz w:val="20"/>
          <w:szCs w:val="20"/>
          <w:lang w:val="es-CR"/>
        </w:rPr>
        <w:t xml:space="preserve">;(3):1-13. </w:t>
      </w:r>
      <w:proofErr w:type="spellStart"/>
      <w:r w:rsidR="00E4111C">
        <w:rPr>
          <w:sz w:val="20"/>
          <w:szCs w:val="20"/>
          <w:lang w:val="es-CR"/>
        </w:rPr>
        <w:t>d</w:t>
      </w:r>
      <w:r w:rsidR="00234570">
        <w:rPr>
          <w:sz w:val="20"/>
          <w:szCs w:val="20"/>
          <w:lang w:val="es-CR"/>
        </w:rPr>
        <w:t>oi</w:t>
      </w:r>
      <w:proofErr w:type="spellEnd"/>
      <w:r w:rsidR="00050DE3">
        <w:rPr>
          <w:sz w:val="20"/>
          <w:szCs w:val="20"/>
          <w:lang w:val="es-CR"/>
        </w:rPr>
        <w:t xml:space="preserve">: </w:t>
      </w:r>
      <w:r w:rsidR="00607628" w:rsidRPr="00607628">
        <w:rPr>
          <w:sz w:val="20"/>
          <w:szCs w:val="20"/>
          <w:lang w:val="es-CR"/>
        </w:rPr>
        <w:t>10.1016/j.opresp.2021.100097</w:t>
      </w:r>
      <w:r w:rsidR="00607628">
        <w:rPr>
          <w:sz w:val="20"/>
          <w:szCs w:val="20"/>
          <w:lang w:val="es-CR"/>
        </w:rPr>
        <w:t xml:space="preserve">. </w:t>
      </w:r>
      <w:r w:rsidRPr="008B28D1">
        <w:rPr>
          <w:sz w:val="20"/>
          <w:szCs w:val="20"/>
          <w:lang w:val="es-CR"/>
        </w:rPr>
        <w:t>D</w:t>
      </w:r>
      <w:r w:rsidR="00796A45">
        <w:rPr>
          <w:sz w:val="20"/>
          <w:szCs w:val="20"/>
          <w:lang w:val="es-CR"/>
        </w:rPr>
        <w:t>isponible en</w:t>
      </w:r>
      <w:r w:rsidRPr="008B28D1">
        <w:rPr>
          <w:sz w:val="20"/>
          <w:szCs w:val="20"/>
          <w:lang w:val="es-CR"/>
        </w:rPr>
        <w:t xml:space="preserve">: </w:t>
      </w:r>
      <w:hyperlink r:id="rId22" w:history="1">
        <w:r w:rsidRPr="00925CEE">
          <w:rPr>
            <w:rStyle w:val="Hipervnculo"/>
            <w:sz w:val="20"/>
            <w:szCs w:val="20"/>
            <w:lang w:val="es-CR"/>
          </w:rPr>
          <w:t>http://dx.doi.org/</w:t>
        </w:r>
        <w:bookmarkStart w:id="0" w:name="_Hlk149486721"/>
        <w:r w:rsidRPr="00925CEE">
          <w:rPr>
            <w:rStyle w:val="Hipervnculo"/>
            <w:sz w:val="20"/>
            <w:szCs w:val="20"/>
            <w:lang w:val="es-CR"/>
          </w:rPr>
          <w:t>10.1016/j.opresp.2021.100097</w:t>
        </w:r>
        <w:bookmarkEnd w:id="0"/>
      </w:hyperlink>
      <w:r>
        <w:rPr>
          <w:sz w:val="20"/>
          <w:szCs w:val="20"/>
          <w:lang w:val="es-CR"/>
        </w:rPr>
        <w:t xml:space="preserve"> </w:t>
      </w:r>
    </w:p>
    <w:p w14:paraId="71AECF00" w14:textId="1D98C32F" w:rsidR="008B28D1" w:rsidRPr="00701204" w:rsidRDefault="008B28D1" w:rsidP="008B28D1">
      <w:pPr>
        <w:pStyle w:val="Prrafodelista"/>
        <w:numPr>
          <w:ilvl w:val="0"/>
          <w:numId w:val="49"/>
        </w:numPr>
        <w:ind w:left="284" w:hanging="284"/>
        <w:jc w:val="both"/>
        <w:rPr>
          <w:sz w:val="20"/>
          <w:szCs w:val="20"/>
          <w:lang w:val="es-CR"/>
        </w:rPr>
      </w:pPr>
      <w:r w:rsidRPr="008B28D1">
        <w:rPr>
          <w:sz w:val="20"/>
          <w:szCs w:val="20"/>
          <w:lang w:val="es-CR"/>
        </w:rPr>
        <w:t xml:space="preserve">Pérez-Abeledo M, Sanz Moreno JC. Variantes de SARS-CoV-2, una historia todavía inacabada. </w:t>
      </w:r>
      <w:r w:rsidRPr="00701204">
        <w:rPr>
          <w:sz w:val="20"/>
          <w:szCs w:val="20"/>
          <w:lang w:val="es-CR"/>
        </w:rPr>
        <w:t>Vacunas [Internet]. 2021</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701204">
        <w:rPr>
          <w:sz w:val="20"/>
          <w:szCs w:val="20"/>
          <w:lang w:val="es-CR"/>
        </w:rPr>
        <w:t xml:space="preserve">;22(3):173–9. </w:t>
      </w:r>
      <w:proofErr w:type="spellStart"/>
      <w:r w:rsidR="00E4111C">
        <w:rPr>
          <w:sz w:val="20"/>
          <w:szCs w:val="20"/>
          <w:lang w:val="es-CR"/>
        </w:rPr>
        <w:t>doi</w:t>
      </w:r>
      <w:proofErr w:type="spellEnd"/>
      <w:r w:rsidR="00E4111C">
        <w:rPr>
          <w:sz w:val="20"/>
          <w:szCs w:val="20"/>
          <w:lang w:val="es-CR"/>
        </w:rPr>
        <w:t xml:space="preserve">: </w:t>
      </w:r>
      <w:r w:rsidR="00607628" w:rsidRPr="00607628">
        <w:rPr>
          <w:sz w:val="20"/>
          <w:szCs w:val="20"/>
          <w:lang w:val="es-CR"/>
        </w:rPr>
        <w:t>10.1016/j.vacun.2021.06.003</w:t>
      </w:r>
      <w:r w:rsidR="00607628">
        <w:rPr>
          <w:sz w:val="20"/>
          <w:szCs w:val="20"/>
          <w:lang w:val="es-CR"/>
        </w:rPr>
        <w:t xml:space="preserve">. </w:t>
      </w:r>
      <w:r w:rsidR="00796A45" w:rsidRPr="008B28D1">
        <w:rPr>
          <w:sz w:val="20"/>
          <w:szCs w:val="20"/>
          <w:lang w:val="es-CR"/>
        </w:rPr>
        <w:t>D</w:t>
      </w:r>
      <w:r w:rsidR="00796A45">
        <w:rPr>
          <w:sz w:val="20"/>
          <w:szCs w:val="20"/>
          <w:lang w:val="es-CR"/>
        </w:rPr>
        <w:t>isponible en</w:t>
      </w:r>
      <w:r w:rsidRPr="00701204">
        <w:rPr>
          <w:sz w:val="20"/>
          <w:szCs w:val="20"/>
          <w:lang w:val="es-CR"/>
        </w:rPr>
        <w:t xml:space="preserve">: </w:t>
      </w:r>
      <w:hyperlink r:id="rId23" w:history="1">
        <w:r w:rsidRPr="00701204">
          <w:rPr>
            <w:rStyle w:val="Hipervnculo"/>
            <w:sz w:val="20"/>
            <w:szCs w:val="20"/>
            <w:lang w:val="es-CR"/>
          </w:rPr>
          <w:t>http://dx.doi.org/10.1016/j.vacun.2021.06.003</w:t>
        </w:r>
      </w:hyperlink>
      <w:r w:rsidRPr="00701204">
        <w:rPr>
          <w:sz w:val="20"/>
          <w:szCs w:val="20"/>
          <w:lang w:val="es-CR"/>
        </w:rPr>
        <w:t xml:space="preserve"> </w:t>
      </w:r>
    </w:p>
    <w:p w14:paraId="5A483287" w14:textId="66A1E0C8" w:rsidR="008B28D1" w:rsidRPr="00701204" w:rsidRDefault="008B28D1" w:rsidP="008B28D1">
      <w:pPr>
        <w:pStyle w:val="Prrafodelista"/>
        <w:numPr>
          <w:ilvl w:val="0"/>
          <w:numId w:val="49"/>
        </w:numPr>
        <w:ind w:left="284" w:hanging="284"/>
        <w:jc w:val="both"/>
        <w:rPr>
          <w:sz w:val="20"/>
          <w:szCs w:val="20"/>
          <w:lang w:val="es-CR"/>
        </w:rPr>
      </w:pPr>
      <w:r w:rsidRPr="008B28D1">
        <w:rPr>
          <w:sz w:val="20"/>
          <w:szCs w:val="20"/>
          <w:lang w:val="es-CR"/>
        </w:rPr>
        <w:t xml:space="preserve">Kim JH, </w:t>
      </w:r>
      <w:proofErr w:type="spellStart"/>
      <w:r w:rsidRPr="008B28D1">
        <w:rPr>
          <w:sz w:val="20"/>
          <w:szCs w:val="20"/>
          <w:lang w:val="es-CR"/>
        </w:rPr>
        <w:t>Hotez</w:t>
      </w:r>
      <w:proofErr w:type="spellEnd"/>
      <w:r w:rsidRPr="008B28D1">
        <w:rPr>
          <w:sz w:val="20"/>
          <w:szCs w:val="20"/>
          <w:lang w:val="es-CR"/>
        </w:rPr>
        <w:t xml:space="preserve"> P, Batista C, </w:t>
      </w:r>
      <w:proofErr w:type="spellStart"/>
      <w:r w:rsidRPr="008B28D1">
        <w:rPr>
          <w:sz w:val="20"/>
          <w:szCs w:val="20"/>
          <w:lang w:val="es-CR"/>
        </w:rPr>
        <w:t>Ergonul</w:t>
      </w:r>
      <w:proofErr w:type="spellEnd"/>
      <w:r w:rsidRPr="008B28D1">
        <w:rPr>
          <w:sz w:val="20"/>
          <w:szCs w:val="20"/>
          <w:lang w:val="es-CR"/>
        </w:rPr>
        <w:t xml:space="preserve"> O, Figueroa JP, Gilbert S, et al. </w:t>
      </w:r>
      <w:r w:rsidRPr="00052764">
        <w:rPr>
          <w:sz w:val="20"/>
          <w:szCs w:val="20"/>
          <w:lang w:val="en-US"/>
        </w:rPr>
        <w:t xml:space="preserve">Operation Warp Speed: implications for global vaccine security. </w:t>
      </w:r>
      <w:r w:rsidRPr="00FA4EFF">
        <w:rPr>
          <w:sz w:val="20"/>
          <w:szCs w:val="20"/>
          <w:lang w:val="es-CR"/>
        </w:rPr>
        <w:t xml:space="preserve">Lancet </w:t>
      </w:r>
      <w:proofErr w:type="spellStart"/>
      <w:r w:rsidRPr="00FA4EFF">
        <w:rPr>
          <w:sz w:val="20"/>
          <w:szCs w:val="20"/>
          <w:lang w:val="es-CR"/>
        </w:rPr>
        <w:t>Glob</w:t>
      </w:r>
      <w:proofErr w:type="spellEnd"/>
      <w:r w:rsidRPr="00FA4EFF">
        <w:rPr>
          <w:sz w:val="20"/>
          <w:szCs w:val="20"/>
          <w:lang w:val="es-CR"/>
        </w:rPr>
        <w:t xml:space="preserve"> </w:t>
      </w:r>
      <w:proofErr w:type="spellStart"/>
      <w:r w:rsidRPr="00FA4EFF">
        <w:rPr>
          <w:sz w:val="20"/>
          <w:szCs w:val="20"/>
          <w:lang w:val="es-CR"/>
        </w:rPr>
        <w:t>Health</w:t>
      </w:r>
      <w:proofErr w:type="spellEnd"/>
      <w:r w:rsidRPr="00FA4EFF">
        <w:rPr>
          <w:sz w:val="20"/>
          <w:szCs w:val="20"/>
          <w:lang w:val="es-CR"/>
        </w:rPr>
        <w:t xml:space="preserve"> [Internet]. </w:t>
      </w:r>
      <w:r w:rsidRPr="00701204">
        <w:rPr>
          <w:sz w:val="20"/>
          <w:szCs w:val="20"/>
          <w:lang w:val="es-CR"/>
        </w:rPr>
        <w:t>2021</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701204">
        <w:rPr>
          <w:sz w:val="20"/>
          <w:szCs w:val="20"/>
          <w:lang w:val="es-CR"/>
        </w:rPr>
        <w:t>;9(7</w:t>
      </w:r>
      <w:proofErr w:type="gramStart"/>
      <w:r w:rsidRPr="00701204">
        <w:rPr>
          <w:sz w:val="20"/>
          <w:szCs w:val="20"/>
          <w:lang w:val="es-CR"/>
        </w:rPr>
        <w:t>):e</w:t>
      </w:r>
      <w:proofErr w:type="gramEnd"/>
      <w:r w:rsidRPr="00701204">
        <w:rPr>
          <w:sz w:val="20"/>
          <w:szCs w:val="20"/>
          <w:lang w:val="es-CR"/>
        </w:rPr>
        <w:t xml:space="preserve">1017–21. </w:t>
      </w:r>
      <w:proofErr w:type="spellStart"/>
      <w:r w:rsidR="00E4111C">
        <w:rPr>
          <w:sz w:val="20"/>
          <w:szCs w:val="20"/>
          <w:lang w:val="es-CR"/>
        </w:rPr>
        <w:t>doi</w:t>
      </w:r>
      <w:proofErr w:type="spellEnd"/>
      <w:r w:rsidR="00E4111C">
        <w:rPr>
          <w:sz w:val="20"/>
          <w:szCs w:val="20"/>
          <w:lang w:val="es-CR"/>
        </w:rPr>
        <w:t xml:space="preserve">: </w:t>
      </w:r>
      <w:r w:rsidR="00607628" w:rsidRPr="00607628">
        <w:rPr>
          <w:sz w:val="20"/>
          <w:szCs w:val="20"/>
          <w:lang w:val="es-CR"/>
        </w:rPr>
        <w:t>10.1016/s2214-109</w:t>
      </w:r>
      <w:proofErr w:type="gramStart"/>
      <w:r w:rsidR="00607628" w:rsidRPr="00607628">
        <w:rPr>
          <w:sz w:val="20"/>
          <w:szCs w:val="20"/>
          <w:lang w:val="es-CR"/>
        </w:rPr>
        <w:t>x(</w:t>
      </w:r>
      <w:proofErr w:type="gramEnd"/>
      <w:r w:rsidR="00607628" w:rsidRPr="00607628">
        <w:rPr>
          <w:sz w:val="20"/>
          <w:szCs w:val="20"/>
          <w:lang w:val="es-CR"/>
        </w:rPr>
        <w:t>21)00140-6</w:t>
      </w:r>
      <w:r w:rsidR="00607628">
        <w:rPr>
          <w:sz w:val="20"/>
          <w:szCs w:val="20"/>
          <w:lang w:val="es-CR"/>
        </w:rPr>
        <w:t xml:space="preserve">. </w:t>
      </w:r>
      <w:r w:rsidR="00796A45" w:rsidRPr="008B28D1">
        <w:rPr>
          <w:sz w:val="20"/>
          <w:szCs w:val="20"/>
          <w:lang w:val="es-CR"/>
        </w:rPr>
        <w:t>D</w:t>
      </w:r>
      <w:r w:rsidR="00796A45">
        <w:rPr>
          <w:sz w:val="20"/>
          <w:szCs w:val="20"/>
          <w:lang w:val="es-CR"/>
        </w:rPr>
        <w:t>isponible en</w:t>
      </w:r>
      <w:r w:rsidRPr="00701204">
        <w:rPr>
          <w:sz w:val="20"/>
          <w:szCs w:val="20"/>
          <w:lang w:val="es-CR"/>
        </w:rPr>
        <w:t xml:space="preserve">: </w:t>
      </w:r>
      <w:hyperlink r:id="rId24" w:history="1">
        <w:r w:rsidRPr="00701204">
          <w:rPr>
            <w:rStyle w:val="Hipervnculo"/>
            <w:sz w:val="20"/>
            <w:szCs w:val="20"/>
            <w:lang w:val="es-CR"/>
          </w:rPr>
          <w:t>http://dx.doi.org/</w:t>
        </w:r>
        <w:bookmarkStart w:id="1" w:name="_Hlk149486750"/>
        <w:r w:rsidRPr="00701204">
          <w:rPr>
            <w:rStyle w:val="Hipervnculo"/>
            <w:sz w:val="20"/>
            <w:szCs w:val="20"/>
            <w:lang w:val="es-CR"/>
          </w:rPr>
          <w:t>10.1016/s2214-109x(21)00140-6</w:t>
        </w:r>
        <w:bookmarkEnd w:id="1"/>
      </w:hyperlink>
      <w:r w:rsidRPr="00701204">
        <w:rPr>
          <w:sz w:val="20"/>
          <w:szCs w:val="20"/>
          <w:lang w:val="es-CR"/>
        </w:rPr>
        <w:t xml:space="preserve"> </w:t>
      </w:r>
    </w:p>
    <w:p w14:paraId="1EC744E1" w14:textId="6A3B5CB9" w:rsidR="008B28D1" w:rsidRPr="00701204" w:rsidRDefault="008B28D1" w:rsidP="008B28D1">
      <w:pPr>
        <w:pStyle w:val="Prrafodelista"/>
        <w:numPr>
          <w:ilvl w:val="0"/>
          <w:numId w:val="49"/>
        </w:numPr>
        <w:ind w:left="284" w:hanging="284"/>
        <w:jc w:val="both"/>
        <w:rPr>
          <w:sz w:val="20"/>
          <w:szCs w:val="20"/>
          <w:lang w:val="es-CR"/>
        </w:rPr>
      </w:pPr>
      <w:r w:rsidRPr="00052764">
        <w:rPr>
          <w:sz w:val="20"/>
          <w:szCs w:val="20"/>
          <w:lang w:val="en-US"/>
        </w:rPr>
        <w:t xml:space="preserve">Polack FP, Thomas SJ, Kitchin N, Absalon J, </w:t>
      </w:r>
      <w:proofErr w:type="spellStart"/>
      <w:r w:rsidRPr="00052764">
        <w:rPr>
          <w:sz w:val="20"/>
          <w:szCs w:val="20"/>
          <w:lang w:val="en-US"/>
        </w:rPr>
        <w:t>Gurtman</w:t>
      </w:r>
      <w:proofErr w:type="spellEnd"/>
      <w:r w:rsidRPr="00052764">
        <w:rPr>
          <w:sz w:val="20"/>
          <w:szCs w:val="20"/>
          <w:lang w:val="en-US"/>
        </w:rPr>
        <w:t xml:space="preserve"> A, Lockhart S, et al. Safety and efficacy of the BNT162b2 mRNA covid-19 vaccine. </w:t>
      </w:r>
      <w:r w:rsidRPr="00FA4EFF">
        <w:rPr>
          <w:sz w:val="20"/>
          <w:szCs w:val="20"/>
          <w:lang w:val="es-CR"/>
        </w:rPr>
        <w:t xml:space="preserve">N Engl J </w:t>
      </w:r>
      <w:proofErr w:type="spellStart"/>
      <w:r w:rsidRPr="00FA4EFF">
        <w:rPr>
          <w:sz w:val="20"/>
          <w:szCs w:val="20"/>
          <w:lang w:val="es-CR"/>
        </w:rPr>
        <w:t>Med</w:t>
      </w:r>
      <w:proofErr w:type="spellEnd"/>
      <w:r w:rsidRPr="00FA4EFF">
        <w:rPr>
          <w:sz w:val="20"/>
          <w:szCs w:val="20"/>
          <w:lang w:val="es-CR"/>
        </w:rPr>
        <w:t xml:space="preserve"> [Internet]. </w:t>
      </w:r>
      <w:r w:rsidRPr="00701204">
        <w:rPr>
          <w:sz w:val="20"/>
          <w:szCs w:val="20"/>
          <w:lang w:val="es-CR"/>
        </w:rPr>
        <w:t>2020</w:t>
      </w:r>
      <w:r w:rsidR="001A42D5">
        <w:rPr>
          <w:sz w:val="20"/>
          <w:szCs w:val="20"/>
          <w:lang w:val="es-CR"/>
        </w:rPr>
        <w:t xml:space="preserve"> </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701204">
        <w:rPr>
          <w:sz w:val="20"/>
          <w:szCs w:val="20"/>
          <w:lang w:val="es-CR"/>
        </w:rPr>
        <w:t xml:space="preserve">;383(27):2603–15. </w:t>
      </w:r>
      <w:proofErr w:type="spellStart"/>
      <w:r w:rsidR="00E4111C">
        <w:rPr>
          <w:sz w:val="20"/>
          <w:szCs w:val="20"/>
          <w:lang w:val="es-CR"/>
        </w:rPr>
        <w:t>doi</w:t>
      </w:r>
      <w:proofErr w:type="spellEnd"/>
      <w:r w:rsidR="00E4111C">
        <w:rPr>
          <w:sz w:val="20"/>
          <w:szCs w:val="20"/>
          <w:lang w:val="es-CR"/>
        </w:rPr>
        <w:t xml:space="preserve">: </w:t>
      </w:r>
      <w:r w:rsidR="00607628" w:rsidRPr="00607628">
        <w:rPr>
          <w:sz w:val="20"/>
          <w:szCs w:val="20"/>
          <w:lang w:val="es-CR"/>
        </w:rPr>
        <w:t>10.1056/nejmoa2034577</w:t>
      </w:r>
      <w:r w:rsidR="00607628">
        <w:rPr>
          <w:sz w:val="20"/>
          <w:szCs w:val="20"/>
          <w:lang w:val="es-CR"/>
        </w:rPr>
        <w:t xml:space="preserve">. </w:t>
      </w:r>
      <w:r w:rsidR="00796A45" w:rsidRPr="008B28D1">
        <w:rPr>
          <w:sz w:val="20"/>
          <w:szCs w:val="20"/>
          <w:lang w:val="es-CR"/>
        </w:rPr>
        <w:t>D</w:t>
      </w:r>
      <w:r w:rsidR="00796A45">
        <w:rPr>
          <w:sz w:val="20"/>
          <w:szCs w:val="20"/>
          <w:lang w:val="es-CR"/>
        </w:rPr>
        <w:t>isponible en</w:t>
      </w:r>
      <w:r w:rsidRPr="00701204">
        <w:rPr>
          <w:sz w:val="20"/>
          <w:szCs w:val="20"/>
          <w:lang w:val="es-CR"/>
        </w:rPr>
        <w:t xml:space="preserve">: </w:t>
      </w:r>
      <w:hyperlink r:id="rId25" w:history="1">
        <w:r w:rsidRPr="00701204">
          <w:rPr>
            <w:rStyle w:val="Hipervnculo"/>
            <w:sz w:val="20"/>
            <w:szCs w:val="20"/>
            <w:lang w:val="es-CR"/>
          </w:rPr>
          <w:t>http://dx.doi.org/10.1056/nejmoa2034577</w:t>
        </w:r>
      </w:hyperlink>
      <w:r w:rsidRPr="00701204">
        <w:rPr>
          <w:sz w:val="20"/>
          <w:szCs w:val="20"/>
          <w:lang w:val="es-CR"/>
        </w:rPr>
        <w:t xml:space="preserve"> </w:t>
      </w:r>
    </w:p>
    <w:p w14:paraId="5DAA2B6D" w14:textId="39FF4030" w:rsidR="008B28D1" w:rsidRPr="00796A45" w:rsidRDefault="008B28D1" w:rsidP="008B28D1">
      <w:pPr>
        <w:pStyle w:val="Prrafodelista"/>
        <w:numPr>
          <w:ilvl w:val="0"/>
          <w:numId w:val="49"/>
        </w:numPr>
        <w:ind w:left="284" w:hanging="284"/>
        <w:jc w:val="both"/>
        <w:rPr>
          <w:sz w:val="20"/>
          <w:szCs w:val="20"/>
          <w:lang w:val="es-CR"/>
        </w:rPr>
      </w:pPr>
      <w:r w:rsidRPr="00052764">
        <w:rPr>
          <w:sz w:val="20"/>
          <w:szCs w:val="20"/>
          <w:lang w:val="en-US"/>
        </w:rPr>
        <w:t xml:space="preserve">Thompson MG, Stenehjem E, Grannis S, Ball SW, Naleway AL, Ong TC, et al. Effectiveness of covid-19 vaccines in ambulatory and inpatient care settings. </w:t>
      </w:r>
      <w:r w:rsidRPr="00FA4EFF">
        <w:rPr>
          <w:sz w:val="20"/>
          <w:szCs w:val="20"/>
          <w:lang w:val="es-CR"/>
        </w:rPr>
        <w:t xml:space="preserve">N Engl J </w:t>
      </w:r>
      <w:proofErr w:type="spellStart"/>
      <w:r w:rsidRPr="00FA4EFF">
        <w:rPr>
          <w:sz w:val="20"/>
          <w:szCs w:val="20"/>
          <w:lang w:val="es-CR"/>
        </w:rPr>
        <w:t>Med</w:t>
      </w:r>
      <w:proofErr w:type="spellEnd"/>
      <w:r w:rsidRPr="00FA4EFF">
        <w:rPr>
          <w:sz w:val="20"/>
          <w:szCs w:val="20"/>
          <w:lang w:val="es-CR"/>
        </w:rPr>
        <w:t xml:space="preserve"> [Internet]. </w:t>
      </w:r>
      <w:r w:rsidRPr="00796A45">
        <w:rPr>
          <w:sz w:val="20"/>
          <w:szCs w:val="20"/>
          <w:lang w:val="es-CR"/>
        </w:rPr>
        <w:t>2021</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796A45">
        <w:rPr>
          <w:sz w:val="20"/>
          <w:szCs w:val="20"/>
          <w:lang w:val="es-CR"/>
        </w:rPr>
        <w:t xml:space="preserve">;385(15):1355–71. </w:t>
      </w:r>
      <w:proofErr w:type="spellStart"/>
      <w:r w:rsidR="00E4111C">
        <w:rPr>
          <w:sz w:val="20"/>
          <w:szCs w:val="20"/>
          <w:lang w:val="es-CR"/>
        </w:rPr>
        <w:t>doi</w:t>
      </w:r>
      <w:proofErr w:type="spellEnd"/>
      <w:r w:rsidR="00E4111C">
        <w:rPr>
          <w:sz w:val="20"/>
          <w:szCs w:val="20"/>
          <w:lang w:val="es-CR"/>
        </w:rPr>
        <w:t xml:space="preserve">: </w:t>
      </w:r>
      <w:r w:rsidR="00607628" w:rsidRPr="00607628">
        <w:rPr>
          <w:sz w:val="20"/>
          <w:szCs w:val="20"/>
          <w:lang w:val="es-CR"/>
        </w:rPr>
        <w:t>10.1056/nejmoa2110362</w:t>
      </w:r>
      <w:r w:rsidR="00607628">
        <w:rPr>
          <w:sz w:val="20"/>
          <w:szCs w:val="20"/>
          <w:lang w:val="es-CR"/>
        </w:rPr>
        <w:t xml:space="preserve">. </w:t>
      </w:r>
      <w:r w:rsidR="00796A45" w:rsidRPr="008B28D1">
        <w:rPr>
          <w:sz w:val="20"/>
          <w:szCs w:val="20"/>
          <w:lang w:val="es-CR"/>
        </w:rPr>
        <w:t>D</w:t>
      </w:r>
      <w:r w:rsidR="00796A45">
        <w:rPr>
          <w:sz w:val="20"/>
          <w:szCs w:val="20"/>
          <w:lang w:val="es-CR"/>
        </w:rPr>
        <w:t>isponible en</w:t>
      </w:r>
      <w:r w:rsidRPr="00796A45">
        <w:rPr>
          <w:sz w:val="20"/>
          <w:szCs w:val="20"/>
          <w:lang w:val="es-CR"/>
        </w:rPr>
        <w:t xml:space="preserve">: </w:t>
      </w:r>
      <w:hyperlink r:id="rId26" w:history="1">
        <w:r w:rsidRPr="00796A45">
          <w:rPr>
            <w:rStyle w:val="Hipervnculo"/>
            <w:sz w:val="20"/>
            <w:szCs w:val="20"/>
            <w:lang w:val="es-CR"/>
          </w:rPr>
          <w:t>http://dx.doi.org/10.1056/nejmoa2110362</w:t>
        </w:r>
      </w:hyperlink>
      <w:r w:rsidRPr="00796A45">
        <w:rPr>
          <w:sz w:val="20"/>
          <w:szCs w:val="20"/>
          <w:lang w:val="es-CR"/>
        </w:rPr>
        <w:t xml:space="preserve"> </w:t>
      </w:r>
    </w:p>
    <w:p w14:paraId="6450DD92" w14:textId="415A5730" w:rsidR="008B28D1" w:rsidRPr="008B28D1" w:rsidRDefault="008B28D1" w:rsidP="008B28D1">
      <w:pPr>
        <w:pStyle w:val="Prrafodelista"/>
        <w:numPr>
          <w:ilvl w:val="0"/>
          <w:numId w:val="49"/>
        </w:numPr>
        <w:ind w:left="284" w:hanging="284"/>
        <w:jc w:val="both"/>
        <w:rPr>
          <w:sz w:val="20"/>
          <w:szCs w:val="20"/>
          <w:lang w:val="es-CR"/>
        </w:rPr>
      </w:pPr>
      <w:r w:rsidRPr="008B28D1">
        <w:rPr>
          <w:sz w:val="20"/>
          <w:szCs w:val="20"/>
          <w:lang w:val="es-CR"/>
        </w:rPr>
        <w:t>García-Rodríguez V, López-Murillo M. COVID-19 y el síndrome metabólico: dos pandemias que se cruzan entre la población mexicana. Revista RD [Internet]. 2021</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8B28D1">
        <w:rPr>
          <w:sz w:val="20"/>
          <w:szCs w:val="20"/>
          <w:lang w:val="es-CR"/>
        </w:rPr>
        <w:t xml:space="preserve">;20(7):50-73. </w:t>
      </w:r>
      <w:r w:rsidR="00796A45" w:rsidRPr="008B28D1">
        <w:rPr>
          <w:sz w:val="20"/>
          <w:szCs w:val="20"/>
          <w:lang w:val="es-CR"/>
        </w:rPr>
        <w:t>D</w:t>
      </w:r>
      <w:r w:rsidR="00796A45">
        <w:rPr>
          <w:sz w:val="20"/>
          <w:szCs w:val="20"/>
          <w:lang w:val="es-CR"/>
        </w:rPr>
        <w:t>isponible en</w:t>
      </w:r>
      <w:r w:rsidRPr="008B28D1">
        <w:rPr>
          <w:sz w:val="20"/>
          <w:szCs w:val="20"/>
          <w:lang w:val="es-CR"/>
        </w:rPr>
        <w:t xml:space="preserve">: </w:t>
      </w:r>
      <w:hyperlink r:id="rId27" w:history="1">
        <w:r w:rsidRPr="00925CEE">
          <w:rPr>
            <w:rStyle w:val="Hipervnculo"/>
            <w:sz w:val="20"/>
            <w:szCs w:val="20"/>
            <w:lang w:val="es-CR"/>
          </w:rPr>
          <w:t>http://rd.buap.mx/ojs-dm/index.php/rdicuap/article/view/598/563</w:t>
        </w:r>
      </w:hyperlink>
      <w:r>
        <w:rPr>
          <w:sz w:val="20"/>
          <w:szCs w:val="20"/>
          <w:lang w:val="es-CR"/>
        </w:rPr>
        <w:t xml:space="preserve"> </w:t>
      </w:r>
    </w:p>
    <w:p w14:paraId="0D51163D" w14:textId="74990F28" w:rsidR="008B28D1" w:rsidRPr="00C347F7" w:rsidRDefault="008B28D1" w:rsidP="008B28D1">
      <w:pPr>
        <w:pStyle w:val="Prrafodelista"/>
        <w:numPr>
          <w:ilvl w:val="0"/>
          <w:numId w:val="49"/>
        </w:numPr>
        <w:ind w:left="284" w:hanging="284"/>
        <w:jc w:val="both"/>
        <w:rPr>
          <w:sz w:val="20"/>
          <w:szCs w:val="20"/>
          <w:lang w:val="es-CR"/>
        </w:rPr>
      </w:pPr>
      <w:proofErr w:type="spellStart"/>
      <w:r w:rsidRPr="00052764">
        <w:rPr>
          <w:sz w:val="20"/>
          <w:szCs w:val="20"/>
          <w:lang w:val="en-US"/>
        </w:rPr>
        <w:t>Soiza</w:t>
      </w:r>
      <w:proofErr w:type="spellEnd"/>
      <w:r w:rsidRPr="00052764">
        <w:rPr>
          <w:sz w:val="20"/>
          <w:szCs w:val="20"/>
          <w:lang w:val="en-US"/>
        </w:rPr>
        <w:t xml:space="preserve"> RL, Scicluna C, Thomson EC. </w:t>
      </w:r>
      <w:proofErr w:type="gramStart"/>
      <w:r w:rsidRPr="00052764">
        <w:rPr>
          <w:sz w:val="20"/>
          <w:szCs w:val="20"/>
          <w:lang w:val="en-US"/>
        </w:rPr>
        <w:t>Efficacy</w:t>
      </w:r>
      <w:proofErr w:type="gramEnd"/>
      <w:r w:rsidRPr="00052764">
        <w:rPr>
          <w:sz w:val="20"/>
          <w:szCs w:val="20"/>
          <w:lang w:val="en-US"/>
        </w:rPr>
        <w:t xml:space="preserve"> and safety of COVID-19 vaccines in older people. </w:t>
      </w:r>
      <w:r w:rsidRPr="00C347F7">
        <w:rPr>
          <w:sz w:val="20"/>
          <w:szCs w:val="20"/>
          <w:lang w:val="es-CR"/>
        </w:rPr>
        <w:t xml:space="preserve">Age </w:t>
      </w:r>
      <w:proofErr w:type="spellStart"/>
      <w:r w:rsidRPr="00C347F7">
        <w:rPr>
          <w:sz w:val="20"/>
          <w:szCs w:val="20"/>
          <w:lang w:val="es-CR"/>
        </w:rPr>
        <w:t>Ageing</w:t>
      </w:r>
      <w:proofErr w:type="spellEnd"/>
      <w:r w:rsidRPr="00C347F7">
        <w:rPr>
          <w:sz w:val="20"/>
          <w:szCs w:val="20"/>
          <w:lang w:val="es-CR"/>
        </w:rPr>
        <w:t xml:space="preserve"> [Internet]. 2021</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C347F7">
        <w:rPr>
          <w:sz w:val="20"/>
          <w:szCs w:val="20"/>
          <w:lang w:val="es-CR"/>
        </w:rPr>
        <w:t xml:space="preserve">;50(2):279–83. </w:t>
      </w:r>
      <w:proofErr w:type="spellStart"/>
      <w:r w:rsidR="00E4111C">
        <w:rPr>
          <w:sz w:val="20"/>
          <w:szCs w:val="20"/>
          <w:lang w:val="es-CR"/>
        </w:rPr>
        <w:t>doi</w:t>
      </w:r>
      <w:proofErr w:type="spellEnd"/>
      <w:r w:rsidR="00E4111C">
        <w:rPr>
          <w:sz w:val="20"/>
          <w:szCs w:val="20"/>
          <w:lang w:val="es-CR"/>
        </w:rPr>
        <w:t xml:space="preserve">: </w:t>
      </w:r>
      <w:r w:rsidR="00607628" w:rsidRPr="00607628">
        <w:rPr>
          <w:sz w:val="20"/>
          <w:szCs w:val="20"/>
          <w:lang w:val="es-CR"/>
        </w:rPr>
        <w:t>10.1093/</w:t>
      </w:r>
      <w:proofErr w:type="spellStart"/>
      <w:r w:rsidR="00607628" w:rsidRPr="00607628">
        <w:rPr>
          <w:sz w:val="20"/>
          <w:szCs w:val="20"/>
          <w:lang w:val="es-CR"/>
        </w:rPr>
        <w:t>ageing</w:t>
      </w:r>
      <w:proofErr w:type="spellEnd"/>
      <w:r w:rsidR="00607628" w:rsidRPr="00607628">
        <w:rPr>
          <w:sz w:val="20"/>
          <w:szCs w:val="20"/>
          <w:lang w:val="es-CR"/>
        </w:rPr>
        <w:t>/afaa274</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C347F7">
        <w:rPr>
          <w:sz w:val="20"/>
          <w:szCs w:val="20"/>
          <w:lang w:val="es-CR"/>
        </w:rPr>
        <w:t xml:space="preserve">: </w:t>
      </w:r>
      <w:hyperlink r:id="rId28" w:history="1">
        <w:r w:rsidRPr="00C347F7">
          <w:rPr>
            <w:rStyle w:val="Hipervnculo"/>
            <w:sz w:val="20"/>
            <w:szCs w:val="20"/>
            <w:lang w:val="es-CR"/>
          </w:rPr>
          <w:t>http://dx.doi.org/10.1093/ageing/afaa274</w:t>
        </w:r>
      </w:hyperlink>
      <w:r w:rsidRPr="00C347F7">
        <w:rPr>
          <w:sz w:val="20"/>
          <w:szCs w:val="20"/>
          <w:lang w:val="es-CR"/>
        </w:rPr>
        <w:t xml:space="preserve"> </w:t>
      </w:r>
    </w:p>
    <w:p w14:paraId="7ACEE0B9" w14:textId="561654FF" w:rsidR="008B28D1" w:rsidRPr="008B28D1" w:rsidRDefault="008B28D1" w:rsidP="008B28D1">
      <w:pPr>
        <w:pStyle w:val="Prrafodelista"/>
        <w:numPr>
          <w:ilvl w:val="0"/>
          <w:numId w:val="49"/>
        </w:numPr>
        <w:ind w:left="284" w:hanging="284"/>
        <w:jc w:val="both"/>
        <w:rPr>
          <w:sz w:val="20"/>
          <w:szCs w:val="20"/>
          <w:lang w:val="es-CR"/>
        </w:rPr>
      </w:pPr>
      <w:r w:rsidRPr="008B28D1">
        <w:rPr>
          <w:sz w:val="20"/>
          <w:szCs w:val="20"/>
          <w:lang w:val="es-CR"/>
        </w:rPr>
        <w:t xml:space="preserve">La prolongación de la crisis sanitaria y su impacto en la salud, la economía y el desarrollo social. 2021 </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8B28D1">
        <w:rPr>
          <w:sz w:val="20"/>
          <w:szCs w:val="20"/>
          <w:lang w:val="es-CR"/>
        </w:rPr>
        <w:t xml:space="preserve">. </w:t>
      </w:r>
      <w:r w:rsidR="00796A45" w:rsidRPr="008B28D1">
        <w:rPr>
          <w:sz w:val="20"/>
          <w:szCs w:val="20"/>
          <w:lang w:val="es-CR"/>
        </w:rPr>
        <w:t>D</w:t>
      </w:r>
      <w:r w:rsidR="00796A45">
        <w:rPr>
          <w:sz w:val="20"/>
          <w:szCs w:val="20"/>
          <w:lang w:val="es-CR"/>
        </w:rPr>
        <w:t>isponible en</w:t>
      </w:r>
      <w:r w:rsidRPr="008B28D1">
        <w:rPr>
          <w:sz w:val="20"/>
          <w:szCs w:val="20"/>
          <w:lang w:val="es-CR"/>
        </w:rPr>
        <w:t xml:space="preserve">: </w:t>
      </w:r>
      <w:hyperlink r:id="rId29" w:history="1">
        <w:r w:rsidRPr="00925CEE">
          <w:rPr>
            <w:rStyle w:val="Hipervnculo"/>
            <w:sz w:val="20"/>
            <w:szCs w:val="20"/>
            <w:lang w:val="es-CR"/>
          </w:rPr>
          <w:t>https://repositorio.cepal.org/items/b164d478-9cb6-4e61-8eba-817a145c6a41</w:t>
        </w:r>
      </w:hyperlink>
      <w:r>
        <w:rPr>
          <w:sz w:val="20"/>
          <w:szCs w:val="20"/>
          <w:lang w:val="es-CR"/>
        </w:rPr>
        <w:t xml:space="preserve"> </w:t>
      </w:r>
    </w:p>
    <w:p w14:paraId="6D900CBE" w14:textId="50670031" w:rsidR="008B28D1" w:rsidRPr="00796A45" w:rsidRDefault="008B28D1" w:rsidP="008B28D1">
      <w:pPr>
        <w:pStyle w:val="Prrafodelista"/>
        <w:numPr>
          <w:ilvl w:val="0"/>
          <w:numId w:val="49"/>
        </w:numPr>
        <w:ind w:left="284" w:hanging="284"/>
        <w:jc w:val="both"/>
        <w:rPr>
          <w:sz w:val="20"/>
          <w:szCs w:val="20"/>
          <w:lang w:val="es-CR"/>
        </w:rPr>
      </w:pPr>
      <w:r w:rsidRPr="00052764">
        <w:rPr>
          <w:sz w:val="20"/>
          <w:szCs w:val="20"/>
          <w:lang w:val="en-US"/>
        </w:rPr>
        <w:t xml:space="preserve">Mathieu E, Ritchie H, </w:t>
      </w:r>
      <w:proofErr w:type="spellStart"/>
      <w:r w:rsidRPr="00052764">
        <w:rPr>
          <w:sz w:val="20"/>
          <w:szCs w:val="20"/>
          <w:lang w:val="en-US"/>
        </w:rPr>
        <w:t>Rodés</w:t>
      </w:r>
      <w:proofErr w:type="spellEnd"/>
      <w:r w:rsidRPr="00052764">
        <w:rPr>
          <w:sz w:val="20"/>
          <w:szCs w:val="20"/>
          <w:lang w:val="en-US"/>
        </w:rPr>
        <w:t xml:space="preserve">-Guirao L, Appel C, Giattino C, Hasell J, et al. Coronavirus Pandemic (COVID-19). </w:t>
      </w:r>
      <w:proofErr w:type="spellStart"/>
      <w:r w:rsidRPr="00FA4EFF">
        <w:rPr>
          <w:sz w:val="20"/>
          <w:szCs w:val="20"/>
          <w:lang w:val="es-CR"/>
        </w:rPr>
        <w:t>Our</w:t>
      </w:r>
      <w:proofErr w:type="spellEnd"/>
      <w:r w:rsidRPr="00FA4EFF">
        <w:rPr>
          <w:sz w:val="20"/>
          <w:szCs w:val="20"/>
          <w:lang w:val="es-CR"/>
        </w:rPr>
        <w:t xml:space="preserve"> </w:t>
      </w:r>
      <w:proofErr w:type="spellStart"/>
      <w:r w:rsidRPr="00FA4EFF">
        <w:rPr>
          <w:sz w:val="20"/>
          <w:szCs w:val="20"/>
          <w:lang w:val="es-CR"/>
        </w:rPr>
        <w:t>World</w:t>
      </w:r>
      <w:proofErr w:type="spellEnd"/>
      <w:r w:rsidRPr="00FA4EFF">
        <w:rPr>
          <w:sz w:val="20"/>
          <w:szCs w:val="20"/>
          <w:lang w:val="es-CR"/>
        </w:rPr>
        <w:t xml:space="preserve"> in Data [Internet]. </w:t>
      </w:r>
      <w:r w:rsidRPr="00796A45">
        <w:rPr>
          <w:sz w:val="20"/>
          <w:szCs w:val="20"/>
          <w:lang w:val="es-CR"/>
        </w:rPr>
        <w:t xml:space="preserve">2020 </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796A45">
        <w:rPr>
          <w:sz w:val="20"/>
          <w:szCs w:val="20"/>
          <w:lang w:val="es-CR"/>
        </w:rPr>
        <w:t xml:space="preserve">. </w:t>
      </w:r>
      <w:r w:rsidR="00796A45" w:rsidRPr="008B28D1">
        <w:rPr>
          <w:sz w:val="20"/>
          <w:szCs w:val="20"/>
          <w:lang w:val="es-CR"/>
        </w:rPr>
        <w:t>D</w:t>
      </w:r>
      <w:r w:rsidR="00796A45">
        <w:rPr>
          <w:sz w:val="20"/>
          <w:szCs w:val="20"/>
          <w:lang w:val="es-CR"/>
        </w:rPr>
        <w:t>isponible en</w:t>
      </w:r>
      <w:r w:rsidRPr="00796A45">
        <w:rPr>
          <w:sz w:val="20"/>
          <w:szCs w:val="20"/>
          <w:lang w:val="es-CR"/>
        </w:rPr>
        <w:t xml:space="preserve">: </w:t>
      </w:r>
      <w:hyperlink r:id="rId30" w:history="1">
        <w:r w:rsidRPr="00796A45">
          <w:rPr>
            <w:rStyle w:val="Hipervnculo"/>
            <w:sz w:val="20"/>
            <w:szCs w:val="20"/>
            <w:lang w:val="es-CR"/>
          </w:rPr>
          <w:t>https://ourworldindata.org/covid-vaccinations</w:t>
        </w:r>
      </w:hyperlink>
      <w:r w:rsidRPr="00796A45">
        <w:rPr>
          <w:sz w:val="20"/>
          <w:szCs w:val="20"/>
          <w:lang w:val="es-CR"/>
        </w:rPr>
        <w:t xml:space="preserve"> </w:t>
      </w:r>
    </w:p>
    <w:p w14:paraId="4A45D8D2" w14:textId="1B8F1E8A" w:rsidR="008B28D1" w:rsidRPr="008B28D1" w:rsidRDefault="008B28D1" w:rsidP="008B28D1">
      <w:pPr>
        <w:pStyle w:val="Prrafodelista"/>
        <w:numPr>
          <w:ilvl w:val="0"/>
          <w:numId w:val="49"/>
        </w:numPr>
        <w:ind w:left="284" w:hanging="284"/>
        <w:jc w:val="both"/>
        <w:rPr>
          <w:sz w:val="20"/>
          <w:szCs w:val="20"/>
          <w:lang w:val="es-CR"/>
        </w:rPr>
      </w:pPr>
      <w:proofErr w:type="spellStart"/>
      <w:r w:rsidRPr="008B28D1">
        <w:rPr>
          <w:sz w:val="20"/>
          <w:szCs w:val="20"/>
          <w:lang w:val="es-CR"/>
        </w:rPr>
        <w:t>World</w:t>
      </w:r>
      <w:proofErr w:type="spellEnd"/>
      <w:r w:rsidRPr="008B28D1">
        <w:rPr>
          <w:sz w:val="20"/>
          <w:szCs w:val="20"/>
          <w:lang w:val="es-CR"/>
        </w:rPr>
        <w:t xml:space="preserve"> </w:t>
      </w:r>
      <w:proofErr w:type="spellStart"/>
      <w:r w:rsidRPr="008B28D1">
        <w:rPr>
          <w:sz w:val="20"/>
          <w:szCs w:val="20"/>
          <w:lang w:val="es-CR"/>
        </w:rPr>
        <w:t>Health</w:t>
      </w:r>
      <w:proofErr w:type="spellEnd"/>
      <w:r w:rsidRPr="008B28D1">
        <w:rPr>
          <w:sz w:val="20"/>
          <w:szCs w:val="20"/>
          <w:lang w:val="es-CR"/>
        </w:rPr>
        <w:t xml:space="preserve"> </w:t>
      </w:r>
      <w:proofErr w:type="spellStart"/>
      <w:r w:rsidRPr="008B28D1">
        <w:rPr>
          <w:sz w:val="20"/>
          <w:szCs w:val="20"/>
          <w:lang w:val="es-CR"/>
        </w:rPr>
        <w:t>Organization</w:t>
      </w:r>
      <w:proofErr w:type="spellEnd"/>
      <w:r w:rsidRPr="008B28D1">
        <w:rPr>
          <w:sz w:val="20"/>
          <w:szCs w:val="20"/>
          <w:lang w:val="es-CR"/>
        </w:rPr>
        <w:t xml:space="preserve">. Eficacia teórica, eficacia real y protección de las vacunas [Internet]. Who.int. 2023 </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8B28D1">
        <w:rPr>
          <w:sz w:val="20"/>
          <w:szCs w:val="20"/>
          <w:lang w:val="es-CR"/>
        </w:rPr>
        <w:t xml:space="preserve">. </w:t>
      </w:r>
      <w:r w:rsidR="00796A45" w:rsidRPr="008B28D1">
        <w:rPr>
          <w:sz w:val="20"/>
          <w:szCs w:val="20"/>
          <w:lang w:val="es-CR"/>
        </w:rPr>
        <w:t>D</w:t>
      </w:r>
      <w:r w:rsidR="00796A45">
        <w:rPr>
          <w:sz w:val="20"/>
          <w:szCs w:val="20"/>
          <w:lang w:val="es-CR"/>
        </w:rPr>
        <w:t>isponible en</w:t>
      </w:r>
      <w:r w:rsidRPr="008B28D1">
        <w:rPr>
          <w:sz w:val="20"/>
          <w:szCs w:val="20"/>
          <w:lang w:val="es-CR"/>
        </w:rPr>
        <w:t xml:space="preserve">: </w:t>
      </w:r>
      <w:hyperlink r:id="rId31" w:history="1">
        <w:r w:rsidRPr="00925CEE">
          <w:rPr>
            <w:rStyle w:val="Hipervnculo"/>
            <w:sz w:val="20"/>
            <w:szCs w:val="20"/>
            <w:lang w:val="es-CR"/>
          </w:rPr>
          <w:t>https://www.who.int/es/news-room/feature-stories/detail/vaccine-efficacy-effectiveness-and-protection</w:t>
        </w:r>
      </w:hyperlink>
      <w:r>
        <w:rPr>
          <w:sz w:val="20"/>
          <w:szCs w:val="20"/>
          <w:lang w:val="es-CR"/>
        </w:rPr>
        <w:t xml:space="preserve"> </w:t>
      </w:r>
    </w:p>
    <w:p w14:paraId="749BDD9B" w14:textId="1A4B908B" w:rsidR="008B28D1" w:rsidRPr="008B28D1" w:rsidRDefault="008B28D1" w:rsidP="008B28D1">
      <w:pPr>
        <w:pStyle w:val="Prrafodelista"/>
        <w:numPr>
          <w:ilvl w:val="0"/>
          <w:numId w:val="49"/>
        </w:numPr>
        <w:ind w:left="284" w:hanging="284"/>
        <w:jc w:val="both"/>
        <w:rPr>
          <w:sz w:val="20"/>
          <w:szCs w:val="20"/>
          <w:lang w:val="es-CR"/>
        </w:rPr>
      </w:pPr>
      <w:r w:rsidRPr="008B28D1">
        <w:rPr>
          <w:sz w:val="20"/>
          <w:szCs w:val="20"/>
          <w:lang w:val="es-CR"/>
        </w:rPr>
        <w:t xml:space="preserve">Comisión Federal para la Protección contra Riesgos Sanitarios. Vacunas COVID 19 autorizadas [Internet]. gob.mx. 03 de marzo, 2022 </w:t>
      </w:r>
      <w:r w:rsidR="001A42D5" w:rsidRPr="008B28D1">
        <w:rPr>
          <w:sz w:val="20"/>
          <w:szCs w:val="20"/>
          <w:lang w:val="es-CR"/>
        </w:rPr>
        <w:t>[citado el 0</w:t>
      </w:r>
      <w:r w:rsidR="001A42D5">
        <w:rPr>
          <w:sz w:val="20"/>
          <w:szCs w:val="20"/>
          <w:lang w:val="es-CR"/>
        </w:rPr>
        <w:t>1</w:t>
      </w:r>
      <w:r w:rsidR="001A42D5" w:rsidRPr="008B28D1">
        <w:rPr>
          <w:sz w:val="20"/>
          <w:szCs w:val="20"/>
          <w:lang w:val="es-CR"/>
        </w:rPr>
        <w:t xml:space="preserve"> de </w:t>
      </w:r>
      <w:r w:rsidR="001A42D5">
        <w:rPr>
          <w:sz w:val="20"/>
          <w:szCs w:val="20"/>
          <w:lang w:val="es-CR"/>
        </w:rPr>
        <w:t>mayo</w:t>
      </w:r>
      <w:r w:rsidR="001A42D5" w:rsidRPr="008B28D1">
        <w:rPr>
          <w:sz w:val="20"/>
          <w:szCs w:val="20"/>
          <w:lang w:val="es-CR"/>
        </w:rPr>
        <w:t xml:space="preserve"> de 2023]</w:t>
      </w:r>
      <w:r w:rsidRPr="008B28D1">
        <w:rPr>
          <w:sz w:val="20"/>
          <w:szCs w:val="20"/>
          <w:lang w:val="es-CR"/>
        </w:rPr>
        <w:t xml:space="preserve">. </w:t>
      </w:r>
      <w:r w:rsidR="00796A45" w:rsidRPr="008B28D1">
        <w:rPr>
          <w:sz w:val="20"/>
          <w:szCs w:val="20"/>
          <w:lang w:val="es-CR"/>
        </w:rPr>
        <w:t>D</w:t>
      </w:r>
      <w:r w:rsidR="00796A45">
        <w:rPr>
          <w:sz w:val="20"/>
          <w:szCs w:val="20"/>
          <w:lang w:val="es-CR"/>
        </w:rPr>
        <w:t>isponible en</w:t>
      </w:r>
      <w:r w:rsidRPr="008B28D1">
        <w:rPr>
          <w:sz w:val="20"/>
          <w:szCs w:val="20"/>
          <w:lang w:val="es-CR"/>
        </w:rPr>
        <w:t xml:space="preserve">: </w:t>
      </w:r>
      <w:hyperlink r:id="rId32" w:history="1">
        <w:r w:rsidRPr="00925CEE">
          <w:rPr>
            <w:rStyle w:val="Hipervnculo"/>
            <w:sz w:val="20"/>
            <w:szCs w:val="20"/>
            <w:lang w:val="es-CR"/>
          </w:rPr>
          <w:t>http://www.gob.mx/cofepris/acciones-y-programas/vacunas-covid-19-autorizadas</w:t>
        </w:r>
      </w:hyperlink>
      <w:r>
        <w:rPr>
          <w:sz w:val="20"/>
          <w:szCs w:val="20"/>
          <w:lang w:val="es-CR"/>
        </w:rPr>
        <w:t xml:space="preserve"> </w:t>
      </w:r>
    </w:p>
    <w:p w14:paraId="1A91840A" w14:textId="11C3910E" w:rsidR="008B28D1" w:rsidRPr="00796A45" w:rsidRDefault="008B28D1" w:rsidP="008B28D1">
      <w:pPr>
        <w:pStyle w:val="Prrafodelista"/>
        <w:numPr>
          <w:ilvl w:val="0"/>
          <w:numId w:val="49"/>
        </w:numPr>
        <w:ind w:left="284" w:hanging="284"/>
        <w:jc w:val="both"/>
        <w:rPr>
          <w:sz w:val="20"/>
          <w:szCs w:val="20"/>
          <w:lang w:val="es-CR"/>
        </w:rPr>
      </w:pPr>
      <w:r w:rsidRPr="008B28D1">
        <w:rPr>
          <w:sz w:val="20"/>
          <w:szCs w:val="20"/>
          <w:lang w:val="es-CR"/>
        </w:rPr>
        <w:t xml:space="preserve">Sosa-García JO, Gutiérrez-Villaseñor AO, García-Briones A, Romero-González JP, Juárez-Hernández E, González-Chon O. </w:t>
      </w:r>
      <w:proofErr w:type="spellStart"/>
      <w:r w:rsidRPr="008B28D1">
        <w:rPr>
          <w:sz w:val="20"/>
          <w:szCs w:val="20"/>
          <w:lang w:val="es-CR"/>
        </w:rPr>
        <w:t>Clinical</w:t>
      </w:r>
      <w:proofErr w:type="spellEnd"/>
      <w:r w:rsidRPr="008B28D1">
        <w:rPr>
          <w:sz w:val="20"/>
          <w:szCs w:val="20"/>
          <w:lang w:val="es-CR"/>
        </w:rPr>
        <w:t xml:space="preserve"> </w:t>
      </w:r>
      <w:proofErr w:type="spellStart"/>
      <w:r w:rsidRPr="00796A45">
        <w:rPr>
          <w:sz w:val="20"/>
          <w:szCs w:val="20"/>
          <w:u w:val="single"/>
          <w:lang w:val="es-CR"/>
        </w:rPr>
        <w:t>characteristics</w:t>
      </w:r>
      <w:proofErr w:type="spellEnd"/>
      <w:r w:rsidRPr="008B28D1">
        <w:rPr>
          <w:sz w:val="20"/>
          <w:szCs w:val="20"/>
          <w:lang w:val="es-CR"/>
        </w:rPr>
        <w:t xml:space="preserve"> </w:t>
      </w:r>
      <w:proofErr w:type="spellStart"/>
      <w:r w:rsidRPr="008B28D1">
        <w:rPr>
          <w:sz w:val="20"/>
          <w:szCs w:val="20"/>
          <w:lang w:val="es-CR"/>
        </w:rPr>
        <w:t>of</w:t>
      </w:r>
      <w:proofErr w:type="spellEnd"/>
      <w:r w:rsidRPr="008B28D1">
        <w:rPr>
          <w:sz w:val="20"/>
          <w:szCs w:val="20"/>
          <w:lang w:val="es-CR"/>
        </w:rPr>
        <w:t xml:space="preserve"> severe COVID-19 </w:t>
      </w:r>
      <w:proofErr w:type="spellStart"/>
      <w:r w:rsidRPr="008B28D1">
        <w:rPr>
          <w:sz w:val="20"/>
          <w:szCs w:val="20"/>
          <w:lang w:val="es-CR"/>
        </w:rPr>
        <w:t>patients</w:t>
      </w:r>
      <w:proofErr w:type="spellEnd"/>
      <w:r w:rsidRPr="008B28D1">
        <w:rPr>
          <w:sz w:val="20"/>
          <w:szCs w:val="20"/>
          <w:lang w:val="es-CR"/>
        </w:rPr>
        <w:t xml:space="preserve"> in </w:t>
      </w:r>
      <w:proofErr w:type="spellStart"/>
      <w:r w:rsidRPr="008B28D1">
        <w:rPr>
          <w:sz w:val="20"/>
          <w:szCs w:val="20"/>
          <w:lang w:val="es-CR"/>
        </w:rPr>
        <w:t>an</w:t>
      </w:r>
      <w:proofErr w:type="spellEnd"/>
      <w:r w:rsidRPr="008B28D1">
        <w:rPr>
          <w:sz w:val="20"/>
          <w:szCs w:val="20"/>
          <w:lang w:val="es-CR"/>
        </w:rPr>
        <w:t xml:space="preserve"> ICU in </w:t>
      </w:r>
      <w:proofErr w:type="spellStart"/>
      <w:r w:rsidRPr="008B28D1">
        <w:rPr>
          <w:sz w:val="20"/>
          <w:szCs w:val="20"/>
          <w:lang w:val="es-CR"/>
        </w:rPr>
        <w:t>Mexico</w:t>
      </w:r>
      <w:proofErr w:type="spellEnd"/>
      <w:r w:rsidRPr="008B28D1">
        <w:rPr>
          <w:sz w:val="20"/>
          <w:szCs w:val="20"/>
          <w:lang w:val="es-CR"/>
        </w:rPr>
        <w:t xml:space="preserve">. </w:t>
      </w:r>
      <w:r w:rsidRPr="00FA4EFF">
        <w:rPr>
          <w:sz w:val="20"/>
          <w:szCs w:val="20"/>
          <w:lang w:val="es-CR"/>
        </w:rPr>
        <w:t xml:space="preserve">SSRN </w:t>
      </w:r>
      <w:proofErr w:type="spellStart"/>
      <w:r w:rsidRPr="00FA4EFF">
        <w:rPr>
          <w:sz w:val="20"/>
          <w:szCs w:val="20"/>
          <w:lang w:val="es-CR"/>
        </w:rPr>
        <w:t>Electron</w:t>
      </w:r>
      <w:proofErr w:type="spellEnd"/>
      <w:r w:rsidRPr="00FA4EFF">
        <w:rPr>
          <w:sz w:val="20"/>
          <w:szCs w:val="20"/>
          <w:lang w:val="es-CR"/>
        </w:rPr>
        <w:t xml:space="preserve"> J [Internet]. </w:t>
      </w:r>
      <w:r w:rsidRPr="00796A45">
        <w:rPr>
          <w:sz w:val="20"/>
          <w:szCs w:val="20"/>
          <w:lang w:val="es-CR"/>
        </w:rPr>
        <w:t>2020</w:t>
      </w:r>
      <w:r w:rsidR="006A6363" w:rsidRPr="00796A45">
        <w:rPr>
          <w:sz w:val="20"/>
          <w:szCs w:val="20"/>
          <w:lang w:val="es-CR"/>
        </w:rPr>
        <w:t xml:space="preserve">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796A45">
        <w:rPr>
          <w:sz w:val="20"/>
          <w:szCs w:val="20"/>
          <w:lang w:val="es-CR"/>
        </w:rPr>
        <w:t xml:space="preserve">. </w:t>
      </w:r>
      <w:proofErr w:type="spellStart"/>
      <w:r w:rsidR="00E4111C">
        <w:rPr>
          <w:sz w:val="20"/>
          <w:szCs w:val="20"/>
          <w:lang w:val="es-CR"/>
        </w:rPr>
        <w:t>doi</w:t>
      </w:r>
      <w:proofErr w:type="spellEnd"/>
      <w:r w:rsidR="00E4111C">
        <w:rPr>
          <w:sz w:val="20"/>
          <w:szCs w:val="20"/>
          <w:lang w:val="es-CR"/>
        </w:rPr>
        <w:t xml:space="preserve">: </w:t>
      </w:r>
      <w:r w:rsidR="00BD1B11" w:rsidRPr="00BD1B11">
        <w:rPr>
          <w:sz w:val="20"/>
          <w:szCs w:val="20"/>
          <w:lang w:val="es-CR"/>
        </w:rPr>
        <w:t>10.2139/ssrn.3605185</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796A45">
        <w:rPr>
          <w:sz w:val="20"/>
          <w:szCs w:val="20"/>
          <w:lang w:val="es-CR"/>
        </w:rPr>
        <w:t xml:space="preserve">: </w:t>
      </w:r>
      <w:hyperlink r:id="rId33" w:history="1">
        <w:r w:rsidRPr="00796A45">
          <w:rPr>
            <w:rStyle w:val="Hipervnculo"/>
            <w:sz w:val="20"/>
            <w:szCs w:val="20"/>
            <w:lang w:val="es-CR"/>
          </w:rPr>
          <w:t>http://dx.doi.org/10.2139/ssrn.3605185</w:t>
        </w:r>
      </w:hyperlink>
      <w:r w:rsidRPr="00796A45">
        <w:rPr>
          <w:sz w:val="20"/>
          <w:szCs w:val="20"/>
          <w:lang w:val="es-CR"/>
        </w:rPr>
        <w:t xml:space="preserve"> </w:t>
      </w:r>
    </w:p>
    <w:p w14:paraId="5B832981" w14:textId="7AAB27B4" w:rsidR="008B28D1" w:rsidRPr="00796A45" w:rsidRDefault="008B28D1" w:rsidP="008B28D1">
      <w:pPr>
        <w:pStyle w:val="Prrafodelista"/>
        <w:numPr>
          <w:ilvl w:val="0"/>
          <w:numId w:val="49"/>
        </w:numPr>
        <w:ind w:left="284" w:hanging="284"/>
        <w:jc w:val="both"/>
        <w:rPr>
          <w:sz w:val="20"/>
          <w:szCs w:val="20"/>
          <w:lang w:val="es-CR"/>
        </w:rPr>
      </w:pPr>
      <w:r w:rsidRPr="008B28D1">
        <w:rPr>
          <w:sz w:val="20"/>
          <w:szCs w:val="20"/>
          <w:lang w:val="es-CR"/>
        </w:rPr>
        <w:lastRenderedPageBreak/>
        <w:t xml:space="preserve">Ortiz-Brizuela E, Villanueva-Reza M, González-Lara MF, Tamez-Torres KM, Román-Montes CM, Díaz-Mejía BA, et al. Características clínicas y epidemiológicas de pacientes diagnosticados con COVID-19 en un centro de atención terciaria en la Ciudad de México: Un estudio de cohorte prospectivo. </w:t>
      </w:r>
      <w:proofErr w:type="spellStart"/>
      <w:r w:rsidRPr="00FA4EFF">
        <w:rPr>
          <w:sz w:val="20"/>
          <w:szCs w:val="20"/>
          <w:lang w:val="es-CR"/>
        </w:rPr>
        <w:t>Rev</w:t>
      </w:r>
      <w:proofErr w:type="spellEnd"/>
      <w:r w:rsidRPr="00FA4EFF">
        <w:rPr>
          <w:sz w:val="20"/>
          <w:szCs w:val="20"/>
          <w:lang w:val="es-CR"/>
        </w:rPr>
        <w:t xml:space="preserve"> </w:t>
      </w:r>
      <w:proofErr w:type="spellStart"/>
      <w:r w:rsidRPr="00FA4EFF">
        <w:rPr>
          <w:sz w:val="20"/>
          <w:szCs w:val="20"/>
          <w:lang w:val="es-CR"/>
        </w:rPr>
        <w:t>Invest</w:t>
      </w:r>
      <w:proofErr w:type="spellEnd"/>
      <w:r w:rsidRPr="00FA4EFF">
        <w:rPr>
          <w:sz w:val="20"/>
          <w:szCs w:val="20"/>
          <w:lang w:val="es-CR"/>
        </w:rPr>
        <w:t xml:space="preserve"> Clin [Internet]. </w:t>
      </w:r>
      <w:r w:rsidRPr="00796A45">
        <w:rPr>
          <w:sz w:val="20"/>
          <w:szCs w:val="20"/>
          <w:lang w:val="es-CR"/>
        </w:rPr>
        <w:t>2020</w:t>
      </w:r>
      <w:r w:rsidR="006A6363" w:rsidRPr="00796A45">
        <w:rPr>
          <w:sz w:val="20"/>
          <w:szCs w:val="20"/>
          <w:lang w:val="es-CR"/>
        </w:rPr>
        <w:t xml:space="preserve">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796A45">
        <w:rPr>
          <w:sz w:val="20"/>
          <w:szCs w:val="20"/>
          <w:lang w:val="es-CR"/>
        </w:rPr>
        <w:t xml:space="preserve">;72(3). </w:t>
      </w:r>
      <w:proofErr w:type="spellStart"/>
      <w:r w:rsidR="00E4111C">
        <w:rPr>
          <w:sz w:val="20"/>
          <w:szCs w:val="20"/>
          <w:lang w:val="es-CR"/>
        </w:rPr>
        <w:t>doi</w:t>
      </w:r>
      <w:proofErr w:type="spellEnd"/>
      <w:r w:rsidR="00E4111C">
        <w:rPr>
          <w:sz w:val="20"/>
          <w:szCs w:val="20"/>
          <w:lang w:val="es-CR"/>
        </w:rPr>
        <w:t xml:space="preserve">: </w:t>
      </w:r>
      <w:r w:rsidR="00BD1B11" w:rsidRPr="00BD1B11">
        <w:rPr>
          <w:sz w:val="20"/>
          <w:szCs w:val="20"/>
          <w:lang w:val="es-CR"/>
        </w:rPr>
        <w:t>10.24875/ric.20000211</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796A45">
        <w:rPr>
          <w:sz w:val="20"/>
          <w:szCs w:val="20"/>
          <w:lang w:val="es-CR"/>
        </w:rPr>
        <w:t xml:space="preserve">: </w:t>
      </w:r>
      <w:hyperlink r:id="rId34" w:history="1">
        <w:r w:rsidRPr="00796A45">
          <w:rPr>
            <w:rStyle w:val="Hipervnculo"/>
            <w:sz w:val="20"/>
            <w:szCs w:val="20"/>
            <w:lang w:val="es-CR"/>
          </w:rPr>
          <w:t>http://dx.doi.org/</w:t>
        </w:r>
        <w:bookmarkStart w:id="2" w:name="_Hlk149486816"/>
        <w:r w:rsidRPr="00796A45">
          <w:rPr>
            <w:rStyle w:val="Hipervnculo"/>
            <w:sz w:val="20"/>
            <w:szCs w:val="20"/>
            <w:lang w:val="es-CR"/>
          </w:rPr>
          <w:t>10.24875/ric.20000211</w:t>
        </w:r>
        <w:bookmarkEnd w:id="2"/>
      </w:hyperlink>
      <w:r w:rsidRPr="00796A45">
        <w:rPr>
          <w:sz w:val="20"/>
          <w:szCs w:val="20"/>
          <w:lang w:val="es-CR"/>
        </w:rPr>
        <w:t xml:space="preserve"> </w:t>
      </w:r>
    </w:p>
    <w:p w14:paraId="51DC2AB4" w14:textId="07345735" w:rsidR="008B28D1" w:rsidRPr="00796A45" w:rsidRDefault="008B28D1" w:rsidP="008B28D1">
      <w:pPr>
        <w:pStyle w:val="Prrafodelista"/>
        <w:numPr>
          <w:ilvl w:val="0"/>
          <w:numId w:val="49"/>
        </w:numPr>
        <w:ind w:left="284" w:hanging="284"/>
        <w:jc w:val="both"/>
        <w:rPr>
          <w:sz w:val="20"/>
          <w:szCs w:val="20"/>
          <w:lang w:val="es-CR"/>
        </w:rPr>
      </w:pPr>
      <w:proofErr w:type="spellStart"/>
      <w:r w:rsidRPr="008B28D1">
        <w:rPr>
          <w:sz w:val="20"/>
          <w:szCs w:val="20"/>
          <w:lang w:val="es-CR"/>
        </w:rPr>
        <w:t>Kammar</w:t>
      </w:r>
      <w:proofErr w:type="spellEnd"/>
      <w:r w:rsidRPr="008B28D1">
        <w:rPr>
          <w:sz w:val="20"/>
          <w:szCs w:val="20"/>
          <w:lang w:val="es-CR"/>
        </w:rPr>
        <w:t xml:space="preserve">-García A, Vidal-Mayo J de J, Vera-Zertuche JM, Lazcano- Hernández M, Vera-López O, Segura-Badilla O, et al. </w:t>
      </w:r>
      <w:r w:rsidRPr="00052764">
        <w:rPr>
          <w:sz w:val="20"/>
          <w:szCs w:val="20"/>
          <w:lang w:val="en-US"/>
        </w:rPr>
        <w:t xml:space="preserve">Impact of comorbidities in Mexican SARS-CoV-2-positive patients: A retrospective analysis in a national cohort. </w:t>
      </w:r>
      <w:proofErr w:type="spellStart"/>
      <w:r w:rsidRPr="00FA4EFF">
        <w:rPr>
          <w:sz w:val="20"/>
          <w:szCs w:val="20"/>
          <w:lang w:val="es-CR"/>
        </w:rPr>
        <w:t>Rev</w:t>
      </w:r>
      <w:proofErr w:type="spellEnd"/>
      <w:r w:rsidRPr="00FA4EFF">
        <w:rPr>
          <w:sz w:val="20"/>
          <w:szCs w:val="20"/>
          <w:lang w:val="es-CR"/>
        </w:rPr>
        <w:t xml:space="preserve"> </w:t>
      </w:r>
      <w:proofErr w:type="spellStart"/>
      <w:r w:rsidRPr="00FA4EFF">
        <w:rPr>
          <w:sz w:val="20"/>
          <w:szCs w:val="20"/>
          <w:lang w:val="es-CR"/>
        </w:rPr>
        <w:t>Invest</w:t>
      </w:r>
      <w:proofErr w:type="spellEnd"/>
      <w:r w:rsidRPr="00FA4EFF">
        <w:rPr>
          <w:sz w:val="20"/>
          <w:szCs w:val="20"/>
          <w:lang w:val="es-CR"/>
        </w:rPr>
        <w:t xml:space="preserve"> Clin [Internet]. </w:t>
      </w:r>
      <w:r w:rsidRPr="00796A45">
        <w:rPr>
          <w:sz w:val="20"/>
          <w:szCs w:val="20"/>
          <w:lang w:val="es-CR"/>
        </w:rPr>
        <w:t>2020</w:t>
      </w:r>
      <w:r w:rsidR="006A6363" w:rsidRPr="00796A45">
        <w:rPr>
          <w:sz w:val="20"/>
          <w:szCs w:val="20"/>
          <w:lang w:val="es-CR"/>
        </w:rPr>
        <w:t xml:space="preserve">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796A45">
        <w:rPr>
          <w:sz w:val="20"/>
          <w:szCs w:val="20"/>
          <w:lang w:val="es-CR"/>
        </w:rPr>
        <w:t xml:space="preserve">;72(3). </w:t>
      </w:r>
      <w:proofErr w:type="spellStart"/>
      <w:r w:rsidR="00E4111C">
        <w:rPr>
          <w:sz w:val="20"/>
          <w:szCs w:val="20"/>
          <w:lang w:val="es-CR"/>
        </w:rPr>
        <w:t>doi</w:t>
      </w:r>
      <w:proofErr w:type="spellEnd"/>
      <w:r w:rsidR="00E4111C">
        <w:rPr>
          <w:sz w:val="20"/>
          <w:szCs w:val="20"/>
          <w:lang w:val="es-CR"/>
        </w:rPr>
        <w:t xml:space="preserve">: </w:t>
      </w:r>
      <w:r w:rsidR="00BD1B11" w:rsidRPr="00BD1B11">
        <w:rPr>
          <w:sz w:val="20"/>
          <w:szCs w:val="20"/>
          <w:lang w:val="es-CR"/>
        </w:rPr>
        <w:t>10.24875/ric.20000207</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796A45">
        <w:rPr>
          <w:sz w:val="20"/>
          <w:szCs w:val="20"/>
          <w:lang w:val="es-CR"/>
        </w:rPr>
        <w:t xml:space="preserve">: </w:t>
      </w:r>
      <w:hyperlink r:id="rId35" w:history="1">
        <w:r w:rsidRPr="00796A45">
          <w:rPr>
            <w:rStyle w:val="Hipervnculo"/>
            <w:sz w:val="20"/>
            <w:szCs w:val="20"/>
            <w:lang w:val="es-CR"/>
          </w:rPr>
          <w:t>http://dx.doi.org/</w:t>
        </w:r>
        <w:bookmarkStart w:id="3" w:name="_Hlk149486826"/>
        <w:r w:rsidRPr="00796A45">
          <w:rPr>
            <w:rStyle w:val="Hipervnculo"/>
            <w:sz w:val="20"/>
            <w:szCs w:val="20"/>
            <w:lang w:val="es-CR"/>
          </w:rPr>
          <w:t>10.24875/ric.20000207</w:t>
        </w:r>
        <w:bookmarkEnd w:id="3"/>
      </w:hyperlink>
      <w:r w:rsidRPr="00796A45">
        <w:rPr>
          <w:sz w:val="20"/>
          <w:szCs w:val="20"/>
          <w:lang w:val="es-CR"/>
        </w:rPr>
        <w:t xml:space="preserve"> </w:t>
      </w:r>
    </w:p>
    <w:p w14:paraId="065F2A5D" w14:textId="1FDD3208" w:rsidR="008B28D1" w:rsidRPr="006A6363" w:rsidRDefault="008B28D1" w:rsidP="008B28D1">
      <w:pPr>
        <w:pStyle w:val="Prrafodelista"/>
        <w:numPr>
          <w:ilvl w:val="0"/>
          <w:numId w:val="49"/>
        </w:numPr>
        <w:ind w:left="284" w:hanging="284"/>
        <w:jc w:val="both"/>
        <w:rPr>
          <w:sz w:val="20"/>
          <w:szCs w:val="20"/>
          <w:lang w:val="es-CR"/>
        </w:rPr>
      </w:pPr>
      <w:r w:rsidRPr="00052764">
        <w:rPr>
          <w:sz w:val="20"/>
          <w:szCs w:val="20"/>
          <w:lang w:val="en-US"/>
        </w:rPr>
        <w:t>Fernández LFP, Martínez II. Lung ultrasound findings in Mexican patients with SARS cov2 infection</w:t>
      </w:r>
      <w:r w:rsidR="006A6363">
        <w:rPr>
          <w:sz w:val="20"/>
          <w:szCs w:val="20"/>
          <w:lang w:val="en-US"/>
        </w:rPr>
        <w:t>.</w:t>
      </w:r>
      <w:r w:rsidR="006A6363" w:rsidRPr="006A6363">
        <w:rPr>
          <w:sz w:val="20"/>
          <w:szCs w:val="20"/>
          <w:lang w:val="en-US"/>
        </w:rPr>
        <w:t xml:space="preserve"> </w:t>
      </w:r>
      <w:proofErr w:type="spellStart"/>
      <w:r w:rsidR="006A6363" w:rsidRPr="00052764">
        <w:rPr>
          <w:sz w:val="20"/>
          <w:szCs w:val="20"/>
          <w:lang w:val="en-US"/>
        </w:rPr>
        <w:t>bioRxiv</w:t>
      </w:r>
      <w:proofErr w:type="spellEnd"/>
      <w:r w:rsidRPr="00052764">
        <w:rPr>
          <w:sz w:val="20"/>
          <w:szCs w:val="20"/>
          <w:lang w:val="en-US"/>
        </w:rPr>
        <w:t xml:space="preserve"> [Internet]. </w:t>
      </w:r>
      <w:r w:rsidRPr="006A6363">
        <w:rPr>
          <w:sz w:val="20"/>
          <w:szCs w:val="20"/>
          <w:lang w:val="es-CR"/>
        </w:rPr>
        <w:t>2020</w:t>
      </w:r>
      <w:r w:rsidR="006A6363" w:rsidRPr="006A6363">
        <w:rPr>
          <w:sz w:val="20"/>
          <w:szCs w:val="20"/>
          <w:lang w:val="es-CR"/>
        </w:rPr>
        <w:t xml:space="preserve">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6A6363">
        <w:rPr>
          <w:sz w:val="20"/>
          <w:szCs w:val="20"/>
          <w:lang w:val="es-CR"/>
        </w:rPr>
        <w:t xml:space="preserve">. </w:t>
      </w:r>
      <w:proofErr w:type="spellStart"/>
      <w:r w:rsidR="00607628">
        <w:rPr>
          <w:sz w:val="20"/>
          <w:szCs w:val="20"/>
          <w:lang w:val="es-CR"/>
        </w:rPr>
        <w:t>doi</w:t>
      </w:r>
      <w:proofErr w:type="spellEnd"/>
      <w:r w:rsidR="00607628">
        <w:rPr>
          <w:sz w:val="20"/>
          <w:szCs w:val="20"/>
          <w:lang w:val="es-CR"/>
        </w:rPr>
        <w:t xml:space="preserve">: </w:t>
      </w:r>
      <w:r w:rsidR="00BD1B11" w:rsidRPr="00BD1B11">
        <w:rPr>
          <w:sz w:val="20"/>
          <w:szCs w:val="20"/>
          <w:lang w:val="es-CR"/>
        </w:rPr>
        <w:t>10.1101/2020.07.16.20146704</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6A6363">
        <w:rPr>
          <w:sz w:val="20"/>
          <w:szCs w:val="20"/>
          <w:lang w:val="es-CR"/>
        </w:rPr>
        <w:t xml:space="preserve">: </w:t>
      </w:r>
      <w:hyperlink r:id="rId36" w:history="1">
        <w:r w:rsidRPr="006A6363">
          <w:rPr>
            <w:rStyle w:val="Hipervnculo"/>
            <w:sz w:val="20"/>
            <w:szCs w:val="20"/>
            <w:lang w:val="es-CR"/>
          </w:rPr>
          <w:t>http://dx.doi.org/10.1101/2020.07.16.20146704</w:t>
        </w:r>
      </w:hyperlink>
      <w:r w:rsidRPr="006A6363">
        <w:rPr>
          <w:sz w:val="20"/>
          <w:szCs w:val="20"/>
          <w:lang w:val="es-CR"/>
        </w:rPr>
        <w:t xml:space="preserve"> </w:t>
      </w:r>
    </w:p>
    <w:p w14:paraId="0BE8E5A4" w14:textId="21CCBD21" w:rsidR="008B28D1" w:rsidRPr="008B28D1" w:rsidRDefault="008B28D1" w:rsidP="008B28D1">
      <w:pPr>
        <w:pStyle w:val="Prrafodelista"/>
        <w:numPr>
          <w:ilvl w:val="0"/>
          <w:numId w:val="49"/>
        </w:numPr>
        <w:ind w:left="284" w:hanging="284"/>
        <w:jc w:val="both"/>
        <w:rPr>
          <w:sz w:val="20"/>
          <w:szCs w:val="20"/>
          <w:lang w:val="es-CR"/>
        </w:rPr>
      </w:pPr>
      <w:r w:rsidRPr="00052764">
        <w:rPr>
          <w:sz w:val="20"/>
          <w:szCs w:val="20"/>
          <w:lang w:val="es-CR"/>
        </w:rPr>
        <w:t xml:space="preserve">Ramírez-Serrano LS, </w:t>
      </w:r>
      <w:proofErr w:type="spellStart"/>
      <w:r w:rsidRPr="00052764">
        <w:rPr>
          <w:sz w:val="20"/>
          <w:szCs w:val="20"/>
          <w:lang w:val="es-CR"/>
        </w:rPr>
        <w:t>Ilescas</w:t>
      </w:r>
      <w:proofErr w:type="spellEnd"/>
      <w:r w:rsidRPr="00052764">
        <w:rPr>
          <w:sz w:val="20"/>
          <w:szCs w:val="20"/>
          <w:lang w:val="es-CR"/>
        </w:rPr>
        <w:t>-Martínez I, Rosas-Vaquero ZS, Ávila-Ruiz S, Villanueva-C</w:t>
      </w:r>
      <w:r w:rsidRPr="008B28D1">
        <w:rPr>
          <w:sz w:val="20"/>
          <w:szCs w:val="20"/>
          <w:lang w:val="es-CR"/>
        </w:rPr>
        <w:t>hávez H, Clemente-Herrera A, et al. Alteraciones hidroelectrolíticas en pacientes con infección por SARS-CoV-2 en el servicio de urgencias de un hospital de segundo nivel de la Ciudad de México. Revista de Educación e Investigación en Emergencias [Internet]. 2022</w:t>
      </w:r>
      <w:r w:rsidR="006A6363">
        <w:rPr>
          <w:sz w:val="20"/>
          <w:szCs w:val="20"/>
          <w:lang w:val="es-CR"/>
        </w:rPr>
        <w:t xml:space="preserve">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8B28D1">
        <w:rPr>
          <w:sz w:val="20"/>
          <w:szCs w:val="20"/>
          <w:lang w:val="es-CR"/>
        </w:rPr>
        <w:t xml:space="preserve">;3(4). </w:t>
      </w:r>
      <w:proofErr w:type="spellStart"/>
      <w:r w:rsidR="00607628">
        <w:rPr>
          <w:sz w:val="20"/>
          <w:szCs w:val="20"/>
          <w:lang w:val="es-CR"/>
        </w:rPr>
        <w:t>doi</w:t>
      </w:r>
      <w:proofErr w:type="spellEnd"/>
      <w:r w:rsidR="00607628">
        <w:rPr>
          <w:sz w:val="20"/>
          <w:szCs w:val="20"/>
          <w:lang w:val="es-CR"/>
        </w:rPr>
        <w:t xml:space="preserve">: </w:t>
      </w:r>
      <w:r w:rsidR="00BD1B11" w:rsidRPr="00BD1B11">
        <w:rPr>
          <w:sz w:val="20"/>
          <w:szCs w:val="20"/>
          <w:lang w:val="es-CR"/>
        </w:rPr>
        <w:t>10.24875/reie.21000053</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8B28D1">
        <w:rPr>
          <w:sz w:val="20"/>
          <w:szCs w:val="20"/>
          <w:lang w:val="es-CR"/>
        </w:rPr>
        <w:t xml:space="preserve">: </w:t>
      </w:r>
      <w:hyperlink r:id="rId37" w:history="1">
        <w:r w:rsidRPr="00925CEE">
          <w:rPr>
            <w:rStyle w:val="Hipervnculo"/>
            <w:sz w:val="20"/>
            <w:szCs w:val="20"/>
            <w:lang w:val="es-CR"/>
          </w:rPr>
          <w:t>http://dx.doi.org/10.24875/reie.21000053</w:t>
        </w:r>
      </w:hyperlink>
      <w:r>
        <w:rPr>
          <w:sz w:val="20"/>
          <w:szCs w:val="20"/>
          <w:lang w:val="es-CR"/>
        </w:rPr>
        <w:t xml:space="preserve"> </w:t>
      </w:r>
    </w:p>
    <w:p w14:paraId="00BE6C5F" w14:textId="36394A5B" w:rsidR="008B28D1" w:rsidRPr="006A6363" w:rsidRDefault="008B28D1" w:rsidP="008B28D1">
      <w:pPr>
        <w:pStyle w:val="Prrafodelista"/>
        <w:numPr>
          <w:ilvl w:val="0"/>
          <w:numId w:val="49"/>
        </w:numPr>
        <w:ind w:left="284" w:hanging="284"/>
        <w:jc w:val="both"/>
        <w:rPr>
          <w:sz w:val="20"/>
          <w:szCs w:val="20"/>
          <w:lang w:val="es-CR"/>
        </w:rPr>
      </w:pPr>
      <w:r w:rsidRPr="00052764">
        <w:rPr>
          <w:sz w:val="20"/>
          <w:szCs w:val="20"/>
          <w:lang w:val="en-US"/>
        </w:rPr>
        <w:t xml:space="preserve">Kuba K, Imai Y, Rao S, Gao H, Guo F, Guan B, et al. A crucial role of angiotensin converting enzyme 2 (ACE2) in SARS coronavirus–induced lung injury. </w:t>
      </w:r>
      <w:proofErr w:type="spellStart"/>
      <w:r w:rsidRPr="006A6363">
        <w:rPr>
          <w:sz w:val="20"/>
          <w:szCs w:val="20"/>
          <w:lang w:val="es-CR"/>
        </w:rPr>
        <w:t>Nat</w:t>
      </w:r>
      <w:proofErr w:type="spellEnd"/>
      <w:r w:rsidRPr="006A6363">
        <w:rPr>
          <w:sz w:val="20"/>
          <w:szCs w:val="20"/>
          <w:lang w:val="es-CR"/>
        </w:rPr>
        <w:t xml:space="preserve"> </w:t>
      </w:r>
      <w:proofErr w:type="spellStart"/>
      <w:r w:rsidRPr="006A6363">
        <w:rPr>
          <w:sz w:val="20"/>
          <w:szCs w:val="20"/>
          <w:lang w:val="es-CR"/>
        </w:rPr>
        <w:t>Med</w:t>
      </w:r>
      <w:proofErr w:type="spellEnd"/>
      <w:r w:rsidRPr="006A6363">
        <w:rPr>
          <w:sz w:val="20"/>
          <w:szCs w:val="20"/>
          <w:lang w:val="es-CR"/>
        </w:rPr>
        <w:t xml:space="preserve"> [Internet]. 2005</w:t>
      </w:r>
      <w:r w:rsidR="006A6363" w:rsidRPr="006A6363">
        <w:rPr>
          <w:sz w:val="20"/>
          <w:szCs w:val="20"/>
          <w:lang w:val="es-CR"/>
        </w:rPr>
        <w:t xml:space="preserve">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6A6363">
        <w:rPr>
          <w:sz w:val="20"/>
          <w:szCs w:val="20"/>
          <w:lang w:val="es-CR"/>
        </w:rPr>
        <w:t xml:space="preserve">;11(8):875–9. </w:t>
      </w:r>
      <w:proofErr w:type="spellStart"/>
      <w:r w:rsidR="00607628">
        <w:rPr>
          <w:sz w:val="20"/>
          <w:szCs w:val="20"/>
          <w:lang w:val="es-CR"/>
        </w:rPr>
        <w:t>doi</w:t>
      </w:r>
      <w:proofErr w:type="spellEnd"/>
      <w:r w:rsidR="00607628">
        <w:rPr>
          <w:sz w:val="20"/>
          <w:szCs w:val="20"/>
          <w:lang w:val="es-CR"/>
        </w:rPr>
        <w:t xml:space="preserve">: </w:t>
      </w:r>
      <w:r w:rsidR="00BD1B11" w:rsidRPr="00BD1B11">
        <w:rPr>
          <w:sz w:val="20"/>
          <w:szCs w:val="20"/>
          <w:lang w:val="es-CR"/>
        </w:rPr>
        <w:t>10.1038/nm1267</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6A6363">
        <w:rPr>
          <w:sz w:val="20"/>
          <w:szCs w:val="20"/>
          <w:lang w:val="es-CR"/>
        </w:rPr>
        <w:t xml:space="preserve">: </w:t>
      </w:r>
      <w:hyperlink r:id="rId38" w:history="1">
        <w:r w:rsidRPr="006A6363">
          <w:rPr>
            <w:rStyle w:val="Hipervnculo"/>
            <w:sz w:val="20"/>
            <w:szCs w:val="20"/>
            <w:lang w:val="es-CR"/>
          </w:rPr>
          <w:t>http://dx.doi.org/10.1038/nm1267</w:t>
        </w:r>
      </w:hyperlink>
      <w:r w:rsidRPr="006A6363">
        <w:rPr>
          <w:sz w:val="20"/>
          <w:szCs w:val="20"/>
          <w:lang w:val="es-CR"/>
        </w:rPr>
        <w:t xml:space="preserve"> </w:t>
      </w:r>
    </w:p>
    <w:p w14:paraId="245016EF" w14:textId="42B69749" w:rsidR="008B28D1" w:rsidRPr="006A6363" w:rsidRDefault="008B28D1" w:rsidP="008B28D1">
      <w:pPr>
        <w:pStyle w:val="Prrafodelista"/>
        <w:numPr>
          <w:ilvl w:val="0"/>
          <w:numId w:val="49"/>
        </w:numPr>
        <w:ind w:left="284" w:hanging="284"/>
        <w:jc w:val="both"/>
        <w:rPr>
          <w:sz w:val="20"/>
          <w:szCs w:val="20"/>
          <w:lang w:val="es-CR"/>
        </w:rPr>
      </w:pPr>
      <w:proofErr w:type="spellStart"/>
      <w:r w:rsidRPr="008B28D1">
        <w:rPr>
          <w:sz w:val="20"/>
          <w:szCs w:val="20"/>
          <w:lang w:val="es-CR"/>
        </w:rPr>
        <w:t>Zaki</w:t>
      </w:r>
      <w:proofErr w:type="spellEnd"/>
      <w:r w:rsidRPr="008B28D1">
        <w:rPr>
          <w:sz w:val="20"/>
          <w:szCs w:val="20"/>
          <w:lang w:val="es-CR"/>
        </w:rPr>
        <w:t xml:space="preserve"> N, </w:t>
      </w:r>
      <w:proofErr w:type="spellStart"/>
      <w:r w:rsidRPr="008B28D1">
        <w:rPr>
          <w:sz w:val="20"/>
          <w:szCs w:val="20"/>
          <w:lang w:val="es-CR"/>
        </w:rPr>
        <w:t>Alashwal</w:t>
      </w:r>
      <w:proofErr w:type="spellEnd"/>
      <w:r w:rsidRPr="008B28D1">
        <w:rPr>
          <w:sz w:val="20"/>
          <w:szCs w:val="20"/>
          <w:lang w:val="es-CR"/>
        </w:rPr>
        <w:t xml:space="preserve"> H, Ibrahim S. Asociación de hipertensión, diabetes, accidente cerebrovascular, cáncer, enfermedad renal y colesterol alto con gravedad y muerte de la enfermedad COVID-19: una revisión sistemática. </w:t>
      </w:r>
      <w:r w:rsidRPr="006A6363">
        <w:rPr>
          <w:sz w:val="20"/>
          <w:szCs w:val="20"/>
          <w:lang w:val="es-CR"/>
        </w:rPr>
        <w:t xml:space="preserve">Diabetes </w:t>
      </w:r>
      <w:proofErr w:type="spellStart"/>
      <w:r w:rsidRPr="006A6363">
        <w:rPr>
          <w:sz w:val="20"/>
          <w:szCs w:val="20"/>
          <w:lang w:val="es-CR"/>
        </w:rPr>
        <w:t>Metab</w:t>
      </w:r>
      <w:proofErr w:type="spellEnd"/>
      <w:r w:rsidRPr="006A6363">
        <w:rPr>
          <w:sz w:val="20"/>
          <w:szCs w:val="20"/>
          <w:lang w:val="es-CR"/>
        </w:rPr>
        <w:t xml:space="preserve"> </w:t>
      </w:r>
      <w:proofErr w:type="spellStart"/>
      <w:r w:rsidRPr="006A6363">
        <w:rPr>
          <w:sz w:val="20"/>
          <w:szCs w:val="20"/>
          <w:lang w:val="es-CR"/>
        </w:rPr>
        <w:t>Syndr</w:t>
      </w:r>
      <w:proofErr w:type="spellEnd"/>
      <w:r w:rsidRPr="006A6363">
        <w:rPr>
          <w:sz w:val="20"/>
          <w:szCs w:val="20"/>
          <w:lang w:val="es-CR"/>
        </w:rPr>
        <w:t xml:space="preserve"> [Internet]. 2020</w:t>
      </w:r>
      <w:r w:rsidR="006A6363" w:rsidRPr="006A6363">
        <w:rPr>
          <w:sz w:val="20"/>
          <w:szCs w:val="20"/>
          <w:lang w:val="es-CR"/>
        </w:rPr>
        <w:t xml:space="preserve">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6A6363">
        <w:rPr>
          <w:sz w:val="20"/>
          <w:szCs w:val="20"/>
          <w:lang w:val="es-CR"/>
        </w:rPr>
        <w:t xml:space="preserve">;14(5):1133–42. </w:t>
      </w:r>
      <w:proofErr w:type="spellStart"/>
      <w:r w:rsidR="00607628">
        <w:rPr>
          <w:sz w:val="20"/>
          <w:szCs w:val="20"/>
          <w:lang w:val="es-CR"/>
        </w:rPr>
        <w:t>doi</w:t>
      </w:r>
      <w:proofErr w:type="spellEnd"/>
      <w:r w:rsidR="00607628">
        <w:rPr>
          <w:sz w:val="20"/>
          <w:szCs w:val="20"/>
          <w:lang w:val="es-CR"/>
        </w:rPr>
        <w:t xml:space="preserve">: </w:t>
      </w:r>
      <w:r w:rsidR="00BD1B11" w:rsidRPr="00BD1B11">
        <w:rPr>
          <w:sz w:val="20"/>
          <w:szCs w:val="20"/>
          <w:lang w:val="es-CR"/>
        </w:rPr>
        <w:t>10.1016/j.dsx.2020.07.005</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6A6363">
        <w:rPr>
          <w:sz w:val="20"/>
          <w:szCs w:val="20"/>
          <w:lang w:val="es-CR"/>
        </w:rPr>
        <w:t xml:space="preserve">: </w:t>
      </w:r>
      <w:hyperlink r:id="rId39" w:history="1">
        <w:r w:rsidRPr="006A6363">
          <w:rPr>
            <w:rStyle w:val="Hipervnculo"/>
            <w:sz w:val="20"/>
            <w:szCs w:val="20"/>
            <w:lang w:val="es-CR"/>
          </w:rPr>
          <w:t>http://dx.doi.org/</w:t>
        </w:r>
        <w:bookmarkStart w:id="4" w:name="_Hlk149486876"/>
        <w:r w:rsidRPr="006A6363">
          <w:rPr>
            <w:rStyle w:val="Hipervnculo"/>
            <w:sz w:val="20"/>
            <w:szCs w:val="20"/>
            <w:lang w:val="es-CR"/>
          </w:rPr>
          <w:t>10.1016/j.dsx.2020.07.005</w:t>
        </w:r>
        <w:bookmarkEnd w:id="4"/>
      </w:hyperlink>
      <w:r w:rsidRPr="006A6363">
        <w:rPr>
          <w:sz w:val="20"/>
          <w:szCs w:val="20"/>
          <w:lang w:val="es-CR"/>
        </w:rPr>
        <w:t xml:space="preserve"> </w:t>
      </w:r>
    </w:p>
    <w:p w14:paraId="2F8C9EED" w14:textId="0E1D50E8" w:rsidR="008B28D1" w:rsidRPr="006A6363" w:rsidRDefault="008B28D1" w:rsidP="008B28D1">
      <w:pPr>
        <w:pStyle w:val="Prrafodelista"/>
        <w:numPr>
          <w:ilvl w:val="0"/>
          <w:numId w:val="49"/>
        </w:numPr>
        <w:ind w:left="284" w:hanging="284"/>
        <w:jc w:val="both"/>
        <w:rPr>
          <w:sz w:val="20"/>
          <w:szCs w:val="20"/>
          <w:lang w:val="es-CR"/>
        </w:rPr>
      </w:pPr>
      <w:r w:rsidRPr="00052764">
        <w:rPr>
          <w:sz w:val="20"/>
          <w:szCs w:val="20"/>
          <w:lang w:val="en-US"/>
        </w:rPr>
        <w:t xml:space="preserve">Wang X, Fang X, Cai Z, Wu X, Gao X, Min J, et al. Comorbid chronic </w:t>
      </w:r>
      <w:proofErr w:type="gramStart"/>
      <w:r w:rsidRPr="00052764">
        <w:rPr>
          <w:sz w:val="20"/>
          <w:szCs w:val="20"/>
          <w:lang w:val="en-US"/>
        </w:rPr>
        <w:t>diseases</w:t>
      </w:r>
      <w:proofErr w:type="gramEnd"/>
      <w:r w:rsidRPr="00052764">
        <w:rPr>
          <w:sz w:val="20"/>
          <w:szCs w:val="20"/>
          <w:lang w:val="en-US"/>
        </w:rPr>
        <w:t xml:space="preserve"> and acute organ injuries are strongly correlated with disease severity and mortality among COVID-19 patients: A systemic review and meta-analysis. </w:t>
      </w:r>
      <w:proofErr w:type="spellStart"/>
      <w:r w:rsidRPr="006A6363">
        <w:rPr>
          <w:sz w:val="20"/>
          <w:szCs w:val="20"/>
          <w:lang w:val="es-CR"/>
        </w:rPr>
        <w:t>Research</w:t>
      </w:r>
      <w:proofErr w:type="spellEnd"/>
      <w:r w:rsidRPr="006A6363">
        <w:rPr>
          <w:sz w:val="20"/>
          <w:szCs w:val="20"/>
          <w:lang w:val="es-CR"/>
        </w:rPr>
        <w:t xml:space="preserve"> (</w:t>
      </w:r>
      <w:proofErr w:type="spellStart"/>
      <w:r w:rsidRPr="006A6363">
        <w:rPr>
          <w:sz w:val="20"/>
          <w:szCs w:val="20"/>
          <w:lang w:val="es-CR"/>
        </w:rPr>
        <w:t>Wash</w:t>
      </w:r>
      <w:proofErr w:type="spellEnd"/>
      <w:r w:rsidRPr="006A6363">
        <w:rPr>
          <w:sz w:val="20"/>
          <w:szCs w:val="20"/>
          <w:lang w:val="es-CR"/>
        </w:rPr>
        <w:t xml:space="preserve"> DC) [Internet]. 2020</w:t>
      </w:r>
      <w:r w:rsidR="006A6363" w:rsidRPr="006A6363">
        <w:rPr>
          <w:sz w:val="20"/>
          <w:szCs w:val="20"/>
          <w:lang w:val="es-CR"/>
        </w:rPr>
        <w:t xml:space="preserve">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6A6363">
        <w:rPr>
          <w:sz w:val="20"/>
          <w:szCs w:val="20"/>
          <w:lang w:val="es-CR"/>
        </w:rPr>
        <w:t xml:space="preserve">;2020. </w:t>
      </w:r>
      <w:proofErr w:type="spellStart"/>
      <w:r w:rsidR="00607628">
        <w:rPr>
          <w:sz w:val="20"/>
          <w:szCs w:val="20"/>
          <w:lang w:val="es-CR"/>
        </w:rPr>
        <w:t>doi</w:t>
      </w:r>
      <w:proofErr w:type="spellEnd"/>
      <w:r w:rsidR="00607628">
        <w:rPr>
          <w:sz w:val="20"/>
          <w:szCs w:val="20"/>
          <w:lang w:val="es-CR"/>
        </w:rPr>
        <w:t xml:space="preserve">: </w:t>
      </w:r>
      <w:r w:rsidR="00BD1B11" w:rsidRPr="00BD1B11">
        <w:rPr>
          <w:sz w:val="20"/>
          <w:szCs w:val="20"/>
          <w:lang w:val="es-CR"/>
        </w:rPr>
        <w:t>10.34133/2020/2402961</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6A6363">
        <w:rPr>
          <w:sz w:val="20"/>
          <w:szCs w:val="20"/>
          <w:lang w:val="es-CR"/>
        </w:rPr>
        <w:t xml:space="preserve">: </w:t>
      </w:r>
      <w:hyperlink r:id="rId40" w:history="1">
        <w:r w:rsidRPr="006A6363">
          <w:rPr>
            <w:rStyle w:val="Hipervnculo"/>
            <w:sz w:val="20"/>
            <w:szCs w:val="20"/>
            <w:lang w:val="es-CR"/>
          </w:rPr>
          <w:t>http://dx.doi.org/10.34133/2020/2402961</w:t>
        </w:r>
      </w:hyperlink>
      <w:r w:rsidRPr="006A6363">
        <w:rPr>
          <w:sz w:val="20"/>
          <w:szCs w:val="20"/>
          <w:lang w:val="es-CR"/>
        </w:rPr>
        <w:t xml:space="preserve"> </w:t>
      </w:r>
    </w:p>
    <w:p w14:paraId="40B9AFBE" w14:textId="1893F820" w:rsidR="008B28D1" w:rsidRPr="008B28D1" w:rsidRDefault="008B28D1" w:rsidP="008B28D1">
      <w:pPr>
        <w:pStyle w:val="Prrafodelista"/>
        <w:numPr>
          <w:ilvl w:val="0"/>
          <w:numId w:val="49"/>
        </w:numPr>
        <w:ind w:left="284" w:hanging="284"/>
        <w:jc w:val="both"/>
        <w:rPr>
          <w:sz w:val="20"/>
          <w:szCs w:val="20"/>
          <w:lang w:val="es-CR"/>
        </w:rPr>
      </w:pPr>
      <w:proofErr w:type="spellStart"/>
      <w:r w:rsidRPr="008B28D1">
        <w:rPr>
          <w:sz w:val="20"/>
          <w:szCs w:val="20"/>
          <w:lang w:val="es-CR"/>
        </w:rPr>
        <w:t>Ilescas</w:t>
      </w:r>
      <w:proofErr w:type="spellEnd"/>
      <w:r w:rsidRPr="008B28D1">
        <w:rPr>
          <w:sz w:val="20"/>
          <w:szCs w:val="20"/>
          <w:lang w:val="es-CR"/>
        </w:rPr>
        <w:t xml:space="preserve">-Martínez I, Portillo-Delgado EM, Ramírez-Serrano LS, Clemente-Herrera A, Mejía-Monroy M. Descripción Clínica y Epidemiológica de la Asociación de Hipertensión Arterial en Pacientes con COVID-19. Revista Salud y Administración [Internet]. 2021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8B28D1">
        <w:rPr>
          <w:sz w:val="20"/>
          <w:szCs w:val="20"/>
          <w:lang w:val="es-CR"/>
        </w:rPr>
        <w:t xml:space="preserve">;8(22):43–55. </w:t>
      </w:r>
      <w:r w:rsidR="00796A45" w:rsidRPr="008B28D1">
        <w:rPr>
          <w:sz w:val="20"/>
          <w:szCs w:val="20"/>
          <w:lang w:val="es-CR"/>
        </w:rPr>
        <w:t>D</w:t>
      </w:r>
      <w:r w:rsidR="00796A45">
        <w:rPr>
          <w:sz w:val="20"/>
          <w:szCs w:val="20"/>
          <w:lang w:val="es-CR"/>
        </w:rPr>
        <w:t>isponible en</w:t>
      </w:r>
      <w:r w:rsidRPr="008B28D1">
        <w:rPr>
          <w:sz w:val="20"/>
          <w:szCs w:val="20"/>
          <w:lang w:val="es-CR"/>
        </w:rPr>
        <w:t xml:space="preserve">: </w:t>
      </w:r>
      <w:hyperlink r:id="rId41" w:history="1">
        <w:r w:rsidRPr="00925CEE">
          <w:rPr>
            <w:rStyle w:val="Hipervnculo"/>
            <w:sz w:val="20"/>
            <w:szCs w:val="20"/>
            <w:lang w:val="es-CR"/>
          </w:rPr>
          <w:t>https://revista.unsis.edu.mx/index.php/saludyadmon/article/view/207</w:t>
        </w:r>
      </w:hyperlink>
      <w:r>
        <w:rPr>
          <w:sz w:val="20"/>
          <w:szCs w:val="20"/>
          <w:lang w:val="es-CR"/>
        </w:rPr>
        <w:t xml:space="preserve"> </w:t>
      </w:r>
    </w:p>
    <w:p w14:paraId="2E97F2B7" w14:textId="5E95EED4" w:rsidR="008B28D1" w:rsidRPr="006A6363" w:rsidRDefault="008B28D1" w:rsidP="008B28D1">
      <w:pPr>
        <w:pStyle w:val="Prrafodelista"/>
        <w:numPr>
          <w:ilvl w:val="0"/>
          <w:numId w:val="49"/>
        </w:numPr>
        <w:ind w:left="284" w:hanging="284"/>
        <w:jc w:val="both"/>
        <w:rPr>
          <w:sz w:val="20"/>
          <w:szCs w:val="20"/>
          <w:lang w:val="es-CR"/>
        </w:rPr>
      </w:pPr>
      <w:r w:rsidRPr="00052764">
        <w:rPr>
          <w:sz w:val="20"/>
          <w:szCs w:val="20"/>
          <w:lang w:val="en-US"/>
        </w:rPr>
        <w:t>Al-Sabah S, Al-Haddad M, Al-</w:t>
      </w:r>
      <w:proofErr w:type="spellStart"/>
      <w:r w:rsidRPr="00052764">
        <w:rPr>
          <w:sz w:val="20"/>
          <w:szCs w:val="20"/>
          <w:lang w:val="en-US"/>
        </w:rPr>
        <w:t>Youha</w:t>
      </w:r>
      <w:proofErr w:type="spellEnd"/>
      <w:r w:rsidRPr="00052764">
        <w:rPr>
          <w:sz w:val="20"/>
          <w:szCs w:val="20"/>
          <w:lang w:val="en-US"/>
        </w:rPr>
        <w:t xml:space="preserve"> S, Jamal M, </w:t>
      </w:r>
      <w:proofErr w:type="spellStart"/>
      <w:r w:rsidRPr="00052764">
        <w:rPr>
          <w:sz w:val="20"/>
          <w:szCs w:val="20"/>
          <w:lang w:val="en-US"/>
        </w:rPr>
        <w:t>Almazeedi</w:t>
      </w:r>
      <w:proofErr w:type="spellEnd"/>
      <w:r w:rsidRPr="00052764">
        <w:rPr>
          <w:sz w:val="20"/>
          <w:szCs w:val="20"/>
          <w:lang w:val="en-US"/>
        </w:rPr>
        <w:t xml:space="preserve"> S. COVID-19: Impact of obesity and diabetes in disease severity [Internet].</w:t>
      </w:r>
      <w:r w:rsidR="006A6363" w:rsidRPr="006A6363">
        <w:rPr>
          <w:sz w:val="20"/>
          <w:szCs w:val="20"/>
          <w:lang w:val="en-US"/>
        </w:rPr>
        <w:t xml:space="preserve"> </w:t>
      </w:r>
      <w:proofErr w:type="spellStart"/>
      <w:r w:rsidR="006A6363" w:rsidRPr="00052764">
        <w:rPr>
          <w:sz w:val="20"/>
          <w:szCs w:val="20"/>
          <w:lang w:val="en-US"/>
        </w:rPr>
        <w:t>bioRxiv</w:t>
      </w:r>
      <w:proofErr w:type="spellEnd"/>
      <w:r w:rsidRPr="00052764">
        <w:rPr>
          <w:sz w:val="20"/>
          <w:szCs w:val="20"/>
          <w:lang w:val="en-US"/>
        </w:rPr>
        <w:t xml:space="preserve">. </w:t>
      </w:r>
      <w:r w:rsidRPr="006A6363">
        <w:rPr>
          <w:sz w:val="20"/>
          <w:szCs w:val="20"/>
          <w:lang w:val="es-CR"/>
        </w:rPr>
        <w:t>2020</w:t>
      </w:r>
      <w:r w:rsidR="006A6363" w:rsidRPr="006A6363">
        <w:rPr>
          <w:sz w:val="20"/>
          <w:szCs w:val="20"/>
          <w:lang w:val="es-CR"/>
        </w:rPr>
        <w:t xml:space="preserve">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6A6363">
        <w:rPr>
          <w:sz w:val="20"/>
          <w:szCs w:val="20"/>
          <w:lang w:val="es-CR"/>
        </w:rPr>
        <w:t xml:space="preserve">. </w:t>
      </w:r>
      <w:proofErr w:type="spellStart"/>
      <w:r w:rsidR="00607628">
        <w:rPr>
          <w:sz w:val="20"/>
          <w:szCs w:val="20"/>
          <w:lang w:val="es-CR"/>
        </w:rPr>
        <w:t>doi</w:t>
      </w:r>
      <w:proofErr w:type="spellEnd"/>
      <w:r w:rsidR="00607628">
        <w:rPr>
          <w:sz w:val="20"/>
          <w:szCs w:val="20"/>
          <w:lang w:val="es-CR"/>
        </w:rPr>
        <w:t xml:space="preserve">: </w:t>
      </w:r>
      <w:r w:rsidR="00BD1B11" w:rsidRPr="00BD1B11">
        <w:rPr>
          <w:sz w:val="20"/>
          <w:szCs w:val="20"/>
          <w:lang w:val="es-CR"/>
        </w:rPr>
        <w:t>10.1101/2020.05.24.20111724</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6A6363">
        <w:rPr>
          <w:sz w:val="20"/>
          <w:szCs w:val="20"/>
          <w:lang w:val="es-CR"/>
        </w:rPr>
        <w:t xml:space="preserve">: </w:t>
      </w:r>
      <w:hyperlink r:id="rId42" w:history="1">
        <w:r w:rsidRPr="006A6363">
          <w:rPr>
            <w:rStyle w:val="Hipervnculo"/>
            <w:sz w:val="20"/>
            <w:szCs w:val="20"/>
            <w:lang w:val="es-CR"/>
          </w:rPr>
          <w:t>http://dx.doi.org/</w:t>
        </w:r>
        <w:bookmarkStart w:id="5" w:name="_Hlk149486897"/>
        <w:r w:rsidRPr="006A6363">
          <w:rPr>
            <w:rStyle w:val="Hipervnculo"/>
            <w:sz w:val="20"/>
            <w:szCs w:val="20"/>
            <w:lang w:val="es-CR"/>
          </w:rPr>
          <w:t>10.1101/2020.05.24.20111724</w:t>
        </w:r>
        <w:bookmarkEnd w:id="5"/>
      </w:hyperlink>
      <w:r w:rsidRPr="006A6363">
        <w:rPr>
          <w:sz w:val="20"/>
          <w:szCs w:val="20"/>
          <w:lang w:val="es-CR"/>
        </w:rPr>
        <w:t xml:space="preserve"> </w:t>
      </w:r>
    </w:p>
    <w:p w14:paraId="16471AD1" w14:textId="56B8F354" w:rsidR="008B28D1" w:rsidRPr="00796A45" w:rsidRDefault="008B28D1" w:rsidP="008B28D1">
      <w:pPr>
        <w:pStyle w:val="Prrafodelista"/>
        <w:numPr>
          <w:ilvl w:val="0"/>
          <w:numId w:val="49"/>
        </w:numPr>
        <w:ind w:left="284" w:hanging="284"/>
        <w:jc w:val="both"/>
        <w:rPr>
          <w:sz w:val="20"/>
          <w:szCs w:val="20"/>
          <w:lang w:val="es-CR"/>
        </w:rPr>
      </w:pPr>
      <w:r w:rsidRPr="00052764">
        <w:rPr>
          <w:sz w:val="20"/>
          <w:szCs w:val="20"/>
          <w:lang w:val="en-US"/>
        </w:rPr>
        <w:t xml:space="preserve">Pal R, Bhansali A. COVID-19, diabetes mellitus and ACE2: The conundrum. </w:t>
      </w:r>
      <w:r w:rsidRPr="00FA4EFF">
        <w:rPr>
          <w:sz w:val="20"/>
          <w:szCs w:val="20"/>
          <w:lang w:val="es-CR"/>
        </w:rPr>
        <w:t xml:space="preserve">Diabetes Res Clin </w:t>
      </w:r>
      <w:proofErr w:type="spellStart"/>
      <w:r w:rsidRPr="00FA4EFF">
        <w:rPr>
          <w:sz w:val="20"/>
          <w:szCs w:val="20"/>
          <w:lang w:val="es-CR"/>
        </w:rPr>
        <w:t>Pract</w:t>
      </w:r>
      <w:proofErr w:type="spellEnd"/>
      <w:r w:rsidRPr="00FA4EFF">
        <w:rPr>
          <w:sz w:val="20"/>
          <w:szCs w:val="20"/>
          <w:lang w:val="es-CR"/>
        </w:rPr>
        <w:t xml:space="preserve"> [Internet]. </w:t>
      </w:r>
      <w:r w:rsidRPr="00796A45">
        <w:rPr>
          <w:sz w:val="20"/>
          <w:szCs w:val="20"/>
          <w:lang w:val="es-CR"/>
        </w:rPr>
        <w:t>2020</w:t>
      </w:r>
      <w:r w:rsidR="006A6363" w:rsidRPr="00796A45">
        <w:rPr>
          <w:sz w:val="20"/>
          <w:szCs w:val="20"/>
          <w:lang w:val="es-CR"/>
        </w:rPr>
        <w:t xml:space="preserve">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796A45">
        <w:rPr>
          <w:sz w:val="20"/>
          <w:szCs w:val="20"/>
          <w:lang w:val="es-CR"/>
        </w:rPr>
        <w:t xml:space="preserve">;162(108132):108132. </w:t>
      </w:r>
      <w:proofErr w:type="spellStart"/>
      <w:r w:rsidR="00607628">
        <w:rPr>
          <w:sz w:val="20"/>
          <w:szCs w:val="20"/>
          <w:lang w:val="es-CR"/>
        </w:rPr>
        <w:t>doi</w:t>
      </w:r>
      <w:proofErr w:type="spellEnd"/>
      <w:r w:rsidR="00607628">
        <w:rPr>
          <w:sz w:val="20"/>
          <w:szCs w:val="20"/>
          <w:lang w:val="es-CR"/>
        </w:rPr>
        <w:t xml:space="preserve">: </w:t>
      </w:r>
      <w:r w:rsidR="00BD1B11" w:rsidRPr="00BD1B11">
        <w:rPr>
          <w:sz w:val="20"/>
          <w:szCs w:val="20"/>
          <w:lang w:val="es-CR"/>
        </w:rPr>
        <w:t>10.1016/j.diabres.2020.108132</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796A45">
        <w:rPr>
          <w:sz w:val="20"/>
          <w:szCs w:val="20"/>
          <w:lang w:val="es-CR"/>
        </w:rPr>
        <w:t xml:space="preserve">: </w:t>
      </w:r>
      <w:hyperlink r:id="rId43" w:history="1">
        <w:r w:rsidRPr="00796A45">
          <w:rPr>
            <w:rStyle w:val="Hipervnculo"/>
            <w:sz w:val="20"/>
            <w:szCs w:val="20"/>
            <w:lang w:val="es-CR"/>
          </w:rPr>
          <w:t>http://dx.doi.org/</w:t>
        </w:r>
        <w:bookmarkStart w:id="6" w:name="_Hlk149486912"/>
        <w:r w:rsidRPr="00796A45">
          <w:rPr>
            <w:rStyle w:val="Hipervnculo"/>
            <w:sz w:val="20"/>
            <w:szCs w:val="20"/>
            <w:lang w:val="es-CR"/>
          </w:rPr>
          <w:t>10.1016/j.diabres.2020.108132</w:t>
        </w:r>
        <w:bookmarkEnd w:id="6"/>
      </w:hyperlink>
      <w:r w:rsidRPr="00796A45">
        <w:rPr>
          <w:sz w:val="20"/>
          <w:szCs w:val="20"/>
          <w:lang w:val="es-CR"/>
        </w:rPr>
        <w:t xml:space="preserve"> </w:t>
      </w:r>
    </w:p>
    <w:p w14:paraId="40DC9094" w14:textId="0453FF62" w:rsidR="008B28D1" w:rsidRPr="006A6363" w:rsidRDefault="008B28D1" w:rsidP="008B28D1">
      <w:pPr>
        <w:pStyle w:val="Prrafodelista"/>
        <w:numPr>
          <w:ilvl w:val="0"/>
          <w:numId w:val="49"/>
        </w:numPr>
        <w:ind w:left="284" w:hanging="284"/>
        <w:jc w:val="both"/>
        <w:rPr>
          <w:sz w:val="20"/>
          <w:szCs w:val="20"/>
          <w:lang w:val="es-CR"/>
        </w:rPr>
      </w:pPr>
      <w:r w:rsidRPr="00052764">
        <w:rPr>
          <w:sz w:val="20"/>
          <w:szCs w:val="20"/>
          <w:lang w:val="en-US"/>
        </w:rPr>
        <w:t xml:space="preserve">Yan Y, Yang Y, Wang F, Ren H, Zhang S, Shi X, et al. Clinical </w:t>
      </w:r>
      <w:proofErr w:type="gramStart"/>
      <w:r w:rsidRPr="00052764">
        <w:rPr>
          <w:sz w:val="20"/>
          <w:szCs w:val="20"/>
          <w:lang w:val="en-US"/>
        </w:rPr>
        <w:t>characteristics</w:t>
      </w:r>
      <w:proofErr w:type="gramEnd"/>
      <w:r w:rsidRPr="00052764">
        <w:rPr>
          <w:sz w:val="20"/>
          <w:szCs w:val="20"/>
          <w:lang w:val="en-US"/>
        </w:rPr>
        <w:t xml:space="preserve"> and outcomes of patients with severe covid-19 with diabetes. </w:t>
      </w:r>
      <w:r w:rsidRPr="00FA4EFF">
        <w:rPr>
          <w:sz w:val="20"/>
          <w:szCs w:val="20"/>
          <w:lang w:val="es-CR"/>
        </w:rPr>
        <w:t xml:space="preserve">BMJ Open Diabetes Res Care [Internet]. </w:t>
      </w:r>
      <w:r w:rsidRPr="006A6363">
        <w:rPr>
          <w:sz w:val="20"/>
          <w:szCs w:val="20"/>
          <w:lang w:val="es-CR"/>
        </w:rPr>
        <w:t>2020</w:t>
      </w:r>
      <w:r w:rsidR="006A6363" w:rsidRPr="006A6363">
        <w:rPr>
          <w:sz w:val="20"/>
          <w:szCs w:val="20"/>
          <w:lang w:val="es-CR"/>
        </w:rPr>
        <w:t xml:space="preserve"> </w:t>
      </w:r>
      <w:r w:rsidR="006A6363" w:rsidRPr="008B28D1">
        <w:rPr>
          <w:sz w:val="20"/>
          <w:szCs w:val="20"/>
          <w:lang w:val="es-CR"/>
        </w:rPr>
        <w:lastRenderedPageBreak/>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6A6363">
        <w:rPr>
          <w:sz w:val="20"/>
          <w:szCs w:val="20"/>
          <w:lang w:val="es-CR"/>
        </w:rPr>
        <w:t>;8(1</w:t>
      </w:r>
      <w:proofErr w:type="gramStart"/>
      <w:r w:rsidRPr="006A6363">
        <w:rPr>
          <w:sz w:val="20"/>
          <w:szCs w:val="20"/>
          <w:lang w:val="es-CR"/>
        </w:rPr>
        <w:t>):e</w:t>
      </w:r>
      <w:proofErr w:type="gramEnd"/>
      <w:r w:rsidRPr="006A6363">
        <w:rPr>
          <w:sz w:val="20"/>
          <w:szCs w:val="20"/>
          <w:lang w:val="es-CR"/>
        </w:rPr>
        <w:t xml:space="preserve">001343. </w:t>
      </w:r>
      <w:proofErr w:type="spellStart"/>
      <w:r w:rsidR="00607628">
        <w:rPr>
          <w:sz w:val="20"/>
          <w:szCs w:val="20"/>
          <w:lang w:val="es-CR"/>
        </w:rPr>
        <w:t>doi</w:t>
      </w:r>
      <w:proofErr w:type="spellEnd"/>
      <w:r w:rsidR="00607628">
        <w:rPr>
          <w:sz w:val="20"/>
          <w:szCs w:val="20"/>
          <w:lang w:val="es-CR"/>
        </w:rPr>
        <w:t xml:space="preserve">: </w:t>
      </w:r>
      <w:r w:rsidR="00BD1B11" w:rsidRPr="00BD1B11">
        <w:rPr>
          <w:sz w:val="20"/>
          <w:szCs w:val="20"/>
          <w:lang w:val="es-CR"/>
        </w:rPr>
        <w:t>10.1136/bmjdrc-2020-001343</w:t>
      </w:r>
      <w:r w:rsidR="00BD1B11">
        <w:rPr>
          <w:sz w:val="20"/>
          <w:szCs w:val="20"/>
          <w:lang w:val="es-CR"/>
        </w:rPr>
        <w:t xml:space="preserve">. </w:t>
      </w:r>
      <w:r w:rsidR="00796A45" w:rsidRPr="008B28D1">
        <w:rPr>
          <w:sz w:val="20"/>
          <w:szCs w:val="20"/>
          <w:lang w:val="es-CR"/>
        </w:rPr>
        <w:t>D</w:t>
      </w:r>
      <w:r w:rsidR="00796A45">
        <w:rPr>
          <w:sz w:val="20"/>
          <w:szCs w:val="20"/>
          <w:lang w:val="es-CR"/>
        </w:rPr>
        <w:t>isponible en</w:t>
      </w:r>
      <w:r w:rsidRPr="006A6363">
        <w:rPr>
          <w:sz w:val="20"/>
          <w:szCs w:val="20"/>
          <w:lang w:val="es-CR"/>
        </w:rPr>
        <w:t xml:space="preserve">: </w:t>
      </w:r>
      <w:hyperlink r:id="rId44" w:history="1">
        <w:r w:rsidRPr="006A6363">
          <w:rPr>
            <w:rStyle w:val="Hipervnculo"/>
            <w:sz w:val="20"/>
            <w:szCs w:val="20"/>
            <w:lang w:val="es-CR"/>
          </w:rPr>
          <w:t>http://dx.doi.org/10.1136/bmjdrc-2020-001343</w:t>
        </w:r>
      </w:hyperlink>
      <w:r w:rsidRPr="006A6363">
        <w:rPr>
          <w:sz w:val="20"/>
          <w:szCs w:val="20"/>
          <w:lang w:val="es-CR"/>
        </w:rPr>
        <w:t xml:space="preserve"> </w:t>
      </w:r>
    </w:p>
    <w:p w14:paraId="7BDAD137" w14:textId="77777777" w:rsidR="00984BE2" w:rsidRDefault="008B28D1" w:rsidP="00984BE2">
      <w:pPr>
        <w:pStyle w:val="Prrafodelista"/>
        <w:numPr>
          <w:ilvl w:val="0"/>
          <w:numId w:val="49"/>
        </w:numPr>
        <w:ind w:left="284" w:hanging="284"/>
        <w:jc w:val="both"/>
        <w:rPr>
          <w:sz w:val="20"/>
          <w:szCs w:val="20"/>
          <w:lang w:val="es-CR"/>
        </w:rPr>
      </w:pPr>
      <w:r w:rsidRPr="00052764">
        <w:rPr>
          <w:sz w:val="20"/>
          <w:szCs w:val="20"/>
          <w:lang w:val="es-CR"/>
        </w:rPr>
        <w:t>Secretaría de Salud. Información refere</w:t>
      </w:r>
      <w:r w:rsidRPr="008B28D1">
        <w:rPr>
          <w:sz w:val="20"/>
          <w:szCs w:val="20"/>
          <w:lang w:val="es-CR"/>
        </w:rPr>
        <w:t xml:space="preserve">nte a casos COVID-19 en México [Internet]. Datos abiertos COVID 19 México. </w:t>
      </w:r>
      <w:r w:rsidR="006A6363" w:rsidRPr="008B28D1">
        <w:rPr>
          <w:sz w:val="20"/>
          <w:szCs w:val="20"/>
          <w:lang w:val="es-CR"/>
        </w:rPr>
        <w:t>[citado el 0</w:t>
      </w:r>
      <w:r w:rsidR="006A6363">
        <w:rPr>
          <w:sz w:val="20"/>
          <w:szCs w:val="20"/>
          <w:lang w:val="es-CR"/>
        </w:rPr>
        <w:t>1</w:t>
      </w:r>
      <w:r w:rsidR="006A6363" w:rsidRPr="008B28D1">
        <w:rPr>
          <w:sz w:val="20"/>
          <w:szCs w:val="20"/>
          <w:lang w:val="es-CR"/>
        </w:rPr>
        <w:t xml:space="preserve"> de </w:t>
      </w:r>
      <w:r w:rsidR="006A6363">
        <w:rPr>
          <w:sz w:val="20"/>
          <w:szCs w:val="20"/>
          <w:lang w:val="es-CR"/>
        </w:rPr>
        <w:t>mayo</w:t>
      </w:r>
      <w:r w:rsidR="006A6363" w:rsidRPr="008B28D1">
        <w:rPr>
          <w:sz w:val="20"/>
          <w:szCs w:val="20"/>
          <w:lang w:val="es-CR"/>
        </w:rPr>
        <w:t xml:space="preserve"> de 2023]</w:t>
      </w:r>
      <w:r w:rsidRPr="008B28D1">
        <w:rPr>
          <w:sz w:val="20"/>
          <w:szCs w:val="20"/>
          <w:lang w:val="es-CR"/>
        </w:rPr>
        <w:t xml:space="preserve">. </w:t>
      </w:r>
      <w:r w:rsidR="00796A45" w:rsidRPr="008B28D1">
        <w:rPr>
          <w:sz w:val="20"/>
          <w:szCs w:val="20"/>
          <w:lang w:val="es-CR"/>
        </w:rPr>
        <w:t>D</w:t>
      </w:r>
      <w:r w:rsidR="00796A45">
        <w:rPr>
          <w:sz w:val="20"/>
          <w:szCs w:val="20"/>
          <w:lang w:val="es-CR"/>
        </w:rPr>
        <w:t>isponible en</w:t>
      </w:r>
      <w:r w:rsidRPr="008B28D1">
        <w:rPr>
          <w:sz w:val="20"/>
          <w:szCs w:val="20"/>
          <w:lang w:val="es-CR"/>
        </w:rPr>
        <w:t xml:space="preserve">: </w:t>
      </w:r>
      <w:hyperlink r:id="rId45" w:history="1">
        <w:r w:rsidRPr="00925CEE">
          <w:rPr>
            <w:rStyle w:val="Hipervnculo"/>
            <w:sz w:val="20"/>
            <w:szCs w:val="20"/>
            <w:lang w:val="es-CR"/>
          </w:rPr>
          <w:t>https://datos.gob.mx/busca/dataset/informacion-referente-a-casos-covid-19-en-mexico</w:t>
        </w:r>
      </w:hyperlink>
    </w:p>
    <w:p w14:paraId="06999E1E" w14:textId="165CA962" w:rsidR="00B56E82" w:rsidRPr="00984BE2" w:rsidRDefault="008B28D1" w:rsidP="00984BE2">
      <w:pPr>
        <w:pStyle w:val="Prrafodelista"/>
        <w:numPr>
          <w:ilvl w:val="0"/>
          <w:numId w:val="49"/>
        </w:numPr>
        <w:ind w:left="284" w:hanging="284"/>
        <w:jc w:val="both"/>
        <w:rPr>
          <w:sz w:val="20"/>
          <w:szCs w:val="20"/>
          <w:lang w:val="es-CR"/>
        </w:rPr>
      </w:pPr>
      <w:r w:rsidRPr="00984BE2">
        <w:rPr>
          <w:sz w:val="20"/>
          <w:szCs w:val="20"/>
          <w:lang w:val="es-CR"/>
        </w:rPr>
        <w:t xml:space="preserve">Statista </w:t>
      </w:r>
      <w:proofErr w:type="spellStart"/>
      <w:r w:rsidRPr="00984BE2">
        <w:rPr>
          <w:sz w:val="20"/>
          <w:szCs w:val="20"/>
          <w:lang w:val="es-CR"/>
        </w:rPr>
        <w:t>Research</w:t>
      </w:r>
      <w:proofErr w:type="spellEnd"/>
      <w:r w:rsidRPr="00984BE2">
        <w:rPr>
          <w:sz w:val="20"/>
          <w:szCs w:val="20"/>
          <w:lang w:val="es-CR"/>
        </w:rPr>
        <w:t xml:space="preserve"> </w:t>
      </w:r>
      <w:proofErr w:type="spellStart"/>
      <w:r w:rsidRPr="00984BE2">
        <w:rPr>
          <w:sz w:val="20"/>
          <w:szCs w:val="20"/>
          <w:lang w:val="es-CR"/>
        </w:rPr>
        <w:t>Department</w:t>
      </w:r>
      <w:proofErr w:type="spellEnd"/>
      <w:r w:rsidRPr="00984BE2">
        <w:rPr>
          <w:sz w:val="20"/>
          <w:szCs w:val="20"/>
          <w:lang w:val="es-CR"/>
        </w:rPr>
        <w:t xml:space="preserve">. COVID-19: dosis confirmadas de vacunas en México 2022 [Internet]. Statista. </w:t>
      </w:r>
      <w:r w:rsidR="001A42D5" w:rsidRPr="00984BE2">
        <w:rPr>
          <w:sz w:val="20"/>
          <w:szCs w:val="20"/>
          <w:lang w:val="es-CR"/>
        </w:rPr>
        <w:t>[citado el 01 de mayo de 2023]</w:t>
      </w:r>
      <w:r w:rsidRPr="00984BE2">
        <w:rPr>
          <w:sz w:val="20"/>
          <w:szCs w:val="20"/>
          <w:lang w:val="es-CR"/>
        </w:rPr>
        <w:t xml:space="preserve">. </w:t>
      </w:r>
      <w:r w:rsidR="00796A45" w:rsidRPr="00984BE2">
        <w:rPr>
          <w:sz w:val="20"/>
          <w:szCs w:val="20"/>
          <w:lang w:val="es-CR"/>
        </w:rPr>
        <w:t>Disponible en</w:t>
      </w:r>
      <w:r w:rsidRPr="00984BE2">
        <w:rPr>
          <w:sz w:val="20"/>
          <w:szCs w:val="20"/>
          <w:lang w:val="es-CR"/>
        </w:rPr>
        <w:t xml:space="preserve">: </w:t>
      </w:r>
      <w:hyperlink r:id="rId46" w:history="1">
        <w:r w:rsidRPr="00984BE2">
          <w:rPr>
            <w:rStyle w:val="Hipervnculo"/>
            <w:sz w:val="20"/>
            <w:szCs w:val="20"/>
            <w:lang w:val="es-CR"/>
          </w:rPr>
          <w:t>https://es.statista.com/estadisticas/1207394/dosis-confirmadas-vacunas-covid-mexico/</w:t>
        </w:r>
      </w:hyperlink>
      <w:r w:rsidRPr="00984BE2">
        <w:rPr>
          <w:sz w:val="20"/>
          <w:szCs w:val="20"/>
          <w:lang w:val="es-CR"/>
        </w:rPr>
        <w:t xml:space="preserve"> </w:t>
      </w:r>
    </w:p>
    <w:sectPr w:rsidR="00B56E82" w:rsidRPr="00984BE2" w:rsidSect="00D726D5">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B7F5" w14:textId="77777777" w:rsidR="002F4FE6" w:rsidRDefault="002F4FE6" w:rsidP="00FB44B1">
      <w:pPr>
        <w:spacing w:line="240" w:lineRule="auto"/>
      </w:pPr>
      <w:r>
        <w:separator/>
      </w:r>
    </w:p>
  </w:endnote>
  <w:endnote w:type="continuationSeparator" w:id="0">
    <w:p w14:paraId="647FE9A7" w14:textId="77777777" w:rsidR="002F4FE6" w:rsidRDefault="002F4FE6"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307"/>
      <w:gridCol w:w="6828"/>
      <w:gridCol w:w="1198"/>
    </w:tblGrid>
    <w:tr w:rsidR="00B010EC" w:rsidRPr="000A2BE8" w14:paraId="0DC6D396" w14:textId="77777777" w:rsidTr="009E4A48">
      <w:tc>
        <w:tcPr>
          <w:tcW w:w="700" w:type="pct"/>
          <w:shd w:val="clear" w:color="auto" w:fill="FFFFFF" w:themeFill="background1"/>
          <w:vAlign w:val="center"/>
        </w:tcPr>
        <w:p w14:paraId="31992B3B" w14:textId="31EA1865" w:rsidR="00B010EC" w:rsidRPr="003270F2" w:rsidRDefault="00095607" w:rsidP="00FB2E51">
          <w:pPr>
            <w:pStyle w:val="Piedepgina"/>
            <w:rPr>
              <w:rFonts w:ascii="Arial Black" w:hAnsi="Arial Black"/>
              <w:b/>
              <w:bCs/>
              <w:color w:val="002060"/>
            </w:rPr>
          </w:pPr>
          <w:r>
            <w:rPr>
              <w:rFonts w:ascii="Arial Black" w:hAnsi="Arial Black"/>
              <w:b/>
              <w:bCs/>
              <w:color w:val="002060"/>
            </w:rPr>
            <w:t>e1115</w:t>
          </w:r>
        </w:p>
      </w:tc>
      <w:tc>
        <w:tcPr>
          <w:tcW w:w="3658" w:type="pct"/>
          <w:vAlign w:val="center"/>
        </w:tcPr>
        <w:p w14:paraId="5C1C3B11" w14:textId="16E70BE8" w:rsidR="00B010EC" w:rsidRPr="005860BC" w:rsidRDefault="00B010EC"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Pr>
              <w:color w:val="002060"/>
              <w:sz w:val="16"/>
              <w:szCs w:val="16"/>
              <w:lang w:val="es-CR"/>
            </w:rPr>
            <w:t xml:space="preserve"> Vol. 8</w:t>
          </w:r>
          <w:r w:rsidRPr="005860BC">
            <w:rPr>
              <w:color w:val="002060"/>
              <w:sz w:val="16"/>
              <w:szCs w:val="16"/>
              <w:lang w:val="es-CR"/>
            </w:rPr>
            <w:t>(</w:t>
          </w:r>
          <w:r w:rsidR="001B624D">
            <w:rPr>
              <w:color w:val="002060"/>
              <w:sz w:val="16"/>
              <w:szCs w:val="16"/>
              <w:lang w:val="es-CR"/>
            </w:rPr>
            <w:t>11</w:t>
          </w:r>
          <w:r w:rsidRPr="005860BC">
            <w:rPr>
              <w:color w:val="002060"/>
              <w:sz w:val="16"/>
              <w:szCs w:val="16"/>
              <w:lang w:val="es-CR"/>
            </w:rPr>
            <w:t xml:space="preserve">), </w:t>
          </w:r>
          <w:r w:rsidR="001B624D">
            <w:rPr>
              <w:color w:val="002060"/>
              <w:sz w:val="16"/>
              <w:szCs w:val="16"/>
              <w:lang w:val="es-CR"/>
            </w:rPr>
            <w:t>noviembre</w:t>
          </w:r>
          <w:r w:rsidRPr="005860BC">
            <w:rPr>
              <w:color w:val="002060"/>
              <w:sz w:val="16"/>
              <w:szCs w:val="16"/>
              <w:lang w:val="es-CR"/>
            </w:rPr>
            <w:t xml:space="preserve"> 202</w:t>
          </w:r>
          <w:r>
            <w:rPr>
              <w:color w:val="002060"/>
              <w:sz w:val="16"/>
              <w:szCs w:val="16"/>
              <w:lang w:val="es-CR"/>
            </w:rPr>
            <w:t>3</w:t>
          </w:r>
          <w:r w:rsidRPr="005860BC">
            <w:rPr>
              <w:color w:val="002060"/>
              <w:sz w:val="16"/>
              <w:szCs w:val="16"/>
              <w:lang w:val="es-CR"/>
            </w:rPr>
            <w:t xml:space="preserve"> - ISSN: 2215-4523 / e-ISSN: 2215-5279</w:t>
          </w:r>
        </w:p>
        <w:p w14:paraId="4212E3B3" w14:textId="77777777" w:rsidR="00B010EC" w:rsidRPr="00AE5EA0" w:rsidRDefault="00B73A85" w:rsidP="00A83266">
          <w:pPr>
            <w:pStyle w:val="Piedepgina"/>
            <w:spacing w:line="276" w:lineRule="auto"/>
            <w:jc w:val="center"/>
            <w:rPr>
              <w:sz w:val="16"/>
              <w:szCs w:val="16"/>
              <w:lang w:val="es-CR"/>
            </w:rPr>
          </w:pPr>
          <w:hyperlink r:id="rId1" w:history="1">
            <w:r w:rsidR="00B010EC" w:rsidRPr="00AE5EA0">
              <w:rPr>
                <w:rStyle w:val="Hipervnculo"/>
                <w:i/>
                <w:sz w:val="16"/>
                <w:szCs w:val="16"/>
                <w:lang w:val="es-CR"/>
              </w:rPr>
              <w:t>http://revistamedicasinergia.com</w:t>
            </w:r>
          </w:hyperlink>
          <w:r w:rsidR="00B010EC" w:rsidRPr="00AE5EA0">
            <w:rPr>
              <w:color w:val="002060"/>
              <w:sz w:val="16"/>
              <w:szCs w:val="16"/>
              <w:lang w:val="es-CR"/>
            </w:rPr>
            <w:t xml:space="preserve"> </w:t>
          </w:r>
        </w:p>
      </w:tc>
      <w:tc>
        <w:tcPr>
          <w:tcW w:w="642" w:type="pct"/>
        </w:tcPr>
        <w:p w14:paraId="69B632C6" w14:textId="77777777" w:rsidR="00B010EC" w:rsidRPr="00AE5EA0" w:rsidRDefault="00B010EC"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6"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B010EC" w:rsidRPr="00D0398E" w:rsidRDefault="00B010EC"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CellMar>
        <w:top w:w="72" w:type="dxa"/>
        <w:left w:w="115" w:type="dxa"/>
        <w:bottom w:w="72" w:type="dxa"/>
        <w:right w:w="115" w:type="dxa"/>
      </w:tblCellMar>
      <w:tblLook w:val="04A0" w:firstRow="1" w:lastRow="0" w:firstColumn="1" w:lastColumn="0" w:noHBand="0" w:noVBand="1"/>
    </w:tblPr>
    <w:tblGrid>
      <w:gridCol w:w="1330"/>
      <w:gridCol w:w="6950"/>
      <w:gridCol w:w="1220"/>
    </w:tblGrid>
    <w:tr w:rsidR="00B010EC" w:rsidRPr="007B5563" w14:paraId="613288F4" w14:textId="77777777" w:rsidTr="00EA46DB">
      <w:trPr>
        <w:trHeight w:val="122"/>
      </w:trPr>
      <w:tc>
        <w:tcPr>
          <w:tcW w:w="700" w:type="pct"/>
          <w:shd w:val="clear" w:color="auto" w:fill="FFFFFF" w:themeFill="background1"/>
          <w:vAlign w:val="center"/>
        </w:tcPr>
        <w:p w14:paraId="75E166F2" w14:textId="2FAF539E" w:rsidR="00B010EC" w:rsidRPr="003270F2" w:rsidRDefault="00095607" w:rsidP="00FB2E51">
          <w:pPr>
            <w:pStyle w:val="Piedepgina"/>
            <w:rPr>
              <w:rFonts w:ascii="Arial Black" w:hAnsi="Arial Black"/>
              <w:b/>
              <w:bCs/>
              <w:color w:val="002060"/>
            </w:rPr>
          </w:pPr>
          <w:r>
            <w:rPr>
              <w:rFonts w:ascii="Arial Black" w:hAnsi="Arial Black"/>
              <w:b/>
              <w:bCs/>
              <w:color w:val="002060"/>
            </w:rPr>
            <w:t>e1115</w:t>
          </w:r>
        </w:p>
      </w:tc>
      <w:tc>
        <w:tcPr>
          <w:tcW w:w="3658" w:type="pct"/>
          <w:vAlign w:val="center"/>
        </w:tcPr>
        <w:p w14:paraId="633751BD" w14:textId="75C3C017" w:rsidR="00B010EC" w:rsidRPr="005860BC" w:rsidRDefault="00B010EC"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Pr>
              <w:color w:val="002060"/>
              <w:sz w:val="16"/>
              <w:szCs w:val="16"/>
              <w:lang w:val="es-CR"/>
            </w:rPr>
            <w:t>8</w:t>
          </w:r>
          <w:r w:rsidRPr="005860BC">
            <w:rPr>
              <w:color w:val="002060"/>
              <w:sz w:val="16"/>
              <w:szCs w:val="16"/>
              <w:lang w:val="es-CR"/>
            </w:rPr>
            <w:t>(</w:t>
          </w:r>
          <w:r>
            <w:rPr>
              <w:color w:val="002060"/>
              <w:sz w:val="16"/>
              <w:szCs w:val="16"/>
              <w:lang w:val="es-CR"/>
            </w:rPr>
            <w:t>1</w:t>
          </w:r>
          <w:r w:rsidR="001B624D">
            <w:rPr>
              <w:color w:val="002060"/>
              <w:sz w:val="16"/>
              <w:szCs w:val="16"/>
              <w:lang w:val="es-CR"/>
            </w:rPr>
            <w:t>1</w:t>
          </w:r>
          <w:r w:rsidRPr="005860BC">
            <w:rPr>
              <w:color w:val="002060"/>
              <w:sz w:val="16"/>
              <w:szCs w:val="16"/>
              <w:lang w:val="es-CR"/>
            </w:rPr>
            <w:t xml:space="preserve">), </w:t>
          </w:r>
          <w:r w:rsidR="001B624D">
            <w:rPr>
              <w:color w:val="002060"/>
              <w:sz w:val="16"/>
              <w:szCs w:val="16"/>
              <w:lang w:val="es-CR"/>
            </w:rPr>
            <w:t>noviembre</w:t>
          </w:r>
          <w:r>
            <w:rPr>
              <w:color w:val="002060"/>
              <w:sz w:val="16"/>
              <w:szCs w:val="16"/>
              <w:lang w:val="es-CR"/>
            </w:rPr>
            <w:t xml:space="preserve"> 2023</w:t>
          </w:r>
          <w:r w:rsidRPr="005860BC">
            <w:rPr>
              <w:color w:val="002060"/>
              <w:sz w:val="16"/>
              <w:szCs w:val="16"/>
              <w:lang w:val="es-CR"/>
            </w:rPr>
            <w:t xml:space="preserve"> - ISSN: 2215-4523 / e-ISSN: 2215-5279</w:t>
          </w:r>
        </w:p>
        <w:p w14:paraId="5C47BB5E" w14:textId="77777777" w:rsidR="00B010EC" w:rsidRPr="00AE5EA0" w:rsidRDefault="00B73A85" w:rsidP="00EA46DB">
          <w:pPr>
            <w:pStyle w:val="Piedepgina"/>
            <w:spacing w:line="276" w:lineRule="auto"/>
            <w:jc w:val="center"/>
            <w:rPr>
              <w:sz w:val="16"/>
              <w:szCs w:val="16"/>
              <w:lang w:val="es-CR"/>
            </w:rPr>
          </w:pPr>
          <w:hyperlink r:id="rId1" w:history="1">
            <w:r w:rsidR="00B010EC" w:rsidRPr="00AE5EA0">
              <w:rPr>
                <w:rStyle w:val="Hipervnculo"/>
                <w:i/>
                <w:sz w:val="16"/>
                <w:szCs w:val="16"/>
                <w:lang w:val="es-CR"/>
              </w:rPr>
              <w:t>http://revistamedicasinergia.com</w:t>
            </w:r>
          </w:hyperlink>
          <w:r w:rsidR="00B010EC" w:rsidRPr="00AE5EA0">
            <w:rPr>
              <w:color w:val="002060"/>
              <w:sz w:val="16"/>
              <w:szCs w:val="16"/>
              <w:lang w:val="es-CR"/>
            </w:rPr>
            <w:t xml:space="preserve"> </w:t>
          </w:r>
        </w:p>
      </w:tc>
      <w:tc>
        <w:tcPr>
          <w:tcW w:w="642" w:type="pct"/>
        </w:tcPr>
        <w:p w14:paraId="46EBDAB7" w14:textId="77777777" w:rsidR="00B010EC" w:rsidRPr="00AE5EA0" w:rsidRDefault="00B010EC"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7" name="Imagen 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B010EC" w:rsidRPr="00EA46DB" w:rsidRDefault="00B010EC">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F586" w14:textId="77777777" w:rsidR="002F4FE6" w:rsidRDefault="002F4FE6" w:rsidP="00FB44B1">
      <w:pPr>
        <w:spacing w:line="240" w:lineRule="auto"/>
      </w:pPr>
      <w:r>
        <w:separator/>
      </w:r>
    </w:p>
  </w:footnote>
  <w:footnote w:type="continuationSeparator" w:id="0">
    <w:p w14:paraId="249C17D5" w14:textId="77777777" w:rsidR="002F4FE6" w:rsidRDefault="002F4FE6"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308B" w14:textId="2B7CB8EB" w:rsidR="008B28D1" w:rsidRDefault="00D252EA" w:rsidP="00EC4DC8">
    <w:pPr>
      <w:jc w:val="right"/>
      <w:rPr>
        <w:color w:val="002060"/>
        <w:sz w:val="15"/>
        <w:szCs w:val="15"/>
        <w:lang w:val="es-CR"/>
      </w:rPr>
    </w:pPr>
    <w:r w:rsidRPr="00D252EA">
      <w:rPr>
        <w:color w:val="002060"/>
        <w:sz w:val="15"/>
        <w:szCs w:val="15"/>
        <w:lang w:val="es-CR"/>
      </w:rPr>
      <w:t>Asociación entre la aplicación de la vacuna y la presencia o ausencia de la enfermedad COVID-</w:t>
    </w:r>
    <w:r w:rsidR="008B28D1" w:rsidRPr="008B28D1">
      <w:rPr>
        <w:color w:val="002060"/>
        <w:sz w:val="15"/>
        <w:szCs w:val="15"/>
        <w:lang w:val="es-CR"/>
      </w:rPr>
      <w:t>19</w:t>
    </w:r>
  </w:p>
  <w:p w14:paraId="57E1C9D9" w14:textId="05A2644B" w:rsidR="00B010EC" w:rsidRPr="004D03FC" w:rsidRDefault="00D252EA" w:rsidP="00EC4DC8">
    <w:pPr>
      <w:jc w:val="right"/>
      <w:rPr>
        <w:bCs/>
        <w:color w:val="002060"/>
        <w:sz w:val="15"/>
        <w:szCs w:val="15"/>
        <w:lang w:val="es-CR"/>
      </w:rPr>
    </w:pPr>
    <w:r>
      <w:rPr>
        <w:bCs/>
        <w:color w:val="002060"/>
        <w:sz w:val="15"/>
        <w:szCs w:val="15"/>
        <w:lang w:val="es-CR"/>
      </w:rPr>
      <w:t xml:space="preserve">Dra. </w:t>
    </w:r>
    <w:r w:rsidR="00A5501E">
      <w:rPr>
        <w:bCs/>
        <w:color w:val="002060"/>
        <w:sz w:val="15"/>
        <w:szCs w:val="15"/>
        <w:lang w:val="es-CR"/>
      </w:rPr>
      <w:t>N</w:t>
    </w:r>
    <w:r w:rsidR="008B28D1">
      <w:rPr>
        <w:bCs/>
        <w:color w:val="002060"/>
        <w:sz w:val="15"/>
        <w:szCs w:val="15"/>
        <w:lang w:val="es-CR"/>
      </w:rPr>
      <w:t>ohely López Aguilar</w:t>
    </w:r>
    <w:r w:rsidR="00DA0555">
      <w:rPr>
        <w:bCs/>
        <w:color w:val="002060"/>
        <w:sz w:val="15"/>
        <w:szCs w:val="15"/>
        <w:lang w:val="es-CR"/>
      </w:rPr>
      <w:t xml:space="preserve">, </w:t>
    </w:r>
    <w:r w:rsidR="00DA0555" w:rsidRPr="00DA0555">
      <w:rPr>
        <w:bCs/>
        <w:color w:val="002060"/>
        <w:sz w:val="15"/>
        <w:szCs w:val="15"/>
        <w:lang w:val="es-CR"/>
      </w:rPr>
      <w:t>Dr. Rubén Ríos Morale</w:t>
    </w:r>
    <w:r w:rsidR="00DA0555">
      <w:rPr>
        <w:bCs/>
        <w:color w:val="002060"/>
        <w:sz w:val="15"/>
        <w:szCs w:val="15"/>
        <w:lang w:val="es-CR"/>
      </w:rPr>
      <w:t>s</w:t>
    </w:r>
  </w:p>
  <w:p w14:paraId="3736CAFC" w14:textId="07821CE9" w:rsidR="00B010EC" w:rsidRPr="008206FF" w:rsidRDefault="00B010EC" w:rsidP="000A7FFE">
    <w:pPr>
      <w:pStyle w:val="Encabezado"/>
      <w:jc w:val="right"/>
      <w:rPr>
        <w:sz w:val="18"/>
        <w:szCs w:val="18"/>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visibility:visible" o:bullet="t">
        <v:imagedata r:id="rId1" o:title=""/>
      </v:shape>
    </w:pict>
  </w:numPicBullet>
  <w:abstractNum w:abstractNumId="0" w15:restartNumberingAfterBreak="0">
    <w:nsid w:val="00B66541"/>
    <w:multiLevelType w:val="hybridMultilevel"/>
    <w:tmpl w:val="50727FB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CBD616B"/>
    <w:multiLevelType w:val="multilevel"/>
    <w:tmpl w:val="3968B14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516FBD"/>
    <w:multiLevelType w:val="hybridMultilevel"/>
    <w:tmpl w:val="7186A99E"/>
    <w:lvl w:ilvl="0" w:tplc="B3CAEDC0">
      <w:start w:val="1"/>
      <w:numFmt w:val="decimal"/>
      <w:lvlText w:val="%1."/>
      <w:lvlJc w:val="left"/>
      <w:pPr>
        <w:ind w:left="0" w:hanging="360"/>
      </w:pPr>
      <w:rPr>
        <w:rFonts w:hint="default"/>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2D4109D"/>
    <w:multiLevelType w:val="multilevel"/>
    <w:tmpl w:val="6082F5A8"/>
    <w:lvl w:ilvl="0">
      <w:start w:val="1"/>
      <w:numFmt w:val="decimal"/>
      <w:lvlText w:val="%1."/>
      <w:lvlJc w:val="left"/>
      <w:pPr>
        <w:tabs>
          <w:tab w:val="num" w:pos="720"/>
        </w:tabs>
        <w:ind w:left="720" w:hanging="360"/>
      </w:pPr>
      <w:rPr>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ED76BD"/>
    <w:multiLevelType w:val="hybridMultilevel"/>
    <w:tmpl w:val="1356105E"/>
    <w:lvl w:ilvl="0" w:tplc="140A0001">
      <w:start w:val="1"/>
      <w:numFmt w:val="bullet"/>
      <w:lvlText w:val=""/>
      <w:lvlJc w:val="left"/>
      <w:pPr>
        <w:ind w:left="785" w:hanging="360"/>
      </w:pPr>
      <w:rPr>
        <w:rFonts w:ascii="Symbol" w:hAnsi="Symbol" w:hint="default"/>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abstractNum w:abstractNumId="6" w15:restartNumberingAfterBreak="0">
    <w:nsid w:val="1D737475"/>
    <w:multiLevelType w:val="multilevel"/>
    <w:tmpl w:val="DE540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AF6297"/>
    <w:multiLevelType w:val="hybridMultilevel"/>
    <w:tmpl w:val="F04E9616"/>
    <w:lvl w:ilvl="0" w:tplc="140A0001">
      <w:start w:val="1"/>
      <w:numFmt w:val="bullet"/>
      <w:lvlText w:val=""/>
      <w:lvlJc w:val="left"/>
      <w:pPr>
        <w:ind w:left="785" w:hanging="360"/>
      </w:pPr>
      <w:rPr>
        <w:rFonts w:ascii="Symbol" w:hAnsi="Symbol" w:hint="default"/>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abstractNum w:abstractNumId="8" w15:restartNumberingAfterBreak="0">
    <w:nsid w:val="1EF145EF"/>
    <w:multiLevelType w:val="hybridMultilevel"/>
    <w:tmpl w:val="313C0F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95020D"/>
    <w:multiLevelType w:val="multilevel"/>
    <w:tmpl w:val="D1E6F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25550C"/>
    <w:multiLevelType w:val="hybridMultilevel"/>
    <w:tmpl w:val="1F0461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90E2B37"/>
    <w:multiLevelType w:val="hybridMultilevel"/>
    <w:tmpl w:val="F20A2C80"/>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C0920F2"/>
    <w:multiLevelType w:val="hybridMultilevel"/>
    <w:tmpl w:val="4AC862CA"/>
    <w:lvl w:ilvl="0" w:tplc="140A000F">
      <w:start w:val="1"/>
      <w:numFmt w:val="decimal"/>
      <w:lvlText w:val="%1."/>
      <w:lvlJc w:val="left"/>
      <w:pPr>
        <w:ind w:left="152" w:hanging="360"/>
      </w:pPr>
    </w:lvl>
    <w:lvl w:ilvl="1" w:tplc="140A0019" w:tentative="1">
      <w:start w:val="1"/>
      <w:numFmt w:val="lowerLetter"/>
      <w:lvlText w:val="%2."/>
      <w:lvlJc w:val="left"/>
      <w:pPr>
        <w:ind w:left="872" w:hanging="360"/>
      </w:pPr>
    </w:lvl>
    <w:lvl w:ilvl="2" w:tplc="140A001B" w:tentative="1">
      <w:start w:val="1"/>
      <w:numFmt w:val="lowerRoman"/>
      <w:lvlText w:val="%3."/>
      <w:lvlJc w:val="right"/>
      <w:pPr>
        <w:ind w:left="1592" w:hanging="180"/>
      </w:pPr>
    </w:lvl>
    <w:lvl w:ilvl="3" w:tplc="140A000F" w:tentative="1">
      <w:start w:val="1"/>
      <w:numFmt w:val="decimal"/>
      <w:lvlText w:val="%4."/>
      <w:lvlJc w:val="left"/>
      <w:pPr>
        <w:ind w:left="2312" w:hanging="360"/>
      </w:pPr>
    </w:lvl>
    <w:lvl w:ilvl="4" w:tplc="140A0019" w:tentative="1">
      <w:start w:val="1"/>
      <w:numFmt w:val="lowerLetter"/>
      <w:lvlText w:val="%5."/>
      <w:lvlJc w:val="left"/>
      <w:pPr>
        <w:ind w:left="3032" w:hanging="360"/>
      </w:pPr>
    </w:lvl>
    <w:lvl w:ilvl="5" w:tplc="140A001B" w:tentative="1">
      <w:start w:val="1"/>
      <w:numFmt w:val="lowerRoman"/>
      <w:lvlText w:val="%6."/>
      <w:lvlJc w:val="right"/>
      <w:pPr>
        <w:ind w:left="3752" w:hanging="180"/>
      </w:pPr>
    </w:lvl>
    <w:lvl w:ilvl="6" w:tplc="140A000F" w:tentative="1">
      <w:start w:val="1"/>
      <w:numFmt w:val="decimal"/>
      <w:lvlText w:val="%7."/>
      <w:lvlJc w:val="left"/>
      <w:pPr>
        <w:ind w:left="4472" w:hanging="360"/>
      </w:pPr>
    </w:lvl>
    <w:lvl w:ilvl="7" w:tplc="140A0019" w:tentative="1">
      <w:start w:val="1"/>
      <w:numFmt w:val="lowerLetter"/>
      <w:lvlText w:val="%8."/>
      <w:lvlJc w:val="left"/>
      <w:pPr>
        <w:ind w:left="5192" w:hanging="360"/>
      </w:pPr>
    </w:lvl>
    <w:lvl w:ilvl="8" w:tplc="140A001B" w:tentative="1">
      <w:start w:val="1"/>
      <w:numFmt w:val="lowerRoman"/>
      <w:lvlText w:val="%9."/>
      <w:lvlJc w:val="right"/>
      <w:pPr>
        <w:ind w:left="5912" w:hanging="180"/>
      </w:pPr>
    </w:lvl>
  </w:abstractNum>
  <w:abstractNum w:abstractNumId="13" w15:restartNumberingAfterBreak="0">
    <w:nsid w:val="2C904993"/>
    <w:multiLevelType w:val="hybridMultilevel"/>
    <w:tmpl w:val="4344E516"/>
    <w:lvl w:ilvl="0" w:tplc="FF3EB24E">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863040"/>
    <w:multiLevelType w:val="hybridMultilevel"/>
    <w:tmpl w:val="787EED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FEE078F"/>
    <w:multiLevelType w:val="hybridMultilevel"/>
    <w:tmpl w:val="46580046"/>
    <w:lvl w:ilvl="0" w:tplc="D6DE8FEE">
      <w:start w:val="1"/>
      <w:numFmt w:val="decimal"/>
      <w:lvlText w:val="%1."/>
      <w:lvlJc w:val="left"/>
      <w:pPr>
        <w:ind w:left="720" w:hanging="360"/>
      </w:pPr>
      <w:rPr>
        <w:color w:val="auto"/>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19A1E8B"/>
    <w:multiLevelType w:val="hybridMultilevel"/>
    <w:tmpl w:val="C1D234FA"/>
    <w:lvl w:ilvl="0" w:tplc="ED08D27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34B771E"/>
    <w:multiLevelType w:val="multilevel"/>
    <w:tmpl w:val="3D402A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BD6E95"/>
    <w:multiLevelType w:val="hybridMultilevel"/>
    <w:tmpl w:val="4D2274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38ED28B7"/>
    <w:multiLevelType w:val="hybridMultilevel"/>
    <w:tmpl w:val="76400B02"/>
    <w:lvl w:ilvl="0" w:tplc="1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343CA"/>
    <w:multiLevelType w:val="multilevel"/>
    <w:tmpl w:val="B16CF82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3FAC78E5"/>
    <w:multiLevelType w:val="hybridMultilevel"/>
    <w:tmpl w:val="9ACC0D14"/>
    <w:lvl w:ilvl="0" w:tplc="140A000F">
      <w:start w:val="1"/>
      <w:numFmt w:val="decimal"/>
      <w:lvlText w:val="%1."/>
      <w:lvlJc w:val="left"/>
      <w:pPr>
        <w:ind w:left="3763" w:hanging="360"/>
      </w:pPr>
    </w:lvl>
    <w:lvl w:ilvl="1" w:tplc="140A0019" w:tentative="1">
      <w:start w:val="1"/>
      <w:numFmt w:val="lowerLetter"/>
      <w:lvlText w:val="%2."/>
      <w:lvlJc w:val="left"/>
      <w:pPr>
        <w:ind w:left="4483" w:hanging="360"/>
      </w:pPr>
    </w:lvl>
    <w:lvl w:ilvl="2" w:tplc="140A001B" w:tentative="1">
      <w:start w:val="1"/>
      <w:numFmt w:val="lowerRoman"/>
      <w:lvlText w:val="%3."/>
      <w:lvlJc w:val="right"/>
      <w:pPr>
        <w:ind w:left="5203" w:hanging="180"/>
      </w:pPr>
    </w:lvl>
    <w:lvl w:ilvl="3" w:tplc="140A000F" w:tentative="1">
      <w:start w:val="1"/>
      <w:numFmt w:val="decimal"/>
      <w:lvlText w:val="%4."/>
      <w:lvlJc w:val="left"/>
      <w:pPr>
        <w:ind w:left="5923" w:hanging="360"/>
      </w:pPr>
    </w:lvl>
    <w:lvl w:ilvl="4" w:tplc="140A0019" w:tentative="1">
      <w:start w:val="1"/>
      <w:numFmt w:val="lowerLetter"/>
      <w:lvlText w:val="%5."/>
      <w:lvlJc w:val="left"/>
      <w:pPr>
        <w:ind w:left="6643" w:hanging="360"/>
      </w:pPr>
    </w:lvl>
    <w:lvl w:ilvl="5" w:tplc="140A001B" w:tentative="1">
      <w:start w:val="1"/>
      <w:numFmt w:val="lowerRoman"/>
      <w:lvlText w:val="%6."/>
      <w:lvlJc w:val="right"/>
      <w:pPr>
        <w:ind w:left="7363" w:hanging="180"/>
      </w:pPr>
    </w:lvl>
    <w:lvl w:ilvl="6" w:tplc="140A000F" w:tentative="1">
      <w:start w:val="1"/>
      <w:numFmt w:val="decimal"/>
      <w:lvlText w:val="%7."/>
      <w:lvlJc w:val="left"/>
      <w:pPr>
        <w:ind w:left="8083" w:hanging="360"/>
      </w:pPr>
    </w:lvl>
    <w:lvl w:ilvl="7" w:tplc="140A0019" w:tentative="1">
      <w:start w:val="1"/>
      <w:numFmt w:val="lowerLetter"/>
      <w:lvlText w:val="%8."/>
      <w:lvlJc w:val="left"/>
      <w:pPr>
        <w:ind w:left="8803" w:hanging="360"/>
      </w:pPr>
    </w:lvl>
    <w:lvl w:ilvl="8" w:tplc="140A001B" w:tentative="1">
      <w:start w:val="1"/>
      <w:numFmt w:val="lowerRoman"/>
      <w:lvlText w:val="%9."/>
      <w:lvlJc w:val="right"/>
      <w:pPr>
        <w:ind w:left="9523" w:hanging="180"/>
      </w:pPr>
    </w:lvl>
  </w:abstractNum>
  <w:abstractNum w:abstractNumId="22" w15:restartNumberingAfterBreak="0">
    <w:nsid w:val="40A528EA"/>
    <w:multiLevelType w:val="multilevel"/>
    <w:tmpl w:val="3D402A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AFF6408"/>
    <w:multiLevelType w:val="hybridMultilevel"/>
    <w:tmpl w:val="F252B33C"/>
    <w:lvl w:ilvl="0" w:tplc="21DC461C">
      <w:numFmt w:val="bullet"/>
      <w:lvlText w:val="-"/>
      <w:lvlJc w:val="left"/>
      <w:pPr>
        <w:ind w:left="720" w:hanging="360"/>
      </w:pPr>
      <w:rPr>
        <w:rFonts w:ascii="Arial" w:eastAsia="Calibri" w:hAnsi="Aria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5" w15:restartNumberingAfterBreak="0">
    <w:nsid w:val="52D86FCF"/>
    <w:multiLevelType w:val="hybridMultilevel"/>
    <w:tmpl w:val="4344E516"/>
    <w:lvl w:ilvl="0" w:tplc="FF3EB24E">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A275B5C"/>
    <w:multiLevelType w:val="hybridMultilevel"/>
    <w:tmpl w:val="D08E83C8"/>
    <w:lvl w:ilvl="0" w:tplc="FE5EED00">
      <w:numFmt w:val="bullet"/>
      <w:lvlText w:val="-"/>
      <w:lvlJc w:val="left"/>
      <w:pPr>
        <w:ind w:left="720" w:hanging="360"/>
      </w:pPr>
      <w:rPr>
        <w:rFonts w:ascii="Arial" w:eastAsia="Calibri" w:hAnsi="Arial" w:cs="Aria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7" w15:restartNumberingAfterBreak="0">
    <w:nsid w:val="5A7C033F"/>
    <w:multiLevelType w:val="multilevel"/>
    <w:tmpl w:val="0A0A83E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CB557AD"/>
    <w:multiLevelType w:val="hybridMultilevel"/>
    <w:tmpl w:val="B8728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D86BEA"/>
    <w:multiLevelType w:val="hybridMultilevel"/>
    <w:tmpl w:val="D99E0608"/>
    <w:lvl w:ilvl="0" w:tplc="9D42885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15:restartNumberingAfterBreak="0">
    <w:nsid w:val="655777A3"/>
    <w:multiLevelType w:val="hybridMultilevel"/>
    <w:tmpl w:val="906E77E4"/>
    <w:lvl w:ilvl="0" w:tplc="045C77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D61D8D"/>
    <w:multiLevelType w:val="multilevel"/>
    <w:tmpl w:val="3EFA5BBC"/>
    <w:lvl w:ilvl="0">
      <w:start w:val="1"/>
      <w:numFmt w:val="decimal"/>
      <w:lvlText w:val="%1."/>
      <w:lvlJc w:val="left"/>
      <w:pPr>
        <w:tabs>
          <w:tab w:val="num" w:pos="4330"/>
        </w:tabs>
        <w:ind w:left="4330" w:hanging="360"/>
      </w:pPr>
      <w:rPr>
        <w:sz w:val="20"/>
      </w:rPr>
    </w:lvl>
    <w:lvl w:ilvl="1" w:tentative="1">
      <w:start w:val="1"/>
      <w:numFmt w:val="decimal"/>
      <w:lvlText w:val="%2."/>
      <w:lvlJc w:val="left"/>
      <w:pPr>
        <w:tabs>
          <w:tab w:val="num" w:pos="5050"/>
        </w:tabs>
        <w:ind w:left="5050" w:hanging="360"/>
      </w:pPr>
    </w:lvl>
    <w:lvl w:ilvl="2" w:tentative="1">
      <w:start w:val="1"/>
      <w:numFmt w:val="decimal"/>
      <w:lvlText w:val="%3."/>
      <w:lvlJc w:val="left"/>
      <w:pPr>
        <w:tabs>
          <w:tab w:val="num" w:pos="5770"/>
        </w:tabs>
        <w:ind w:left="5770" w:hanging="360"/>
      </w:pPr>
    </w:lvl>
    <w:lvl w:ilvl="3" w:tentative="1">
      <w:start w:val="1"/>
      <w:numFmt w:val="decimal"/>
      <w:lvlText w:val="%4."/>
      <w:lvlJc w:val="left"/>
      <w:pPr>
        <w:tabs>
          <w:tab w:val="num" w:pos="6490"/>
        </w:tabs>
        <w:ind w:left="6490" w:hanging="360"/>
      </w:pPr>
    </w:lvl>
    <w:lvl w:ilvl="4" w:tentative="1">
      <w:start w:val="1"/>
      <w:numFmt w:val="decimal"/>
      <w:lvlText w:val="%5."/>
      <w:lvlJc w:val="left"/>
      <w:pPr>
        <w:tabs>
          <w:tab w:val="num" w:pos="7210"/>
        </w:tabs>
        <w:ind w:left="7210" w:hanging="360"/>
      </w:pPr>
    </w:lvl>
    <w:lvl w:ilvl="5" w:tentative="1">
      <w:start w:val="1"/>
      <w:numFmt w:val="decimal"/>
      <w:lvlText w:val="%6."/>
      <w:lvlJc w:val="left"/>
      <w:pPr>
        <w:tabs>
          <w:tab w:val="num" w:pos="7930"/>
        </w:tabs>
        <w:ind w:left="7930" w:hanging="360"/>
      </w:pPr>
    </w:lvl>
    <w:lvl w:ilvl="6" w:tentative="1">
      <w:start w:val="1"/>
      <w:numFmt w:val="decimal"/>
      <w:lvlText w:val="%7."/>
      <w:lvlJc w:val="left"/>
      <w:pPr>
        <w:tabs>
          <w:tab w:val="num" w:pos="8650"/>
        </w:tabs>
        <w:ind w:left="8650" w:hanging="360"/>
      </w:pPr>
    </w:lvl>
    <w:lvl w:ilvl="7" w:tentative="1">
      <w:start w:val="1"/>
      <w:numFmt w:val="decimal"/>
      <w:lvlText w:val="%8."/>
      <w:lvlJc w:val="left"/>
      <w:pPr>
        <w:tabs>
          <w:tab w:val="num" w:pos="9370"/>
        </w:tabs>
        <w:ind w:left="9370" w:hanging="360"/>
      </w:pPr>
    </w:lvl>
    <w:lvl w:ilvl="8" w:tentative="1">
      <w:start w:val="1"/>
      <w:numFmt w:val="decimal"/>
      <w:lvlText w:val="%9."/>
      <w:lvlJc w:val="left"/>
      <w:pPr>
        <w:tabs>
          <w:tab w:val="num" w:pos="10090"/>
        </w:tabs>
        <w:ind w:left="10090" w:hanging="360"/>
      </w:pPr>
    </w:lvl>
  </w:abstractNum>
  <w:abstractNum w:abstractNumId="34" w15:restartNumberingAfterBreak="0">
    <w:nsid w:val="65D903A1"/>
    <w:multiLevelType w:val="multilevel"/>
    <w:tmpl w:val="C4A210AE"/>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6BFD2624"/>
    <w:multiLevelType w:val="hybridMultilevel"/>
    <w:tmpl w:val="7BBA1516"/>
    <w:lvl w:ilvl="0" w:tplc="6B787590">
      <w:start w:val="1"/>
      <w:numFmt w:val="decimal"/>
      <w:lvlText w:val="%1."/>
      <w:lvlJc w:val="left"/>
      <w:pPr>
        <w:ind w:left="4046" w:hanging="360"/>
      </w:pPr>
      <w:rPr>
        <w:rFonts w:hint="default"/>
        <w:sz w:val="18"/>
        <w:szCs w:val="20"/>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36" w15:restartNumberingAfterBreak="0">
    <w:nsid w:val="6C0B234C"/>
    <w:multiLevelType w:val="hybridMultilevel"/>
    <w:tmpl w:val="21F03A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3985A79"/>
    <w:multiLevelType w:val="multilevel"/>
    <w:tmpl w:val="3288F73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8" w15:restartNumberingAfterBreak="0">
    <w:nsid w:val="73E561AE"/>
    <w:multiLevelType w:val="hybridMultilevel"/>
    <w:tmpl w:val="A742160C"/>
    <w:lvl w:ilvl="0" w:tplc="CD38751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3FA13F3"/>
    <w:multiLevelType w:val="hybridMultilevel"/>
    <w:tmpl w:val="1BD2AF2E"/>
    <w:lvl w:ilvl="0" w:tplc="5C0A000F">
      <w:start w:val="1"/>
      <w:numFmt w:val="decimal"/>
      <w:lvlText w:val="%1."/>
      <w:lvlJc w:val="left"/>
      <w:pPr>
        <w:ind w:left="1080" w:hanging="360"/>
      </w:p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40" w15:restartNumberingAfterBreak="0">
    <w:nsid w:val="795F11FF"/>
    <w:multiLevelType w:val="hybridMultilevel"/>
    <w:tmpl w:val="10BC622A"/>
    <w:lvl w:ilvl="0" w:tplc="517A313C">
      <w:start w:val="1"/>
      <w:numFmt w:val="decimal"/>
      <w:lvlText w:val="%1."/>
      <w:lvlJc w:val="left"/>
      <w:pPr>
        <w:ind w:left="360" w:hanging="360"/>
      </w:pPr>
      <w:rPr>
        <w:rFonts w:hint="default"/>
        <w:color w:val="auto"/>
        <w:sz w:val="20"/>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0A09F2"/>
    <w:multiLevelType w:val="multilevel"/>
    <w:tmpl w:val="90826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BB06703"/>
    <w:multiLevelType w:val="hybridMultilevel"/>
    <w:tmpl w:val="4552DD50"/>
    <w:lvl w:ilvl="0" w:tplc="14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4" w15:restartNumberingAfterBreak="0">
    <w:nsid w:val="7BFE1E29"/>
    <w:multiLevelType w:val="hybridMultilevel"/>
    <w:tmpl w:val="8ADA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22B9F"/>
    <w:multiLevelType w:val="hybridMultilevel"/>
    <w:tmpl w:val="709C8D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E927F3E"/>
    <w:multiLevelType w:val="hybridMultilevel"/>
    <w:tmpl w:val="A0322F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7EE56633"/>
    <w:multiLevelType w:val="multilevel"/>
    <w:tmpl w:val="08BA455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8" w15:restartNumberingAfterBreak="0">
    <w:nsid w:val="7F5D7962"/>
    <w:multiLevelType w:val="multilevel"/>
    <w:tmpl w:val="C44C1A7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109617215">
    <w:abstractNumId w:val="11"/>
  </w:num>
  <w:num w:numId="2" w16cid:durableId="468472988">
    <w:abstractNumId w:val="23"/>
  </w:num>
  <w:num w:numId="3" w16cid:durableId="947274294">
    <w:abstractNumId w:val="1"/>
  </w:num>
  <w:num w:numId="4" w16cid:durableId="549847239">
    <w:abstractNumId w:val="31"/>
  </w:num>
  <w:num w:numId="5" w16cid:durableId="219942140">
    <w:abstractNumId w:val="28"/>
  </w:num>
  <w:num w:numId="6" w16cid:durableId="1039862710">
    <w:abstractNumId w:val="42"/>
  </w:num>
  <w:num w:numId="7" w16cid:durableId="1351033454">
    <w:abstractNumId w:val="45"/>
  </w:num>
  <w:num w:numId="8" w16cid:durableId="764307526">
    <w:abstractNumId w:val="47"/>
  </w:num>
  <w:num w:numId="9" w16cid:durableId="981077394">
    <w:abstractNumId w:val="48"/>
  </w:num>
  <w:num w:numId="10" w16cid:durableId="2107647203">
    <w:abstractNumId w:val="27"/>
  </w:num>
  <w:num w:numId="11" w16cid:durableId="356581754">
    <w:abstractNumId w:val="34"/>
  </w:num>
  <w:num w:numId="12" w16cid:durableId="693772902">
    <w:abstractNumId w:val="37"/>
  </w:num>
  <w:num w:numId="13" w16cid:durableId="843664322">
    <w:abstractNumId w:val="44"/>
  </w:num>
  <w:num w:numId="14" w16cid:durableId="571163274">
    <w:abstractNumId w:val="38"/>
  </w:num>
  <w:num w:numId="15" w16cid:durableId="116065714">
    <w:abstractNumId w:val="30"/>
  </w:num>
  <w:num w:numId="16" w16cid:durableId="1377583399">
    <w:abstractNumId w:val="16"/>
  </w:num>
  <w:num w:numId="17" w16cid:durableId="1908609198">
    <w:abstractNumId w:val="35"/>
  </w:num>
  <w:num w:numId="18" w16cid:durableId="661546119">
    <w:abstractNumId w:val="20"/>
  </w:num>
  <w:num w:numId="19" w16cid:durableId="12259474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5249027">
    <w:abstractNumId w:val="32"/>
  </w:num>
  <w:num w:numId="21" w16cid:durableId="905576907">
    <w:abstractNumId w:val="29"/>
  </w:num>
  <w:num w:numId="22" w16cid:durableId="651376012">
    <w:abstractNumId w:val="12"/>
  </w:num>
  <w:num w:numId="23" w16cid:durableId="1888880405">
    <w:abstractNumId w:val="6"/>
  </w:num>
  <w:num w:numId="24" w16cid:durableId="1327785582">
    <w:abstractNumId w:val="2"/>
  </w:num>
  <w:num w:numId="25" w16cid:durableId="303050562">
    <w:abstractNumId w:val="41"/>
  </w:num>
  <w:num w:numId="26" w16cid:durableId="1035154613">
    <w:abstractNumId w:val="19"/>
  </w:num>
  <w:num w:numId="27" w16cid:durableId="104882923">
    <w:abstractNumId w:val="33"/>
  </w:num>
  <w:num w:numId="28" w16cid:durableId="900603573">
    <w:abstractNumId w:val="3"/>
  </w:num>
  <w:num w:numId="29" w16cid:durableId="1243298203">
    <w:abstractNumId w:val="5"/>
  </w:num>
  <w:num w:numId="30" w16cid:durableId="531115928">
    <w:abstractNumId w:val="7"/>
  </w:num>
  <w:num w:numId="31" w16cid:durableId="1172454057">
    <w:abstractNumId w:val="17"/>
  </w:num>
  <w:num w:numId="32" w16cid:durableId="489757936">
    <w:abstractNumId w:val="22"/>
  </w:num>
  <w:num w:numId="33" w16cid:durableId="677804180">
    <w:abstractNumId w:val="9"/>
  </w:num>
  <w:num w:numId="34" w16cid:durableId="491870109">
    <w:abstractNumId w:val="14"/>
  </w:num>
  <w:num w:numId="35" w16cid:durableId="1453667954">
    <w:abstractNumId w:val="46"/>
  </w:num>
  <w:num w:numId="36" w16cid:durableId="1050493984">
    <w:abstractNumId w:val="10"/>
  </w:num>
  <w:num w:numId="37" w16cid:durableId="1189027435">
    <w:abstractNumId w:val="36"/>
  </w:num>
  <w:num w:numId="38" w16cid:durableId="1382679776">
    <w:abstractNumId w:val="18"/>
  </w:num>
  <w:num w:numId="39" w16cid:durableId="765804234">
    <w:abstractNumId w:val="13"/>
  </w:num>
  <w:num w:numId="40" w16cid:durableId="143546765">
    <w:abstractNumId w:val="24"/>
  </w:num>
  <w:num w:numId="41" w16cid:durableId="501820441">
    <w:abstractNumId w:val="26"/>
  </w:num>
  <w:num w:numId="42" w16cid:durableId="467867515">
    <w:abstractNumId w:val="25"/>
  </w:num>
  <w:num w:numId="43" w16cid:durableId="1598710819">
    <w:abstractNumId w:val="4"/>
  </w:num>
  <w:num w:numId="44" w16cid:durableId="789201262">
    <w:abstractNumId w:val="0"/>
  </w:num>
  <w:num w:numId="45" w16cid:durableId="1792816547">
    <w:abstractNumId w:val="40"/>
  </w:num>
  <w:num w:numId="46" w16cid:durableId="1974481294">
    <w:abstractNumId w:val="39"/>
  </w:num>
  <w:num w:numId="47" w16cid:durableId="867792166">
    <w:abstractNumId w:val="43"/>
  </w:num>
  <w:num w:numId="48" w16cid:durableId="1389835988">
    <w:abstractNumId w:val="21"/>
  </w:num>
  <w:num w:numId="49" w16cid:durableId="70290128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206E0"/>
    <w:rsid w:val="0002313C"/>
    <w:rsid w:val="000260EB"/>
    <w:rsid w:val="00043AB5"/>
    <w:rsid w:val="00043C2B"/>
    <w:rsid w:val="0004660B"/>
    <w:rsid w:val="00050DE3"/>
    <w:rsid w:val="0005117F"/>
    <w:rsid w:val="00052E3E"/>
    <w:rsid w:val="00070232"/>
    <w:rsid w:val="00072572"/>
    <w:rsid w:val="00075BD9"/>
    <w:rsid w:val="00076420"/>
    <w:rsid w:val="00081327"/>
    <w:rsid w:val="00085A6C"/>
    <w:rsid w:val="000861D7"/>
    <w:rsid w:val="00087E4B"/>
    <w:rsid w:val="00090213"/>
    <w:rsid w:val="000912A6"/>
    <w:rsid w:val="00095607"/>
    <w:rsid w:val="000A12B9"/>
    <w:rsid w:val="000A2BE8"/>
    <w:rsid w:val="000A3E2F"/>
    <w:rsid w:val="000A6B22"/>
    <w:rsid w:val="000A7429"/>
    <w:rsid w:val="000A7FFE"/>
    <w:rsid w:val="000B283B"/>
    <w:rsid w:val="000B7104"/>
    <w:rsid w:val="000C2326"/>
    <w:rsid w:val="000C2CD6"/>
    <w:rsid w:val="000C3AB5"/>
    <w:rsid w:val="000C3C97"/>
    <w:rsid w:val="000C6106"/>
    <w:rsid w:val="000D16EC"/>
    <w:rsid w:val="000D6A22"/>
    <w:rsid w:val="000D7572"/>
    <w:rsid w:val="000F2611"/>
    <w:rsid w:val="001009B6"/>
    <w:rsid w:val="00110886"/>
    <w:rsid w:val="001153F5"/>
    <w:rsid w:val="001207E8"/>
    <w:rsid w:val="00127B05"/>
    <w:rsid w:val="001333F2"/>
    <w:rsid w:val="00134A21"/>
    <w:rsid w:val="00135127"/>
    <w:rsid w:val="00141C24"/>
    <w:rsid w:val="00142949"/>
    <w:rsid w:val="00146625"/>
    <w:rsid w:val="00161F5E"/>
    <w:rsid w:val="0016691A"/>
    <w:rsid w:val="00176825"/>
    <w:rsid w:val="00177C1D"/>
    <w:rsid w:val="001816D5"/>
    <w:rsid w:val="00182689"/>
    <w:rsid w:val="001842D3"/>
    <w:rsid w:val="001A30C1"/>
    <w:rsid w:val="001A3529"/>
    <w:rsid w:val="001A42D5"/>
    <w:rsid w:val="001B21F3"/>
    <w:rsid w:val="001B624D"/>
    <w:rsid w:val="001C3BAB"/>
    <w:rsid w:val="001C7B0E"/>
    <w:rsid w:val="001C7CA1"/>
    <w:rsid w:val="001D54D3"/>
    <w:rsid w:val="001D7EE2"/>
    <w:rsid w:val="001F31F6"/>
    <w:rsid w:val="001F50BC"/>
    <w:rsid w:val="001F5308"/>
    <w:rsid w:val="001F553C"/>
    <w:rsid w:val="00200857"/>
    <w:rsid w:val="00203D83"/>
    <w:rsid w:val="00204322"/>
    <w:rsid w:val="002057B8"/>
    <w:rsid w:val="00206F53"/>
    <w:rsid w:val="002222A4"/>
    <w:rsid w:val="00223206"/>
    <w:rsid w:val="00225247"/>
    <w:rsid w:val="0023113C"/>
    <w:rsid w:val="00233C0B"/>
    <w:rsid w:val="00234570"/>
    <w:rsid w:val="00236C9A"/>
    <w:rsid w:val="0024018E"/>
    <w:rsid w:val="002406EF"/>
    <w:rsid w:val="00246028"/>
    <w:rsid w:val="002477D5"/>
    <w:rsid w:val="002556F3"/>
    <w:rsid w:val="002747EC"/>
    <w:rsid w:val="002A0C3C"/>
    <w:rsid w:val="002B1316"/>
    <w:rsid w:val="002B3F8E"/>
    <w:rsid w:val="002B4650"/>
    <w:rsid w:val="002C0C30"/>
    <w:rsid w:val="002C3364"/>
    <w:rsid w:val="002C3DD7"/>
    <w:rsid w:val="002C58CD"/>
    <w:rsid w:val="002C6183"/>
    <w:rsid w:val="002C72E7"/>
    <w:rsid w:val="002D6C19"/>
    <w:rsid w:val="002E0DE0"/>
    <w:rsid w:val="002E2D23"/>
    <w:rsid w:val="002E3F2D"/>
    <w:rsid w:val="002F4FE6"/>
    <w:rsid w:val="00300D0B"/>
    <w:rsid w:val="003013BF"/>
    <w:rsid w:val="003025AF"/>
    <w:rsid w:val="00302E11"/>
    <w:rsid w:val="0031108A"/>
    <w:rsid w:val="00314114"/>
    <w:rsid w:val="003270F2"/>
    <w:rsid w:val="00332CD9"/>
    <w:rsid w:val="00340FDF"/>
    <w:rsid w:val="0034265D"/>
    <w:rsid w:val="00346951"/>
    <w:rsid w:val="00353AAA"/>
    <w:rsid w:val="0035587B"/>
    <w:rsid w:val="00356E6F"/>
    <w:rsid w:val="00357A9B"/>
    <w:rsid w:val="00366926"/>
    <w:rsid w:val="0037104B"/>
    <w:rsid w:val="00373E27"/>
    <w:rsid w:val="003757A9"/>
    <w:rsid w:val="00376D99"/>
    <w:rsid w:val="003A3BE4"/>
    <w:rsid w:val="003A5BE6"/>
    <w:rsid w:val="003C2CE7"/>
    <w:rsid w:val="003C71AE"/>
    <w:rsid w:val="003D1ADF"/>
    <w:rsid w:val="003D3923"/>
    <w:rsid w:val="003E573F"/>
    <w:rsid w:val="003E73B8"/>
    <w:rsid w:val="003F4E9F"/>
    <w:rsid w:val="004004A6"/>
    <w:rsid w:val="00403B40"/>
    <w:rsid w:val="00411F51"/>
    <w:rsid w:val="00413139"/>
    <w:rsid w:val="00414414"/>
    <w:rsid w:val="00415000"/>
    <w:rsid w:val="0044651B"/>
    <w:rsid w:val="00452135"/>
    <w:rsid w:val="00467A1E"/>
    <w:rsid w:val="00473115"/>
    <w:rsid w:val="0049078E"/>
    <w:rsid w:val="0049160E"/>
    <w:rsid w:val="00491DB7"/>
    <w:rsid w:val="0049254A"/>
    <w:rsid w:val="004A3A02"/>
    <w:rsid w:val="004A744D"/>
    <w:rsid w:val="004B023E"/>
    <w:rsid w:val="004B4040"/>
    <w:rsid w:val="004C0E10"/>
    <w:rsid w:val="004D03FC"/>
    <w:rsid w:val="004D2A75"/>
    <w:rsid w:val="004D3BAD"/>
    <w:rsid w:val="004D7BD5"/>
    <w:rsid w:val="004E0917"/>
    <w:rsid w:val="004F37F1"/>
    <w:rsid w:val="00501438"/>
    <w:rsid w:val="00507BEF"/>
    <w:rsid w:val="00512939"/>
    <w:rsid w:val="005179EF"/>
    <w:rsid w:val="00520242"/>
    <w:rsid w:val="00525F1A"/>
    <w:rsid w:val="00526D59"/>
    <w:rsid w:val="00545AA6"/>
    <w:rsid w:val="005557B5"/>
    <w:rsid w:val="00563D26"/>
    <w:rsid w:val="00565973"/>
    <w:rsid w:val="0056790F"/>
    <w:rsid w:val="00571BD2"/>
    <w:rsid w:val="005725A3"/>
    <w:rsid w:val="005860BC"/>
    <w:rsid w:val="00590875"/>
    <w:rsid w:val="00591633"/>
    <w:rsid w:val="00592C8B"/>
    <w:rsid w:val="005B4DFC"/>
    <w:rsid w:val="005C096A"/>
    <w:rsid w:val="005D62B0"/>
    <w:rsid w:val="005E67B4"/>
    <w:rsid w:val="005F0546"/>
    <w:rsid w:val="005F1FA0"/>
    <w:rsid w:val="00601DC5"/>
    <w:rsid w:val="00607628"/>
    <w:rsid w:val="006122DA"/>
    <w:rsid w:val="00623094"/>
    <w:rsid w:val="00634FDB"/>
    <w:rsid w:val="00636466"/>
    <w:rsid w:val="0064019C"/>
    <w:rsid w:val="006458AD"/>
    <w:rsid w:val="00652DB8"/>
    <w:rsid w:val="006553FE"/>
    <w:rsid w:val="006647D1"/>
    <w:rsid w:val="006715DE"/>
    <w:rsid w:val="00674C6B"/>
    <w:rsid w:val="00674CB7"/>
    <w:rsid w:val="00682131"/>
    <w:rsid w:val="00690573"/>
    <w:rsid w:val="00694ABE"/>
    <w:rsid w:val="006A1304"/>
    <w:rsid w:val="006A1A38"/>
    <w:rsid w:val="006A2970"/>
    <w:rsid w:val="006A3048"/>
    <w:rsid w:val="006A4FB5"/>
    <w:rsid w:val="006A4FF4"/>
    <w:rsid w:val="006A5727"/>
    <w:rsid w:val="006A6363"/>
    <w:rsid w:val="006C06E7"/>
    <w:rsid w:val="006C6841"/>
    <w:rsid w:val="006E05CB"/>
    <w:rsid w:val="006E6470"/>
    <w:rsid w:val="006E6C75"/>
    <w:rsid w:val="006F7BCA"/>
    <w:rsid w:val="00701204"/>
    <w:rsid w:val="00706C4F"/>
    <w:rsid w:val="007074A7"/>
    <w:rsid w:val="00721BE1"/>
    <w:rsid w:val="00726F5F"/>
    <w:rsid w:val="0073664C"/>
    <w:rsid w:val="00742429"/>
    <w:rsid w:val="00743CB5"/>
    <w:rsid w:val="00762F81"/>
    <w:rsid w:val="00767B51"/>
    <w:rsid w:val="00780E32"/>
    <w:rsid w:val="00782C38"/>
    <w:rsid w:val="00794DEB"/>
    <w:rsid w:val="00796A45"/>
    <w:rsid w:val="007A3F95"/>
    <w:rsid w:val="007A7CA1"/>
    <w:rsid w:val="007B5563"/>
    <w:rsid w:val="007E0AD1"/>
    <w:rsid w:val="00802BAD"/>
    <w:rsid w:val="00813903"/>
    <w:rsid w:val="008206FF"/>
    <w:rsid w:val="00821D61"/>
    <w:rsid w:val="0082698E"/>
    <w:rsid w:val="00826FB5"/>
    <w:rsid w:val="00827495"/>
    <w:rsid w:val="0084698F"/>
    <w:rsid w:val="00850576"/>
    <w:rsid w:val="0085674A"/>
    <w:rsid w:val="00863D29"/>
    <w:rsid w:val="00870E10"/>
    <w:rsid w:val="008735E3"/>
    <w:rsid w:val="008767A1"/>
    <w:rsid w:val="00877304"/>
    <w:rsid w:val="008842B7"/>
    <w:rsid w:val="00887E4B"/>
    <w:rsid w:val="008A4301"/>
    <w:rsid w:val="008B100F"/>
    <w:rsid w:val="008B28D1"/>
    <w:rsid w:val="008C34EE"/>
    <w:rsid w:val="008D2354"/>
    <w:rsid w:val="008E19C4"/>
    <w:rsid w:val="00903417"/>
    <w:rsid w:val="00912413"/>
    <w:rsid w:val="0093004E"/>
    <w:rsid w:val="009348FF"/>
    <w:rsid w:val="00942013"/>
    <w:rsid w:val="009604E4"/>
    <w:rsid w:val="00961FF7"/>
    <w:rsid w:val="00962C15"/>
    <w:rsid w:val="00963CFA"/>
    <w:rsid w:val="00963F06"/>
    <w:rsid w:val="00970792"/>
    <w:rsid w:val="00973AFD"/>
    <w:rsid w:val="009844CE"/>
    <w:rsid w:val="00984BE2"/>
    <w:rsid w:val="00986966"/>
    <w:rsid w:val="009A4B47"/>
    <w:rsid w:val="009B7F61"/>
    <w:rsid w:val="009C0C22"/>
    <w:rsid w:val="009C2CDA"/>
    <w:rsid w:val="009D323B"/>
    <w:rsid w:val="009E2369"/>
    <w:rsid w:val="009E3933"/>
    <w:rsid w:val="009E4A48"/>
    <w:rsid w:val="009F0D91"/>
    <w:rsid w:val="00A05503"/>
    <w:rsid w:val="00A0671C"/>
    <w:rsid w:val="00A269AE"/>
    <w:rsid w:val="00A26B89"/>
    <w:rsid w:val="00A313C9"/>
    <w:rsid w:val="00A37222"/>
    <w:rsid w:val="00A47DE4"/>
    <w:rsid w:val="00A50181"/>
    <w:rsid w:val="00A5501E"/>
    <w:rsid w:val="00A5646B"/>
    <w:rsid w:val="00A579FB"/>
    <w:rsid w:val="00A65F12"/>
    <w:rsid w:val="00A73B18"/>
    <w:rsid w:val="00A83266"/>
    <w:rsid w:val="00A865C1"/>
    <w:rsid w:val="00A87D99"/>
    <w:rsid w:val="00A90252"/>
    <w:rsid w:val="00A91DF6"/>
    <w:rsid w:val="00A92DCA"/>
    <w:rsid w:val="00A93FC7"/>
    <w:rsid w:val="00AA1AB2"/>
    <w:rsid w:val="00AB3612"/>
    <w:rsid w:val="00AC131A"/>
    <w:rsid w:val="00AD35B5"/>
    <w:rsid w:val="00AD3CE5"/>
    <w:rsid w:val="00AE32D5"/>
    <w:rsid w:val="00AE5EA0"/>
    <w:rsid w:val="00AF2D3A"/>
    <w:rsid w:val="00AF36EA"/>
    <w:rsid w:val="00B010EC"/>
    <w:rsid w:val="00B056CF"/>
    <w:rsid w:val="00B05B23"/>
    <w:rsid w:val="00B1240A"/>
    <w:rsid w:val="00B159CB"/>
    <w:rsid w:val="00B223D7"/>
    <w:rsid w:val="00B4048C"/>
    <w:rsid w:val="00B411ED"/>
    <w:rsid w:val="00B41AFF"/>
    <w:rsid w:val="00B42108"/>
    <w:rsid w:val="00B50487"/>
    <w:rsid w:val="00B56E82"/>
    <w:rsid w:val="00B629BC"/>
    <w:rsid w:val="00B62FC8"/>
    <w:rsid w:val="00B643AF"/>
    <w:rsid w:val="00B66DB8"/>
    <w:rsid w:val="00B678BC"/>
    <w:rsid w:val="00B67A44"/>
    <w:rsid w:val="00B73A85"/>
    <w:rsid w:val="00B76820"/>
    <w:rsid w:val="00B76D4C"/>
    <w:rsid w:val="00B8084F"/>
    <w:rsid w:val="00B811D3"/>
    <w:rsid w:val="00B87723"/>
    <w:rsid w:val="00B910C0"/>
    <w:rsid w:val="00B97B37"/>
    <w:rsid w:val="00BB4F8D"/>
    <w:rsid w:val="00BB6E17"/>
    <w:rsid w:val="00BD1B11"/>
    <w:rsid w:val="00BD27D0"/>
    <w:rsid w:val="00BE2B6B"/>
    <w:rsid w:val="00BE39FE"/>
    <w:rsid w:val="00BE40C1"/>
    <w:rsid w:val="00BF0D6C"/>
    <w:rsid w:val="00BF2D4E"/>
    <w:rsid w:val="00BF6438"/>
    <w:rsid w:val="00C04BFF"/>
    <w:rsid w:val="00C1659B"/>
    <w:rsid w:val="00C1685D"/>
    <w:rsid w:val="00C21442"/>
    <w:rsid w:val="00C25DD4"/>
    <w:rsid w:val="00C26E22"/>
    <w:rsid w:val="00C32A68"/>
    <w:rsid w:val="00C33436"/>
    <w:rsid w:val="00C347F7"/>
    <w:rsid w:val="00C458C7"/>
    <w:rsid w:val="00C51A9C"/>
    <w:rsid w:val="00C51C84"/>
    <w:rsid w:val="00C61933"/>
    <w:rsid w:val="00C62EDF"/>
    <w:rsid w:val="00C71F4A"/>
    <w:rsid w:val="00C753AC"/>
    <w:rsid w:val="00C80868"/>
    <w:rsid w:val="00C80C81"/>
    <w:rsid w:val="00C8546D"/>
    <w:rsid w:val="00C85E89"/>
    <w:rsid w:val="00C96657"/>
    <w:rsid w:val="00CA6376"/>
    <w:rsid w:val="00CB09D2"/>
    <w:rsid w:val="00CC40C3"/>
    <w:rsid w:val="00CD2D9A"/>
    <w:rsid w:val="00CE3137"/>
    <w:rsid w:val="00CF4173"/>
    <w:rsid w:val="00D0125A"/>
    <w:rsid w:val="00D035A4"/>
    <w:rsid w:val="00D0398E"/>
    <w:rsid w:val="00D03AB5"/>
    <w:rsid w:val="00D05840"/>
    <w:rsid w:val="00D128AE"/>
    <w:rsid w:val="00D141A5"/>
    <w:rsid w:val="00D252EA"/>
    <w:rsid w:val="00D34CBD"/>
    <w:rsid w:val="00D4023C"/>
    <w:rsid w:val="00D42D74"/>
    <w:rsid w:val="00D44C65"/>
    <w:rsid w:val="00D57625"/>
    <w:rsid w:val="00D6314F"/>
    <w:rsid w:val="00D71153"/>
    <w:rsid w:val="00D726D5"/>
    <w:rsid w:val="00D7509A"/>
    <w:rsid w:val="00D75EC8"/>
    <w:rsid w:val="00D76A9D"/>
    <w:rsid w:val="00D76EE3"/>
    <w:rsid w:val="00D83D5A"/>
    <w:rsid w:val="00D92739"/>
    <w:rsid w:val="00D9428C"/>
    <w:rsid w:val="00DA0555"/>
    <w:rsid w:val="00DA0F4F"/>
    <w:rsid w:val="00DA6D6E"/>
    <w:rsid w:val="00DC1F0D"/>
    <w:rsid w:val="00DC58A3"/>
    <w:rsid w:val="00DD2C2B"/>
    <w:rsid w:val="00DD687C"/>
    <w:rsid w:val="00DD7B34"/>
    <w:rsid w:val="00DE47CB"/>
    <w:rsid w:val="00DF7D2D"/>
    <w:rsid w:val="00E05531"/>
    <w:rsid w:val="00E07855"/>
    <w:rsid w:val="00E07F97"/>
    <w:rsid w:val="00E13AF9"/>
    <w:rsid w:val="00E4111C"/>
    <w:rsid w:val="00E477FF"/>
    <w:rsid w:val="00E47962"/>
    <w:rsid w:val="00E61038"/>
    <w:rsid w:val="00E64663"/>
    <w:rsid w:val="00E70AA0"/>
    <w:rsid w:val="00E831AF"/>
    <w:rsid w:val="00E84242"/>
    <w:rsid w:val="00E87B35"/>
    <w:rsid w:val="00EA1E86"/>
    <w:rsid w:val="00EA46DB"/>
    <w:rsid w:val="00EB0EB3"/>
    <w:rsid w:val="00EB335D"/>
    <w:rsid w:val="00EC4DC8"/>
    <w:rsid w:val="00ED5019"/>
    <w:rsid w:val="00ED7BE0"/>
    <w:rsid w:val="00EE1579"/>
    <w:rsid w:val="00EF58F0"/>
    <w:rsid w:val="00F04209"/>
    <w:rsid w:val="00F04EFB"/>
    <w:rsid w:val="00F0579F"/>
    <w:rsid w:val="00F071EC"/>
    <w:rsid w:val="00F124B6"/>
    <w:rsid w:val="00F13885"/>
    <w:rsid w:val="00F206EC"/>
    <w:rsid w:val="00F21DB5"/>
    <w:rsid w:val="00F2332C"/>
    <w:rsid w:val="00F47792"/>
    <w:rsid w:val="00F500C2"/>
    <w:rsid w:val="00F56B59"/>
    <w:rsid w:val="00F67AF7"/>
    <w:rsid w:val="00F7070A"/>
    <w:rsid w:val="00F73A74"/>
    <w:rsid w:val="00F7641F"/>
    <w:rsid w:val="00F85F64"/>
    <w:rsid w:val="00F86728"/>
    <w:rsid w:val="00F96AD4"/>
    <w:rsid w:val="00FA246B"/>
    <w:rsid w:val="00FA45AA"/>
    <w:rsid w:val="00FA4EFF"/>
    <w:rsid w:val="00FB0B16"/>
    <w:rsid w:val="00FB2E51"/>
    <w:rsid w:val="00FB3F67"/>
    <w:rsid w:val="00FB44B1"/>
    <w:rsid w:val="00FC2E2D"/>
    <w:rsid w:val="00FC3A7C"/>
    <w:rsid w:val="00FC3C0B"/>
    <w:rsid w:val="00FC6BE0"/>
    <w:rsid w:val="00FD0971"/>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uiPriority w:val="1"/>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styleId="Mencinsinresolver">
    <w:name w:val="Unresolved Mention"/>
    <w:basedOn w:val="Fuentedeprrafopredeter"/>
    <w:uiPriority w:val="99"/>
    <w:semiHidden/>
    <w:unhideWhenUsed/>
    <w:rsid w:val="00D76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yperlink" Target="http://dx.doi.org/10.1056/nejmoa2110362" TargetMode="External"/><Relationship Id="rId39" Type="http://schemas.openxmlformats.org/officeDocument/2006/relationships/hyperlink" Target="http://dx.doi.org/10.1016/j.dsx.2020.07.005" TargetMode="External"/><Relationship Id="rId21" Type="http://schemas.openxmlformats.org/officeDocument/2006/relationships/chart" Target="charts/chart3.xml"/><Relationship Id="rId34" Type="http://schemas.openxmlformats.org/officeDocument/2006/relationships/hyperlink" Target="http://dx.doi.org/10.24875/ric.20000211" TargetMode="External"/><Relationship Id="rId42" Type="http://schemas.openxmlformats.org/officeDocument/2006/relationships/hyperlink" Target="http://dx.doi.org/10.1101/2020.05.24.20111724"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repositorio.cepal.org/items/b164d478-9cb6-4e61-8eba-817a145c6a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dx.doi.org/10.1016/s2214-109x(21)00140-6" TargetMode="External"/><Relationship Id="rId32" Type="http://schemas.openxmlformats.org/officeDocument/2006/relationships/hyperlink" Target="http://www.gob.mx/cofepris/acciones-y-programas/vacunas-covid-19-autorizadas" TargetMode="External"/><Relationship Id="rId37" Type="http://schemas.openxmlformats.org/officeDocument/2006/relationships/hyperlink" Target="http://dx.doi.org/10.24875/reie.21000053" TargetMode="External"/><Relationship Id="rId40" Type="http://schemas.openxmlformats.org/officeDocument/2006/relationships/hyperlink" Target="http://dx.doi.org/10.34133/2020/2402961" TargetMode="External"/><Relationship Id="rId45" Type="http://schemas.openxmlformats.org/officeDocument/2006/relationships/hyperlink" Target="https://datos.gob.mx/busca/dataset/informacion-referente-a-casos-covid-19-en-mexico" TargetMode="External"/><Relationship Id="rId5" Type="http://schemas.openxmlformats.org/officeDocument/2006/relationships/webSettings" Target="webSettings.xml"/><Relationship Id="rId15" Type="http://schemas.openxmlformats.org/officeDocument/2006/relationships/hyperlink" Target="https://orcid.org/0000-0001-5173-4635" TargetMode="External"/><Relationship Id="rId23" Type="http://schemas.openxmlformats.org/officeDocument/2006/relationships/hyperlink" Target="http://dx.doi.org/10.1016/j.vacun.2021.06.003" TargetMode="External"/><Relationship Id="rId28" Type="http://schemas.openxmlformats.org/officeDocument/2006/relationships/hyperlink" Target="http://dx.doi.org/10.1093/ageing/afaa274" TargetMode="External"/><Relationship Id="rId36" Type="http://schemas.openxmlformats.org/officeDocument/2006/relationships/hyperlink" Target="http://dx.doi.org/10.1101/2020.07.16.20146704" TargetMode="External"/><Relationship Id="rId10" Type="http://schemas.openxmlformats.org/officeDocument/2006/relationships/hyperlink" Target="https://doi.org/10.31434/rms.v8i11.1115" TargetMode="External"/><Relationship Id="rId19" Type="http://schemas.openxmlformats.org/officeDocument/2006/relationships/chart" Target="charts/chart1.xml"/><Relationship Id="rId31" Type="http://schemas.openxmlformats.org/officeDocument/2006/relationships/hyperlink" Target="https://www.who.int/es/news-room/feature-stories/detail/vaccine-efficacy-effectiveness-and-protection" TargetMode="External"/><Relationship Id="rId44" Type="http://schemas.openxmlformats.org/officeDocument/2006/relationships/hyperlink" Target="http://dx.doi.org/10.1136/bmjdrc-2020-00134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0000-0003-3954-4067" TargetMode="External"/><Relationship Id="rId22" Type="http://schemas.openxmlformats.org/officeDocument/2006/relationships/hyperlink" Target="http://dx.doi.org/10.1016/j.opresp.2021.100097" TargetMode="External"/><Relationship Id="rId27" Type="http://schemas.openxmlformats.org/officeDocument/2006/relationships/hyperlink" Target="http://rd.buap.mx/ojs-dm/index.php/rdicuap/article/view/598/563" TargetMode="External"/><Relationship Id="rId30" Type="http://schemas.openxmlformats.org/officeDocument/2006/relationships/hyperlink" Target="https://ourworldindata.org/covid-vaccinations" TargetMode="External"/><Relationship Id="rId35" Type="http://schemas.openxmlformats.org/officeDocument/2006/relationships/hyperlink" Target="http://dx.doi.org/10.24875/ric.20000207" TargetMode="External"/><Relationship Id="rId43" Type="http://schemas.openxmlformats.org/officeDocument/2006/relationships/hyperlink" Target="http://dx.doi.org/10.1016/j.diabres.2020.108132"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revistamedicasinergia@gmail.com" TargetMode="External"/><Relationship Id="rId17" Type="http://schemas.openxmlformats.org/officeDocument/2006/relationships/footer" Target="footer1.xml"/><Relationship Id="rId25" Type="http://schemas.openxmlformats.org/officeDocument/2006/relationships/hyperlink" Target="http://dx.doi.org/10.1056/nejmoa2034577" TargetMode="External"/><Relationship Id="rId33" Type="http://schemas.openxmlformats.org/officeDocument/2006/relationships/hyperlink" Target="http://dx.doi.org/10.2139/ssrn.3605185" TargetMode="External"/><Relationship Id="rId38" Type="http://schemas.openxmlformats.org/officeDocument/2006/relationships/hyperlink" Target="http://dx.doi.org/10.1038/nm1267" TargetMode="External"/><Relationship Id="rId46" Type="http://schemas.openxmlformats.org/officeDocument/2006/relationships/hyperlink" Target="https://es.statista.com/estadisticas/1207394/dosis-confirmadas-vacunas-covid-mexico/" TargetMode="External"/><Relationship Id="rId20" Type="http://schemas.openxmlformats.org/officeDocument/2006/relationships/chart" Target="charts/chart2.xml"/><Relationship Id="rId41" Type="http://schemas.openxmlformats.org/officeDocument/2006/relationships/hyperlink" Target="https://revista.unsis.edu.mx/index.php/saludyadmon/article/view/207"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202021\Desktop\base%20de%20datos\base%20de%20datos%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202021\Desktop\base%20de%20datos\base%20de%20datos%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Hoja7!$E$10</c:f>
              <c:strCache>
                <c:ptCount val="1"/>
                <c:pt idx="0">
                  <c:v>Esquema completo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tx>
                <c:rich>
                  <a:bodyPr/>
                  <a:lstStyle/>
                  <a:p>
                    <a:fld id="{4755DE04-56B9-4CEF-99E5-B55F80BA4BD7}"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9E1-4A39-9ECE-8F6396F4C8D4}"/>
                </c:ext>
              </c:extLst>
            </c:dLbl>
            <c:dLbl>
              <c:idx val="1"/>
              <c:tx>
                <c:rich>
                  <a:bodyPr/>
                  <a:lstStyle/>
                  <a:p>
                    <a:fld id="{F0A3B0E4-7909-4E87-B9A7-FE282F37C074}"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9E1-4A39-9ECE-8F6396F4C8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Hoja7!$F$9:$G$9</c:f>
              <c:strCache>
                <c:ptCount val="2"/>
                <c:pt idx="0">
                  <c:v>Si presenta infección </c:v>
                </c:pt>
                <c:pt idx="1">
                  <c:v>No presenta infección  </c:v>
                </c:pt>
              </c:strCache>
            </c:strRef>
          </c:cat>
          <c:val>
            <c:numRef>
              <c:f>Hoja7!$F$10:$G$10</c:f>
              <c:numCache>
                <c:formatCode>General</c:formatCode>
                <c:ptCount val="2"/>
                <c:pt idx="0">
                  <c:v>74.709999999999994</c:v>
                </c:pt>
                <c:pt idx="1">
                  <c:v>4.26</c:v>
                </c:pt>
              </c:numCache>
            </c:numRef>
          </c:val>
          <c:extLst>
            <c:ext xmlns:c16="http://schemas.microsoft.com/office/drawing/2014/chart" uri="{C3380CC4-5D6E-409C-BE32-E72D297353CC}">
              <c16:uniqueId val="{00000002-A9E1-4A39-9ECE-8F6396F4C8D4}"/>
            </c:ext>
          </c:extLst>
        </c:ser>
        <c:ser>
          <c:idx val="1"/>
          <c:order val="1"/>
          <c:tx>
            <c:strRef>
              <c:f>Hoja7!$E$11</c:f>
              <c:strCache>
                <c:ptCount val="1"/>
                <c:pt idx="0">
                  <c:v>Sin esquema </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tx>
                <c:rich>
                  <a:bodyPr/>
                  <a:lstStyle/>
                  <a:p>
                    <a:fld id="{E7119007-4E63-49DE-B6D1-73B4D76C4DA8}"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9E1-4A39-9ECE-8F6396F4C8D4}"/>
                </c:ext>
              </c:extLst>
            </c:dLbl>
            <c:dLbl>
              <c:idx val="1"/>
              <c:tx>
                <c:rich>
                  <a:bodyPr/>
                  <a:lstStyle/>
                  <a:p>
                    <a:fld id="{19729C95-1B4B-43C7-8921-8EFAA645F0CD}"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9E1-4A39-9ECE-8F6396F4C8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Hoja7!$F$9:$G$9</c:f>
              <c:strCache>
                <c:ptCount val="2"/>
                <c:pt idx="0">
                  <c:v>Si presenta infección </c:v>
                </c:pt>
                <c:pt idx="1">
                  <c:v>No presenta infección  </c:v>
                </c:pt>
              </c:strCache>
            </c:strRef>
          </c:cat>
          <c:val>
            <c:numRef>
              <c:f>Hoja7!$F$11:$G$11</c:f>
              <c:numCache>
                <c:formatCode>General</c:formatCode>
                <c:ptCount val="2"/>
                <c:pt idx="0">
                  <c:v>19.03</c:v>
                </c:pt>
                <c:pt idx="1">
                  <c:v>1.98</c:v>
                </c:pt>
              </c:numCache>
            </c:numRef>
          </c:val>
          <c:extLst>
            <c:ext xmlns:c16="http://schemas.microsoft.com/office/drawing/2014/chart" uri="{C3380CC4-5D6E-409C-BE32-E72D297353CC}">
              <c16:uniqueId val="{00000005-A9E1-4A39-9ECE-8F6396F4C8D4}"/>
            </c:ext>
          </c:extLst>
        </c:ser>
        <c:dLbls>
          <c:dLblPos val="outEnd"/>
          <c:showLegendKey val="0"/>
          <c:showVal val="1"/>
          <c:showCatName val="0"/>
          <c:showSerName val="0"/>
          <c:showPercent val="0"/>
          <c:showBubbleSize val="0"/>
        </c:dLbls>
        <c:gapWidth val="100"/>
        <c:overlap val="-24"/>
        <c:axId val="1655518448"/>
        <c:axId val="1655515952"/>
      </c:barChart>
      <c:catAx>
        <c:axId val="16555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R"/>
          </a:p>
        </c:txPr>
        <c:crossAx val="1655515952"/>
        <c:crosses val="autoZero"/>
        <c:auto val="1"/>
        <c:lblAlgn val="ctr"/>
        <c:lblOffset val="100"/>
        <c:noMultiLvlLbl val="0"/>
      </c:catAx>
      <c:valAx>
        <c:axId val="165551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R"/>
          </a:p>
        </c:txPr>
        <c:crossAx val="165551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Hoja15!$C$10</c:f>
              <c:strCache>
                <c:ptCount val="1"/>
                <c:pt idx="0">
                  <c:v>Esquema completo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tx>
                <c:rich>
                  <a:bodyPr/>
                  <a:lstStyle/>
                  <a:p>
                    <a:fld id="{2B353DD6-F3F5-451F-87CE-C09F8E0F738E}"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A11-43F8-A1C9-098054BE7D1F}"/>
                </c:ext>
              </c:extLst>
            </c:dLbl>
            <c:dLbl>
              <c:idx val="1"/>
              <c:tx>
                <c:rich>
                  <a:bodyPr/>
                  <a:lstStyle/>
                  <a:p>
                    <a:fld id="{89B13CC1-B1DA-4FF6-A580-212AE69E9E27}"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A11-43F8-A1C9-098054BE7D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Hoja15!$D$9:$E$9</c:f>
              <c:strCache>
                <c:ptCount val="2"/>
                <c:pt idx="0">
                  <c:v>SI presento infección </c:v>
                </c:pt>
                <c:pt idx="1">
                  <c:v>NO presento infección</c:v>
                </c:pt>
              </c:strCache>
            </c:strRef>
          </c:cat>
          <c:val>
            <c:numRef>
              <c:f>Hoja15!$D$10:$E$10</c:f>
              <c:numCache>
                <c:formatCode>General</c:formatCode>
                <c:ptCount val="2"/>
                <c:pt idx="0">
                  <c:v>28.95</c:v>
                </c:pt>
                <c:pt idx="1">
                  <c:v>50</c:v>
                </c:pt>
              </c:numCache>
            </c:numRef>
          </c:val>
          <c:extLst>
            <c:ext xmlns:c16="http://schemas.microsoft.com/office/drawing/2014/chart" uri="{C3380CC4-5D6E-409C-BE32-E72D297353CC}">
              <c16:uniqueId val="{00000002-9A11-43F8-A1C9-098054BE7D1F}"/>
            </c:ext>
          </c:extLst>
        </c:ser>
        <c:ser>
          <c:idx val="1"/>
          <c:order val="1"/>
          <c:tx>
            <c:strRef>
              <c:f>Hoja15!$C$11</c:f>
              <c:strCache>
                <c:ptCount val="1"/>
                <c:pt idx="0">
                  <c:v>Sin esquema </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tx>
                <c:rich>
                  <a:bodyPr/>
                  <a:lstStyle/>
                  <a:p>
                    <a:fld id="{6436C83F-C7BE-45AC-9B0C-0E27387C206F}"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A11-43F8-A1C9-098054BE7D1F}"/>
                </c:ext>
              </c:extLst>
            </c:dLbl>
            <c:dLbl>
              <c:idx val="1"/>
              <c:tx>
                <c:rich>
                  <a:bodyPr/>
                  <a:lstStyle/>
                  <a:p>
                    <a:fld id="{5553015E-BD46-4448-9C62-006EA623E2EF}"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A11-43F8-A1C9-098054BE7D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Hoja15!$D$9:$E$9</c:f>
              <c:strCache>
                <c:ptCount val="2"/>
                <c:pt idx="0">
                  <c:v>SI presento infección </c:v>
                </c:pt>
                <c:pt idx="1">
                  <c:v>NO presento infección</c:v>
                </c:pt>
              </c:strCache>
            </c:strRef>
          </c:cat>
          <c:val>
            <c:numRef>
              <c:f>Hoja15!$D$11:$E$11</c:f>
              <c:numCache>
                <c:formatCode>General</c:formatCode>
                <c:ptCount val="2"/>
                <c:pt idx="0">
                  <c:v>19</c:v>
                </c:pt>
                <c:pt idx="1">
                  <c:v>1.9</c:v>
                </c:pt>
              </c:numCache>
            </c:numRef>
          </c:val>
          <c:extLst>
            <c:ext xmlns:c16="http://schemas.microsoft.com/office/drawing/2014/chart" uri="{C3380CC4-5D6E-409C-BE32-E72D297353CC}">
              <c16:uniqueId val="{00000005-9A11-43F8-A1C9-098054BE7D1F}"/>
            </c:ext>
          </c:extLst>
        </c:ser>
        <c:dLbls>
          <c:dLblPos val="outEnd"/>
          <c:showLegendKey val="0"/>
          <c:showVal val="1"/>
          <c:showCatName val="0"/>
          <c:showSerName val="0"/>
          <c:showPercent val="0"/>
          <c:showBubbleSize val="0"/>
        </c:dLbls>
        <c:gapWidth val="100"/>
        <c:overlap val="-24"/>
        <c:axId val="305209984"/>
        <c:axId val="305218720"/>
      </c:barChart>
      <c:catAx>
        <c:axId val="30520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R"/>
          </a:p>
        </c:txPr>
        <c:crossAx val="305218720"/>
        <c:crosses val="autoZero"/>
        <c:auto val="1"/>
        <c:lblAlgn val="ctr"/>
        <c:lblOffset val="100"/>
        <c:noMultiLvlLbl val="0"/>
      </c:catAx>
      <c:valAx>
        <c:axId val="30521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R"/>
          </a:p>
        </c:txPr>
        <c:crossAx val="30520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Hoja15!$C$10</c:f>
              <c:strCache>
                <c:ptCount val="1"/>
                <c:pt idx="0">
                  <c:v>Esquema completo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tx>
                <c:rich>
                  <a:bodyPr/>
                  <a:lstStyle/>
                  <a:p>
                    <a:fld id="{2B353DD6-F3F5-451F-87CE-C09F8E0F738E}"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1C1-42E3-847E-610B22C12CC5}"/>
                </c:ext>
              </c:extLst>
            </c:dLbl>
            <c:dLbl>
              <c:idx val="1"/>
              <c:tx>
                <c:rich>
                  <a:bodyPr/>
                  <a:lstStyle/>
                  <a:p>
                    <a:fld id="{89B13CC1-B1DA-4FF6-A580-212AE69E9E27}"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1C1-42E3-847E-610B22C12C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Hoja15!$D$9:$E$9</c:f>
              <c:strCache>
                <c:ptCount val="2"/>
                <c:pt idx="0">
                  <c:v>SI presento infección </c:v>
                </c:pt>
                <c:pt idx="1">
                  <c:v>NO presento infección</c:v>
                </c:pt>
              </c:strCache>
            </c:strRef>
          </c:cat>
          <c:val>
            <c:numRef>
              <c:f>Hoja15!$D$10:$E$10</c:f>
              <c:numCache>
                <c:formatCode>General</c:formatCode>
                <c:ptCount val="2"/>
                <c:pt idx="0">
                  <c:v>66.2</c:v>
                </c:pt>
                <c:pt idx="1">
                  <c:v>12.8</c:v>
                </c:pt>
              </c:numCache>
            </c:numRef>
          </c:val>
          <c:extLst>
            <c:ext xmlns:c16="http://schemas.microsoft.com/office/drawing/2014/chart" uri="{C3380CC4-5D6E-409C-BE32-E72D297353CC}">
              <c16:uniqueId val="{00000002-F1C1-42E3-847E-610B22C12CC5}"/>
            </c:ext>
          </c:extLst>
        </c:ser>
        <c:ser>
          <c:idx val="1"/>
          <c:order val="1"/>
          <c:tx>
            <c:strRef>
              <c:f>Hoja15!$C$11</c:f>
              <c:strCache>
                <c:ptCount val="1"/>
                <c:pt idx="0">
                  <c:v>Sin esquema </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dLbl>
              <c:idx val="0"/>
              <c:tx>
                <c:rich>
                  <a:bodyPr/>
                  <a:lstStyle/>
                  <a:p>
                    <a:fld id="{6436C83F-C7BE-45AC-9B0C-0E27387C206F}"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1C1-42E3-847E-610B22C12CC5}"/>
                </c:ext>
              </c:extLst>
            </c:dLbl>
            <c:dLbl>
              <c:idx val="1"/>
              <c:tx>
                <c:rich>
                  <a:bodyPr/>
                  <a:lstStyle/>
                  <a:p>
                    <a:fld id="{5553015E-BD46-4448-9C62-006EA623E2EF}" type="VALUE">
                      <a:rPr lang="en-US"/>
                      <a:pPr/>
                      <a:t>[VALOR]</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1C1-42E3-847E-610B22C12C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Hoja15!$D$9:$E$9</c:f>
              <c:strCache>
                <c:ptCount val="2"/>
                <c:pt idx="0">
                  <c:v>SI presento infección </c:v>
                </c:pt>
                <c:pt idx="1">
                  <c:v>NO presento infección</c:v>
                </c:pt>
              </c:strCache>
            </c:strRef>
          </c:cat>
          <c:val>
            <c:numRef>
              <c:f>Hoja15!$D$11:$E$11</c:f>
              <c:numCache>
                <c:formatCode>General</c:formatCode>
                <c:ptCount val="2"/>
                <c:pt idx="0">
                  <c:v>0.3</c:v>
                </c:pt>
                <c:pt idx="1">
                  <c:v>20.7</c:v>
                </c:pt>
              </c:numCache>
            </c:numRef>
          </c:val>
          <c:extLst>
            <c:ext xmlns:c16="http://schemas.microsoft.com/office/drawing/2014/chart" uri="{C3380CC4-5D6E-409C-BE32-E72D297353CC}">
              <c16:uniqueId val="{00000005-F1C1-42E3-847E-610B22C12CC5}"/>
            </c:ext>
          </c:extLst>
        </c:ser>
        <c:dLbls>
          <c:dLblPos val="outEnd"/>
          <c:showLegendKey val="0"/>
          <c:showVal val="1"/>
          <c:showCatName val="0"/>
          <c:showSerName val="0"/>
          <c:showPercent val="0"/>
          <c:showBubbleSize val="0"/>
        </c:dLbls>
        <c:gapWidth val="100"/>
        <c:overlap val="-24"/>
        <c:axId val="305209984"/>
        <c:axId val="305218720"/>
      </c:barChart>
      <c:catAx>
        <c:axId val="30520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R"/>
          </a:p>
        </c:txPr>
        <c:crossAx val="305218720"/>
        <c:crosses val="autoZero"/>
        <c:auto val="1"/>
        <c:lblAlgn val="ctr"/>
        <c:lblOffset val="100"/>
        <c:noMultiLvlLbl val="0"/>
      </c:catAx>
      <c:valAx>
        <c:axId val="30521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R"/>
          </a:p>
        </c:txPr>
        <c:crossAx val="30520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597F-DF71-4F47-B35B-CD2FA991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9</Pages>
  <Words>3784</Words>
  <Characters>20813</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69</cp:revision>
  <cp:lastPrinted>2022-03-10T18:06:00Z</cp:lastPrinted>
  <dcterms:created xsi:type="dcterms:W3CDTF">2022-04-25T01:39:00Z</dcterms:created>
  <dcterms:modified xsi:type="dcterms:W3CDTF">2023-11-01T23:18:00Z</dcterms:modified>
</cp:coreProperties>
</file>