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Default Extension="jpeg" ContentType="image/jpeg"/>
  <Override PartName="/word/header20.xml" ContentType="application/vnd.openxmlformats-officedocument.wordprocessingml.head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40816"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324;height:6288"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248;height:368" type="#_x0000_t75" stroked="false">
              <v:imagedata r:id="rId13" o:title=""/>
            </v:shape>
            <v:shape style="position:absolute;left:7343;top:11954;width:1696;height:1696"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Heading2"/>
        <w:ind w:left="7706"/>
      </w:pPr>
      <w:r>
        <w:rPr/>
        <w:t>ARTICULOS</w:t>
      </w:r>
    </w:p>
    <w:p>
      <w:pPr>
        <w:pStyle w:val="BodyText"/>
        <w:rPr>
          <w:b/>
          <w:sz w:val="20"/>
        </w:rPr>
      </w:pPr>
    </w:p>
    <w:p>
      <w:pPr>
        <w:pStyle w:val="BodyText"/>
        <w:rPr>
          <w:b/>
          <w:sz w:val="20"/>
        </w:rPr>
      </w:pPr>
    </w:p>
    <w:p>
      <w:pPr>
        <w:pStyle w:val="BodyText"/>
        <w:spacing w:before="2"/>
        <w:rPr>
          <w:b/>
          <w:sz w:val="10"/>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63"/>
      </w:tblGrid>
      <w:tr>
        <w:trPr>
          <w:trHeight w:val="2363" w:hRule="atLeast"/>
        </w:trPr>
        <w:tc>
          <w:tcPr>
            <w:tcW w:w="4063" w:type="dxa"/>
          </w:tcPr>
          <w:p>
            <w:pPr>
              <w:pStyle w:val="TableParagraph"/>
              <w:numPr>
                <w:ilvl w:val="0"/>
                <w:numId w:val="1"/>
              </w:numPr>
              <w:tabs>
                <w:tab w:pos="560" w:val="left" w:leader="none"/>
                <w:tab w:pos="561" w:val="left" w:leader="none"/>
              </w:tabs>
              <w:spacing w:line="273" w:lineRule="auto" w:before="0" w:after="0"/>
              <w:ind w:left="560" w:right="420" w:hanging="360"/>
              <w:jc w:val="left"/>
              <w:rPr>
                <w:sz w:val="24"/>
              </w:rPr>
            </w:pPr>
            <w:r>
              <w:rPr>
                <w:sz w:val="24"/>
              </w:rPr>
              <w:t>Nuevos tratamientos de anticoagulación en</w:t>
            </w:r>
            <w:r>
              <w:rPr>
                <w:spacing w:val="-17"/>
                <w:sz w:val="24"/>
              </w:rPr>
              <w:t> </w:t>
            </w:r>
            <w:r>
              <w:rPr>
                <w:sz w:val="24"/>
              </w:rPr>
              <w:t>fibrilación atrial</w:t>
            </w:r>
          </w:p>
          <w:p>
            <w:pPr>
              <w:pStyle w:val="TableParagraph"/>
              <w:ind w:left="0"/>
              <w:rPr>
                <w:b/>
                <w:sz w:val="26"/>
              </w:rPr>
            </w:pPr>
          </w:p>
          <w:p>
            <w:pPr>
              <w:pStyle w:val="TableParagraph"/>
              <w:numPr>
                <w:ilvl w:val="0"/>
                <w:numId w:val="1"/>
              </w:numPr>
              <w:tabs>
                <w:tab w:pos="560" w:val="left" w:leader="none"/>
                <w:tab w:pos="561" w:val="left" w:leader="none"/>
              </w:tabs>
              <w:spacing w:line="268" w:lineRule="auto" w:before="219" w:after="0"/>
              <w:ind w:left="560" w:right="197" w:hanging="360"/>
              <w:jc w:val="left"/>
              <w:rPr>
                <w:sz w:val="24"/>
              </w:rPr>
            </w:pPr>
            <w:r>
              <w:rPr>
                <w:sz w:val="24"/>
              </w:rPr>
              <w:t>Fracturas del extremo</w:t>
            </w:r>
            <w:r>
              <w:rPr>
                <w:spacing w:val="-14"/>
                <w:sz w:val="24"/>
              </w:rPr>
              <w:t> </w:t>
            </w:r>
            <w:r>
              <w:rPr>
                <w:sz w:val="24"/>
              </w:rPr>
              <w:t>proximal del</w:t>
            </w:r>
            <w:r>
              <w:rPr>
                <w:spacing w:val="-2"/>
                <w:sz w:val="24"/>
              </w:rPr>
              <w:t> </w:t>
            </w:r>
            <w:r>
              <w:rPr>
                <w:sz w:val="24"/>
              </w:rPr>
              <w:t>fémur</w:t>
            </w:r>
          </w:p>
        </w:tc>
      </w:tr>
      <w:tr>
        <w:trPr>
          <w:trHeight w:val="1164" w:hRule="atLeast"/>
        </w:trPr>
        <w:tc>
          <w:tcPr>
            <w:tcW w:w="4063" w:type="dxa"/>
          </w:tcPr>
          <w:p>
            <w:pPr>
              <w:pStyle w:val="TableParagraph"/>
              <w:spacing w:before="2"/>
              <w:ind w:left="0"/>
              <w:rPr>
                <w:b/>
                <w:sz w:val="24"/>
              </w:rPr>
            </w:pPr>
          </w:p>
          <w:p>
            <w:pPr>
              <w:pStyle w:val="TableParagraph"/>
              <w:numPr>
                <w:ilvl w:val="0"/>
                <w:numId w:val="2"/>
              </w:numPr>
              <w:tabs>
                <w:tab w:pos="560" w:val="left" w:leader="none"/>
                <w:tab w:pos="561" w:val="left" w:leader="none"/>
              </w:tabs>
              <w:spacing w:line="271" w:lineRule="auto" w:before="0" w:after="0"/>
              <w:ind w:left="560" w:right="768" w:hanging="360"/>
              <w:jc w:val="left"/>
              <w:rPr>
                <w:sz w:val="24"/>
              </w:rPr>
            </w:pPr>
            <w:r>
              <w:rPr>
                <w:sz w:val="24"/>
              </w:rPr>
              <w:t>Estados hipertensivos</w:t>
            </w:r>
            <w:r>
              <w:rPr>
                <w:spacing w:val="-13"/>
                <w:sz w:val="24"/>
              </w:rPr>
              <w:t> </w:t>
            </w:r>
            <w:r>
              <w:rPr>
                <w:sz w:val="24"/>
              </w:rPr>
              <w:t>del embarazo</w:t>
            </w:r>
          </w:p>
        </w:tc>
      </w:tr>
      <w:tr>
        <w:trPr>
          <w:trHeight w:val="572" w:hRule="atLeast"/>
        </w:trPr>
        <w:tc>
          <w:tcPr>
            <w:tcW w:w="4063" w:type="dxa"/>
          </w:tcPr>
          <w:p>
            <w:pPr>
              <w:pStyle w:val="TableParagraph"/>
              <w:spacing w:before="2"/>
              <w:ind w:left="0"/>
              <w:rPr>
                <w:b/>
                <w:sz w:val="24"/>
              </w:rPr>
            </w:pPr>
          </w:p>
          <w:p>
            <w:pPr>
              <w:pStyle w:val="TableParagraph"/>
              <w:numPr>
                <w:ilvl w:val="0"/>
                <w:numId w:val="3"/>
              </w:numPr>
              <w:tabs>
                <w:tab w:pos="560" w:val="left" w:leader="none"/>
                <w:tab w:pos="561" w:val="left" w:leader="none"/>
              </w:tabs>
              <w:spacing w:line="274" w:lineRule="exact" w:before="0" w:after="0"/>
              <w:ind w:left="560" w:right="0" w:hanging="360"/>
              <w:jc w:val="left"/>
              <w:rPr>
                <w:sz w:val="24"/>
              </w:rPr>
            </w:pPr>
            <w:r>
              <w:rPr>
                <w:sz w:val="24"/>
              </w:rPr>
              <w:t>Anticonceptivo</w:t>
            </w:r>
            <w:r>
              <w:rPr>
                <w:spacing w:val="-2"/>
                <w:sz w:val="24"/>
              </w:rPr>
              <w:t> </w:t>
            </w:r>
            <w:r>
              <w:rPr>
                <w:sz w:val="24"/>
              </w:rPr>
              <w:t>oral</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p>
      <w:pPr>
        <w:spacing w:before="3"/>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8"/>
        <w:rPr>
          <w:rFonts w:ascii="Calibri"/>
          <w:i/>
          <w:sz w:val="21"/>
        </w:rPr>
      </w:pPr>
    </w:p>
    <w:p>
      <w:pPr>
        <w:tabs>
          <w:tab w:pos="3809" w:val="left" w:leader="none"/>
          <w:tab w:pos="5317" w:val="left" w:leader="none"/>
          <w:tab w:pos="8106" w:val="left" w:leader="none"/>
          <w:tab w:pos="9286" w:val="left" w:leader="none"/>
        </w:tabs>
        <w:spacing w:before="35"/>
        <w:ind w:left="732" w:right="0" w:firstLine="0"/>
        <w:jc w:val="left"/>
        <w:rPr>
          <w:rFonts w:ascii="Calibri" w:hAnsi="Calibri"/>
          <w:b/>
          <w:sz w:val="32"/>
        </w:rPr>
      </w:pPr>
      <w:r>
        <w:rPr>
          <w:rFonts w:ascii="Calibri" w:hAnsi="Calibri"/>
          <w:b/>
          <w:color w:val="FFFFFF"/>
          <w:spacing w:val="5"/>
          <w:sz w:val="32"/>
        </w:rPr>
        <w:t>MARZO</w:t>
      </w:r>
      <w:r>
        <w:rPr>
          <w:rFonts w:ascii="Calibri" w:hAnsi="Calibri"/>
          <w:b/>
          <w:color w:val="FFFFFF"/>
          <w:spacing w:val="21"/>
          <w:sz w:val="32"/>
        </w:rPr>
        <w:t> </w:t>
      </w:r>
      <w:r>
        <w:rPr>
          <w:rFonts w:ascii="Calibri" w:hAnsi="Calibri"/>
          <w:b/>
          <w:color w:val="FFFFFF"/>
          <w:spacing w:val="5"/>
          <w:sz w:val="32"/>
        </w:rPr>
        <w:t>2017</w:t>
        <w:tab/>
      </w:r>
      <w:r>
        <w:rPr>
          <w:rFonts w:ascii="Calibri" w:hAnsi="Calibri"/>
          <w:b/>
          <w:color w:val="FFFFFF"/>
          <w:sz w:val="32"/>
        </w:rPr>
        <w:t>-</w:t>
        <w:tab/>
      </w:r>
      <w:r>
        <w:rPr>
          <w:rFonts w:ascii="Calibri" w:hAnsi="Calibri"/>
          <w:b/>
          <w:color w:val="FFFFFF"/>
          <w:spacing w:val="6"/>
          <w:sz w:val="32"/>
        </w:rPr>
        <w:t>VOLUMEN</w:t>
      </w:r>
      <w:r>
        <w:rPr>
          <w:rFonts w:ascii="Calibri" w:hAnsi="Calibri"/>
          <w:b/>
          <w:color w:val="FFFFFF"/>
          <w:spacing w:val="23"/>
          <w:sz w:val="32"/>
        </w:rPr>
        <w:t> </w:t>
      </w:r>
      <w:r>
        <w:rPr>
          <w:rFonts w:ascii="Calibri" w:hAnsi="Calibri"/>
          <w:b/>
          <w:color w:val="FFFFFF"/>
          <w:sz w:val="32"/>
        </w:rPr>
        <w:t>2</w:t>
        <w:tab/>
        <w:t>-</w:t>
        <w:tab/>
      </w:r>
      <w:r>
        <w:rPr>
          <w:rFonts w:ascii="Calibri" w:hAnsi="Calibri"/>
          <w:b/>
          <w:color w:val="FFFFFF"/>
          <w:spacing w:val="6"/>
          <w:sz w:val="32"/>
        </w:rPr>
        <w:t>NÚMERO</w:t>
      </w:r>
      <w:r>
        <w:rPr>
          <w:rFonts w:ascii="Calibri" w:hAnsi="Calibri"/>
          <w:b/>
          <w:color w:val="FFFFFF"/>
          <w:spacing w:val="17"/>
          <w:sz w:val="32"/>
        </w:rPr>
        <w:t> </w:t>
      </w:r>
      <w:r>
        <w:rPr>
          <w:rFonts w:ascii="Calibri" w:hAnsi="Calibri"/>
          <w:b/>
          <w:color w:val="FFFFFF"/>
          <w:sz w:val="32"/>
        </w:rPr>
        <w:t>3</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ind w:left="200"/>
              <w:rPr>
                <w:rFonts w:ascii="Calibri" w:hAnsi="Calibri"/>
                <w:sz w:val="22"/>
              </w:rPr>
            </w:pPr>
            <w:r>
              <w:rPr>
                <w:rFonts w:ascii="Calibri" w:hAnsi="Calibri"/>
                <w:sz w:val="22"/>
                <w:shd w:fill="D2D2D2" w:color="auto" w:val="clear"/>
              </w:rPr>
              <w:t>Departamento de publicación:</w:t>
            </w:r>
          </w:p>
          <w:p>
            <w:pPr>
              <w:pStyle w:val="TableParagraph"/>
              <w:spacing w:line="268" w:lineRule="exact" w:after="43"/>
              <w:ind w:left="200"/>
              <w:rPr>
                <w:rFonts w:ascii="Calibri"/>
                <w:sz w:val="22"/>
              </w:rPr>
            </w:pPr>
            <w:r>
              <w:rPr>
                <w:rFonts w:ascii="Calibri"/>
                <w:sz w:val="22"/>
              </w:rPr>
              <w:t>Editorial Esculapio</w:t>
            </w:r>
          </w:p>
          <w:p>
            <w:pPr>
              <w:pStyle w:val="TableParagraph"/>
              <w:ind w:left="824"/>
              <w:rPr>
                <w:rFonts w:ascii="Calibri"/>
                <w:sz w:val="20"/>
              </w:rPr>
            </w:pPr>
            <w:r>
              <w:rPr>
                <w:rFonts w:ascii="Calibri"/>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rFonts w:ascii="Calibri"/>
                <w:sz w:val="20"/>
              </w:rPr>
            </w:r>
          </w:p>
          <w:p>
            <w:pPr>
              <w:pStyle w:val="TableParagraph"/>
              <w:spacing w:before="55"/>
              <w:ind w:left="200" w:right="1397"/>
              <w:rPr>
                <w:rFonts w:ascii="Calibri" w:hAnsi="Calibri"/>
                <w:sz w:val="18"/>
              </w:rPr>
            </w:pPr>
            <w:r>
              <w:rPr>
                <w:rFonts w:ascii="Calibri" w:hAnsi="Calibri"/>
                <w:sz w:val="18"/>
              </w:rPr>
              <w:t>50 metros norte de UCIMED, Sabana Sur, San José-Costa Rica Teléfono: 8668002</w:t>
            </w:r>
          </w:p>
          <w:p>
            <w:pPr>
              <w:pStyle w:val="TableParagraph"/>
              <w:spacing w:line="196" w:lineRule="exact" w:before="1"/>
              <w:ind w:left="200"/>
              <w:rPr>
                <w:rFonts w:ascii="Calibri"/>
                <w:sz w:val="18"/>
              </w:rPr>
            </w:pPr>
            <w:r>
              <w:rPr>
                <w:rFonts w:ascii="Calibri"/>
                <w:sz w:val="18"/>
              </w:rPr>
              <w:t>E-mail: </w:t>
            </w:r>
            <w:hyperlink r:id="rId25">
              <w:r>
                <w:rPr>
                  <w:rFonts w:ascii="Calibri"/>
                  <w:sz w:val="18"/>
                </w:rPr>
                <w:t>revistamedicasinergia@gmail.com</w:t>
              </w:r>
            </w:hyperlink>
          </w:p>
        </w:tc>
        <w:tc>
          <w:tcPr>
            <w:tcW w:w="4623" w:type="dxa"/>
          </w:tcPr>
          <w:p>
            <w:pPr>
              <w:pStyle w:val="TableParagraph"/>
              <w:spacing w:line="224" w:lineRule="exact"/>
              <w:ind w:left="681"/>
              <w:rPr>
                <w:rFonts w:ascii="Calibri" w:hAnsi="Calibri"/>
                <w:sz w:val="22"/>
              </w:rPr>
            </w:pPr>
            <w:r>
              <w:rPr>
                <w:rFonts w:ascii="Calibri" w:hAnsi="Calibri"/>
                <w:sz w:val="22"/>
                <w:shd w:fill="D2D2D2" w:color="auto" w:val="clear"/>
              </w:rPr>
              <w:t>Departamento de edición:</w:t>
            </w:r>
          </w:p>
          <w:p>
            <w:pPr>
              <w:pStyle w:val="TableParagraph"/>
              <w:spacing w:before="23"/>
              <w:ind w:left="681"/>
              <w:rPr>
                <w:rFonts w:ascii="Calibri"/>
                <w:sz w:val="22"/>
              </w:rPr>
            </w:pPr>
            <w:r>
              <w:rPr>
                <w:rFonts w:ascii="Calibri"/>
                <w:sz w:val="22"/>
              </w:rPr>
              <w:t>Entidad editora:</w:t>
            </w:r>
          </w:p>
          <w:p>
            <w:pPr>
              <w:pStyle w:val="TableParagraph"/>
              <w:spacing w:before="39"/>
              <w:ind w:left="1113" w:right="176"/>
              <w:jc w:val="center"/>
              <w:rPr>
                <w:rFonts w:ascii="Calibri"/>
                <w:sz w:val="48"/>
              </w:rPr>
            </w:pPr>
            <w:r>
              <w:rPr>
                <w:rFonts w:ascii="Calibri"/>
                <w:sz w:val="48"/>
              </w:rPr>
              <w:t>SOMEA</w:t>
            </w:r>
          </w:p>
          <w:p>
            <w:pPr>
              <w:pStyle w:val="TableParagraph"/>
              <w:spacing w:before="37"/>
              <w:ind w:left="1113" w:right="181"/>
              <w:jc w:val="center"/>
              <w:rPr>
                <w:rFonts w:ascii="Calibri"/>
                <w:i/>
                <w:sz w:val="22"/>
              </w:rPr>
            </w:pPr>
            <w:r>
              <w:rPr>
                <w:rFonts w:ascii="Calibri"/>
                <w:i/>
                <w:sz w:val="22"/>
              </w:rPr>
              <w:t>SOCIEDAD DE MEDICOS DE AMERICA</w:t>
            </w:r>
          </w:p>
          <w:p>
            <w:pPr>
              <w:pStyle w:val="TableParagraph"/>
              <w:spacing w:before="4"/>
              <w:ind w:left="0"/>
              <w:rPr>
                <w:rFonts w:ascii="Calibri"/>
                <w:b/>
                <w:sz w:val="23"/>
              </w:rPr>
            </w:pPr>
          </w:p>
          <w:p>
            <w:pPr>
              <w:pStyle w:val="TableParagraph"/>
              <w:ind w:left="681" w:right="1603"/>
              <w:rPr>
                <w:rFonts w:ascii="Calibri" w:hAnsi="Calibri"/>
                <w:sz w:val="18"/>
              </w:rPr>
            </w:pPr>
            <w:r>
              <w:rPr>
                <w:rFonts w:ascii="Calibri" w:hAnsi="Calibri"/>
                <w:sz w:val="18"/>
              </w:rPr>
              <w:t>50 metros norte de UCIMED, Sabana Sur, San José-Costa Rica Teléfono: 8668002</w:t>
            </w:r>
          </w:p>
          <w:p>
            <w:pPr>
              <w:pStyle w:val="TableParagraph"/>
              <w:spacing w:before="3"/>
              <w:ind w:left="681"/>
              <w:rPr>
                <w:rFonts w:ascii="Calibri"/>
                <w:sz w:val="18"/>
              </w:rPr>
            </w:pPr>
            <w:hyperlink r:id="rId26">
              <w:r>
                <w:rPr>
                  <w:rFonts w:ascii="Calibri"/>
                  <w:sz w:val="18"/>
                </w:rPr>
                <w:t>Sociedaddemedicosdeamerica@hotmail.com</w:t>
              </w:r>
            </w:hyperlink>
          </w:p>
        </w:tc>
      </w:tr>
    </w:tbl>
    <w:p>
      <w:pPr>
        <w:pStyle w:val="BodyText"/>
        <w:rPr>
          <w:rFonts w:ascii="Calibri"/>
          <w:b/>
          <w:sz w:val="16"/>
        </w:rPr>
      </w:pPr>
    </w:p>
    <w:p>
      <w:pPr>
        <w:spacing w:line="276" w:lineRule="auto" w:before="95"/>
        <w:ind w:left="1700" w:right="1725" w:firstLine="0"/>
        <w:jc w:val="left"/>
        <w:rPr>
          <w:sz w:val="18"/>
        </w:rPr>
      </w:pPr>
      <w:r>
        <w:rPr/>
        <w:drawing>
          <wp:anchor distT="0" distB="0" distL="0" distR="0" allowOverlap="1" layoutInCell="1" locked="0" behindDoc="1" simplePos="0" relativeHeight="268394855">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6133" w:val="left" w:leader="none"/>
        </w:tabs>
        <w:spacing w:line="259" w:lineRule="auto" w:before="0"/>
        <w:ind w:left="4669" w:right="4667" w:firstLine="0"/>
        <w:jc w:val="center"/>
        <w:rPr>
          <w:sz w:val="18"/>
        </w:rPr>
      </w:pPr>
      <w:r>
        <w:rPr>
          <w:sz w:val="18"/>
        </w:rPr>
        <w:t>Fecha de publicación: MARZO</w:t>
      </w:r>
      <w:r>
        <w:rPr>
          <w:spacing w:val="-10"/>
          <w:sz w:val="18"/>
        </w:rPr>
        <w:t> </w:t>
      </w:r>
      <w:r>
        <w:rPr>
          <w:sz w:val="18"/>
        </w:rPr>
        <w:t>2017 Volumen:</w:t>
      </w:r>
      <w:r>
        <w:rPr>
          <w:spacing w:val="3"/>
          <w:sz w:val="18"/>
        </w:rPr>
        <w:t> </w:t>
      </w:r>
      <w:r>
        <w:rPr>
          <w:sz w:val="18"/>
        </w:rPr>
        <w:t>2  </w:t>
      </w:r>
      <w:r>
        <w:rPr>
          <w:spacing w:val="48"/>
          <w:sz w:val="18"/>
        </w:rPr>
        <w:t> </w:t>
      </w:r>
      <w:r>
        <w:rPr>
          <w:sz w:val="18"/>
        </w:rPr>
        <w:t>–</w:t>
        <w:tab/>
        <w:t>Numero:3</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669" w:right="4664" w:firstLine="0"/>
        <w:jc w:val="center"/>
        <w:rPr>
          <w:sz w:val="18"/>
        </w:rPr>
      </w:pPr>
      <w:r>
        <w:rPr>
          <w:sz w:val="18"/>
        </w:rPr>
        <w:t>Sabana Sur, San José-Costa Rica Teléfono: 8668002</w:t>
      </w:r>
    </w:p>
    <w:p>
      <w:pPr>
        <w:spacing w:before="13"/>
        <w:ind w:left="1735" w:right="1732"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40504"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p>
      <w:pPr>
        <w:pStyle w:val="BodyText"/>
        <w:spacing w:before="1"/>
        <w:ind w:left="1440"/>
      </w:pPr>
      <w:r>
        <w:rPr/>
        <w:t>Randall Quirós Fallas</w:t>
      </w:r>
    </w:p>
    <w:p>
      <w:pPr>
        <w:pStyle w:val="BodyText"/>
        <w:spacing w:before="127"/>
        <w:ind w:left="1440"/>
      </w:pPr>
      <w:r>
        <w:rPr/>
        <w:t>Médico General. Universidad de Iberoamérica. San José - Costa Rica</w:t>
      </w:r>
    </w:p>
    <w:p>
      <w:pPr>
        <w:pStyle w:val="BodyText"/>
        <w:rPr>
          <w:sz w:val="24"/>
        </w:rPr>
      </w:pPr>
    </w:p>
    <w:p>
      <w:pPr>
        <w:pStyle w:val="BodyText"/>
        <w:rPr>
          <w:sz w:val="24"/>
        </w:rPr>
      </w:pPr>
    </w:p>
    <w:p>
      <w:pPr>
        <w:pStyle w:val="BodyText"/>
        <w:rPr>
          <w:sz w:val="24"/>
        </w:rPr>
      </w:pPr>
    </w:p>
    <w:p>
      <w:pPr>
        <w:pStyle w:val="BodyText"/>
        <w:spacing w:before="7"/>
        <w:rPr>
          <w:sz w:val="33"/>
        </w:rPr>
      </w:pPr>
    </w:p>
    <w:p>
      <w:pPr>
        <w:pStyle w:val="BodyText"/>
        <w:spacing w:before="1"/>
        <w:ind w:left="1440"/>
      </w:pPr>
      <w:r>
        <w:rPr/>
        <w:t>Fernanda Bolaños Solís</w:t>
      </w:r>
    </w:p>
    <w:p>
      <w:pPr>
        <w:pStyle w:val="BodyText"/>
        <w:spacing w:before="127"/>
        <w:ind w:left="1440"/>
      </w:pPr>
      <w:r>
        <w:rPr/>
        <w:t>Médico General. Universidad Autónoma de Centro América.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3"/>
        </w:rPr>
      </w:pPr>
    </w:p>
    <w:p>
      <w:pPr>
        <w:pStyle w:val="BodyText"/>
        <w:ind w:left="1440"/>
      </w:pPr>
      <w:r>
        <w:rPr/>
        <w:t>Leidy Vásquez Valerio</w:t>
      </w:r>
    </w:p>
    <w:p>
      <w:pPr>
        <w:pStyle w:val="BodyText"/>
        <w:spacing w:before="127"/>
        <w:ind w:left="1440"/>
      </w:pPr>
      <w:r>
        <w:rPr/>
        <w:t>Médico General. Universidad Internacional de las Américas.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7"/>
        <w:rPr>
          <w:sz w:val="34"/>
        </w:rPr>
      </w:pPr>
    </w:p>
    <w:p>
      <w:pPr>
        <w:pStyle w:val="BodyText"/>
        <w:ind w:left="1440"/>
      </w:pPr>
      <w:r>
        <w:rPr/>
        <w:t>Andrés Calderón Obando</w:t>
      </w:r>
    </w:p>
    <w:p>
      <w:pPr>
        <w:pStyle w:val="BodyText"/>
        <w:spacing w:before="127"/>
        <w:ind w:left="1440"/>
      </w:pPr>
      <w:r>
        <w:rPr/>
        <w:t>Médico General. Universidad de Iberoamérica. San José –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spacing w:line="259" w:lineRule="auto" w:before="0"/>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footerReference w:type="even" r:id="rId34"/>
          <w:footerReference w:type="default" r:id="rId35"/>
          <w:pgSz w:w="12240" w:h="15840"/>
          <w:pgMar w:footer="872" w:header="0" w:top="1320" w:bottom="1060" w:left="0" w:right="0"/>
          <w:pgNumType w:start="2"/>
        </w:sectPr>
      </w:pPr>
    </w:p>
    <w:p>
      <w:pPr>
        <w:spacing w:line="400" w:lineRule="atLeast" w:before="42"/>
        <w:ind w:left="1928" w:right="-13" w:hanging="268"/>
        <w:jc w:val="left"/>
        <w:rPr>
          <w:sz w:val="16"/>
        </w:rPr>
      </w:pPr>
      <w:r>
        <w:rPr>
          <w:sz w:val="16"/>
        </w:rPr>
        <w:t>Revista Médica</w:t>
      </w:r>
      <w:r>
        <w:rPr>
          <w:spacing w:val="-11"/>
          <w:sz w:val="16"/>
        </w:rPr>
        <w:t> </w:t>
      </w:r>
      <w:r>
        <w:rPr>
          <w:sz w:val="16"/>
        </w:rPr>
        <w:t>Sinergia ISSN</w:t>
      </w:r>
      <w:r>
        <w:rPr>
          <w:spacing w:val="-1"/>
          <w:sz w:val="16"/>
        </w:rPr>
        <w:t> </w:t>
      </w:r>
      <w:r>
        <w:rPr>
          <w:sz w:val="16"/>
        </w:rPr>
        <w:t>2215-4523</w:t>
      </w:r>
    </w:p>
    <w:p>
      <w:pPr>
        <w:spacing w:line="261" w:lineRule="auto" w:before="11"/>
        <w:ind w:left="1760" w:right="0" w:firstLine="319"/>
        <w:jc w:val="left"/>
        <w:rPr>
          <w:sz w:val="16"/>
        </w:rPr>
      </w:pPr>
      <w:r>
        <w:rPr>
          <w:sz w:val="16"/>
        </w:rPr>
        <w:t>Vol.2 Num:3 Marzo 2017 pp:3 - 7</w:t>
      </w:r>
    </w:p>
    <w:p>
      <w:pPr>
        <w:pStyle w:val="Heading3"/>
        <w:spacing w:line="276" w:lineRule="auto"/>
        <w:ind w:right="1546"/>
      </w:pPr>
      <w:r>
        <w:rPr>
          <w:b w:val="0"/>
        </w:rPr>
        <w:br w:type="column"/>
      </w:r>
      <w:r>
        <w:rPr/>
        <w:t>NUEVOS TRATAMIENTOS DE ANTICOAGULACIÓN EN FIBRILACIÓN ATRIAL</w:t>
      </w:r>
    </w:p>
    <w:p>
      <w:pPr>
        <w:spacing w:before="2"/>
        <w:ind w:left="437" w:right="1537" w:firstLine="0"/>
        <w:jc w:val="center"/>
        <w:rPr>
          <w:sz w:val="20"/>
        </w:rPr>
      </w:pPr>
      <w:r>
        <w:rPr/>
        <w:pict>
          <v:group style="position:absolute;margin-left:73.800003pt;margin-top:-27.540089pt;width:465.45pt;height:398.6pt;mso-position-horizontal-relative:page;mso-position-vertical-relative:paragraph;z-index:-40480" coordorigin="1476,-551" coordsize="9309,7972">
            <v:shape style="position:absolute;left:3570;top:953;width:7215;height:6465" type="#_x0000_t75" stroked="false">
              <v:imagedata r:id="rId37" o:title=""/>
            </v:shape>
            <v:shape style="position:absolute;left:1476;top:-551;width:2088;height:7972" type="#_x0000_t75" stroked="false">
              <v:imagedata r:id="rId38" o:title=""/>
            </v:shape>
            <w10:wrap type="none"/>
          </v:group>
        </w:pict>
      </w:r>
      <w:r>
        <w:rPr>
          <w:sz w:val="20"/>
        </w:rPr>
        <w:t>(NEW ANTICOAGULATIO FOR ATRIAL FIBRILLATION)</w:t>
      </w:r>
    </w:p>
    <w:p>
      <w:pPr>
        <w:pStyle w:val="BodyText"/>
        <w:spacing w:before="1"/>
        <w:rPr>
          <w:sz w:val="20"/>
        </w:rPr>
      </w:pPr>
    </w:p>
    <w:p>
      <w:pPr>
        <w:pStyle w:val="BodyText"/>
        <w:ind w:left="5137"/>
      </w:pPr>
      <w:r>
        <w:rPr/>
        <w:t>* Randall Quirós Fallas</w:t>
      </w:r>
    </w:p>
    <w:p>
      <w:pPr>
        <w:spacing w:after="0"/>
        <w:sectPr>
          <w:pgSz w:w="12240" w:h="15840"/>
          <w:pgMar w:header="0" w:footer="882" w:top="1360" w:bottom="1080" w:left="0" w:right="0"/>
          <w:cols w:num="2" w:equalWidth="0">
            <w:col w:w="3382" w:space="40"/>
            <w:col w:w="8818"/>
          </w:cols>
        </w:sectPr>
      </w:pPr>
    </w:p>
    <w:p>
      <w:pPr>
        <w:pStyle w:val="BodyText"/>
        <w:spacing w:before="4"/>
        <w:rPr>
          <w:sz w:val="19"/>
        </w:rPr>
      </w:pPr>
    </w:p>
    <w:p>
      <w:pPr>
        <w:pStyle w:val="BodyText"/>
        <w:spacing w:line="252" w:lineRule="exact" w:before="93"/>
        <w:ind w:left="3721"/>
      </w:pPr>
      <w:r>
        <w:rPr/>
        <w:t>RESUMEN</w:t>
      </w:r>
    </w:p>
    <w:p>
      <w:pPr>
        <w:pStyle w:val="BodyText"/>
        <w:spacing w:line="276" w:lineRule="auto"/>
        <w:ind w:left="3721" w:right="1588"/>
        <w:jc w:val="both"/>
      </w:pPr>
      <w:r>
        <w:rPr/>
        <w:t>La fibrilación auricular es una arritmia supraventricular. </w:t>
      </w:r>
      <w:r>
        <w:rPr>
          <w:spacing w:val="1"/>
        </w:rPr>
        <w:t>El </w:t>
      </w:r>
      <w:r>
        <w:rPr/>
        <w:t>ictus isquémico es </w:t>
      </w:r>
      <w:r>
        <w:rPr>
          <w:spacing w:val="-3"/>
        </w:rPr>
        <w:t>la </w:t>
      </w:r>
      <w:r>
        <w:rPr/>
        <w:t>manifestación clínica más frecuente de </w:t>
      </w:r>
      <w:r>
        <w:rPr>
          <w:spacing w:val="-3"/>
        </w:rPr>
        <w:t>la </w:t>
      </w:r>
      <w:r>
        <w:rPr/>
        <w:t>embolización asociada con </w:t>
      </w:r>
      <w:r>
        <w:rPr>
          <w:spacing w:val="-3"/>
        </w:rPr>
        <w:t>la </w:t>
      </w:r>
      <w:r>
        <w:rPr/>
        <w:t>Fibilacion auricular, también puede producir una embolización a otras localizaciones de </w:t>
      </w:r>
      <w:r>
        <w:rPr>
          <w:spacing w:val="-3"/>
        </w:rPr>
        <w:t>la </w:t>
      </w:r>
      <w:r>
        <w:rPr/>
        <w:t>circulación sistémica y pulmonar. se usa diferentes estrategias de anticoagulación para evitar </w:t>
      </w:r>
      <w:r>
        <w:rPr>
          <w:spacing w:val="-3"/>
        </w:rPr>
        <w:t>la </w:t>
      </w:r>
      <w:r>
        <w:rPr/>
        <w:t>formación de</w:t>
      </w:r>
      <w:r>
        <w:rPr>
          <w:spacing w:val="2"/>
        </w:rPr>
        <w:t> </w:t>
      </w:r>
      <w:r>
        <w:rPr/>
        <w:t>trombos.</w:t>
      </w:r>
    </w:p>
    <w:p>
      <w:pPr>
        <w:pStyle w:val="BodyText"/>
        <w:spacing w:before="3"/>
        <w:rPr>
          <w:sz w:val="25"/>
        </w:rPr>
      </w:pPr>
    </w:p>
    <w:p>
      <w:pPr>
        <w:pStyle w:val="BodyText"/>
        <w:ind w:left="3721"/>
      </w:pPr>
      <w:r>
        <w:rPr/>
        <w:t>DESCRIPTORES</w:t>
      </w:r>
    </w:p>
    <w:p>
      <w:pPr>
        <w:pStyle w:val="BodyText"/>
        <w:spacing w:line="276" w:lineRule="auto" w:before="38"/>
        <w:ind w:left="3721" w:right="2213"/>
      </w:pPr>
      <w:r>
        <w:rPr/>
        <w:t>Anticoagulación, fibrilación atrial, warfarina, ácido acetilsalicílico, vitamina K.</w:t>
      </w:r>
    </w:p>
    <w:p>
      <w:pPr>
        <w:pStyle w:val="BodyText"/>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8"/>
        </w:rPr>
      </w:pPr>
    </w:p>
    <w:p>
      <w:pPr>
        <w:spacing w:line="276" w:lineRule="auto" w:before="0"/>
        <w:ind w:left="1476" w:right="-13" w:firstLine="0"/>
        <w:jc w:val="left"/>
        <w:rPr>
          <w:sz w:val="16"/>
        </w:rPr>
      </w:pPr>
      <w:r>
        <w:rPr>
          <w:sz w:val="16"/>
        </w:rPr>
        <w:t>*Médico General. Universidad de</w:t>
      </w:r>
      <w:r>
        <w:rPr>
          <w:spacing w:val="-12"/>
          <w:sz w:val="16"/>
        </w:rPr>
        <w:t> </w:t>
      </w:r>
      <w:r>
        <w:rPr>
          <w:sz w:val="16"/>
        </w:rPr>
        <w:t>Iberoamérica (UNIBE) San José - Costa Rica</w:t>
      </w:r>
    </w:p>
    <w:p>
      <w:pPr>
        <w:pStyle w:val="BodyText"/>
        <w:spacing w:before="94"/>
        <w:ind w:left="164"/>
      </w:pPr>
      <w:r>
        <w:rPr/>
        <w:br w:type="column"/>
      </w:r>
      <w:r>
        <w:rPr/>
        <w:t>SUMMARY:</w:t>
      </w:r>
    </w:p>
    <w:p>
      <w:pPr>
        <w:pStyle w:val="BodyText"/>
        <w:spacing w:line="276" w:lineRule="auto" w:before="39"/>
        <w:ind w:left="164" w:right="1589"/>
      </w:pPr>
      <w:r>
        <w:rPr/>
        <w:t>Atrial fibrillation is a supraventricular arrhythmia. Ischemic stroke is the most frequent clinical manifestation of the embolization associated with atrial fibrillation, it can also produce an embolization to other locations of the systemic and pulmonary circulation. Different anticoagulation strategies are used to prevent the formation of thrombi.</w:t>
      </w:r>
    </w:p>
    <w:p>
      <w:pPr>
        <w:pStyle w:val="BodyText"/>
        <w:spacing w:before="2"/>
        <w:rPr>
          <w:sz w:val="25"/>
        </w:rPr>
      </w:pPr>
    </w:p>
    <w:p>
      <w:pPr>
        <w:pStyle w:val="BodyText"/>
        <w:ind w:left="164"/>
      </w:pPr>
      <w:r>
        <w:rPr/>
        <w:t>KEYWORDS</w:t>
      </w:r>
    </w:p>
    <w:p>
      <w:pPr>
        <w:pStyle w:val="BodyText"/>
        <w:spacing w:line="276" w:lineRule="auto" w:before="39"/>
        <w:ind w:left="164" w:right="1761"/>
      </w:pPr>
      <w:r>
        <w:rPr/>
        <w:t>Anticoagulation, atrial fibrillation, warfarin, acetylsalicylic acid, vitamin K.</w:t>
      </w:r>
    </w:p>
    <w:p>
      <w:pPr>
        <w:spacing w:after="0" w:line="276" w:lineRule="auto"/>
        <w:sectPr>
          <w:type w:val="continuous"/>
          <w:pgSz w:w="12240" w:h="15840"/>
          <w:pgMar w:top="1500" w:bottom="0" w:left="0" w:right="0"/>
          <w:cols w:num="2" w:equalWidth="0">
            <w:col w:w="3517" w:space="40"/>
            <w:col w:w="8683"/>
          </w:cols>
        </w:sectPr>
      </w:pPr>
    </w:p>
    <w:p>
      <w:pPr>
        <w:pStyle w:val="BodyText"/>
        <w:spacing w:before="5"/>
        <w:rPr>
          <w:sz w:val="29"/>
        </w:rPr>
      </w:pPr>
    </w:p>
    <w:p>
      <w:pPr>
        <w:pStyle w:val="Heading4"/>
      </w:pPr>
      <w:r>
        <w:rPr/>
        <w:t>INTRODUCCION</w:t>
      </w:r>
    </w:p>
    <w:p>
      <w:pPr>
        <w:pStyle w:val="BodyText"/>
        <w:spacing w:before="4"/>
        <w:rPr>
          <w:b/>
          <w:sz w:val="21"/>
        </w:rPr>
      </w:pPr>
    </w:p>
    <w:p>
      <w:pPr>
        <w:pStyle w:val="BodyText"/>
        <w:spacing w:line="276" w:lineRule="auto"/>
        <w:ind w:left="1440"/>
        <w:jc w:val="both"/>
      </w:pPr>
      <w:r>
        <w:rPr/>
        <w:t>La fibrilación auricular (FA) es una arritmia supraventricular que se caracteriza electrocardiográficamente por oscilaciones basales de baja amplitud (fibrilatorias u ondas f) y por un ritmo ventricular irregularmente irregular. Las ondas f tienen una frecuencia de 300 a 600 latidos/min y varían en cuanto a amplitud, forma y duración. Por el contrario, las ondas de aleteo poseen una frecuencia de 250 a 350 latidos/min y son constantes en cuanto a duración y morfología. En la derivación V1, las ondas f se muestran uniformes y</w:t>
      </w:r>
    </w:p>
    <w:p>
      <w:pPr>
        <w:pStyle w:val="BodyText"/>
        <w:spacing w:line="276" w:lineRule="auto" w:before="109"/>
        <w:ind w:left="675" w:right="1430"/>
        <w:jc w:val="both"/>
      </w:pPr>
      <w:r>
        <w:rPr/>
        <w:br w:type="column"/>
      </w:r>
      <w:r>
        <w:rPr/>
        <w:t>pueden imitar a las ondas de aleteo. El rasgo diferencial respecto del aleteo auricular es la ausencia de actividad auricular uniforme y regular en las otras derivaciones del electrocardiograma. En algunos pacientes, las ondas f son muy pequeñas e imperceptibles en el electrocardiograma.</w:t>
      </w:r>
    </w:p>
    <w:p>
      <w:pPr>
        <w:pStyle w:val="BodyText"/>
        <w:rPr>
          <w:sz w:val="21"/>
        </w:rPr>
      </w:pPr>
    </w:p>
    <w:p>
      <w:pPr>
        <w:pStyle w:val="BodyText"/>
        <w:spacing w:line="276" w:lineRule="auto"/>
        <w:ind w:left="675" w:right="1430"/>
        <w:jc w:val="both"/>
      </w:pPr>
      <w:r>
        <w:rPr/>
        <w:t>En estos pacientes, el diagnóstico de FA se basa en el ritmo ventricular irregularmente irregular. La Fibrilación (FA) es la arritmia más frecuente que se trata en la práctica clínica y la arritmia más frecuente por la que los pacientes son hospitalizados; aproximadamente, el 33% de las</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headerReference w:type="even" r:id="rId39"/>
          <w:pgSz w:w="12240" w:h="15840"/>
          <w:pgMar w:header="723" w:footer="872" w:top="940" w:bottom="1060" w:left="0" w:right="0"/>
        </w:sectPr>
      </w:pPr>
    </w:p>
    <w:p>
      <w:pPr>
        <w:pStyle w:val="BodyText"/>
        <w:spacing w:before="8"/>
      </w:pPr>
    </w:p>
    <w:p>
      <w:pPr>
        <w:pStyle w:val="BodyText"/>
        <w:spacing w:line="276" w:lineRule="auto"/>
        <w:ind w:left="1440" w:right="3"/>
        <w:jc w:val="both"/>
      </w:pPr>
      <w:r>
        <w:rPr/>
        <w:t>hospitalizaciones asociadas a arritmia se deben a FA. De forma aproximada, </w:t>
      </w:r>
      <w:r>
        <w:rPr>
          <w:spacing w:val="-3"/>
        </w:rPr>
        <w:t>la </w:t>
      </w:r>
      <w:r>
        <w:rPr/>
        <w:t>FA quintuplica el riesgo de accidente cerebrovascular (ACV) y duplica el riesgo de mortalidad por cualquier causa. La FA se asocia también a insuficiencia</w:t>
      </w:r>
      <w:r>
        <w:rPr>
          <w:spacing w:val="-7"/>
        </w:rPr>
        <w:t> </w:t>
      </w:r>
      <w:r>
        <w:rPr/>
        <w:t>cardíaca.</w:t>
      </w:r>
    </w:p>
    <w:p>
      <w:pPr>
        <w:pStyle w:val="BodyText"/>
        <w:spacing w:line="276" w:lineRule="auto" w:before="157"/>
        <w:ind w:left="1440"/>
        <w:jc w:val="both"/>
      </w:pPr>
      <w:r>
        <w:rPr/>
        <w:t>El desarrollo y la posterior embolización de los trombos auriculares puede ocurrir con cualquier forma (es decir, paroxística, persistente o permanente) de fibrilación auricular (FA). Si bien el ictus isquémico es la manifestación clínica más frecuente de la embolización asociada con la FA, también puede producir una embolización a otras localizaciones de la circulación sistémica y pulmonar, pero es menos reconocida.</w:t>
      </w:r>
    </w:p>
    <w:p>
      <w:pPr>
        <w:pStyle w:val="BodyText"/>
        <w:rPr>
          <w:sz w:val="21"/>
        </w:rPr>
      </w:pPr>
    </w:p>
    <w:p>
      <w:pPr>
        <w:pStyle w:val="BodyText"/>
        <w:spacing w:line="276" w:lineRule="auto"/>
        <w:ind w:left="1440"/>
        <w:jc w:val="both"/>
      </w:pPr>
      <w:r>
        <w:rPr/>
        <w:t>Es por ello que se utilizan diferentes estrategias de anticoagulación para evitar </w:t>
      </w:r>
      <w:r>
        <w:rPr>
          <w:spacing w:val="-5"/>
        </w:rPr>
        <w:t>la </w:t>
      </w:r>
      <w:r>
        <w:rPr/>
        <w:t>formación de trombos, en </w:t>
      </w:r>
      <w:r>
        <w:rPr>
          <w:spacing w:val="-3"/>
        </w:rPr>
        <w:t>lo </w:t>
      </w:r>
      <w:r>
        <w:rPr/>
        <w:t>que ha avanzado mucho en los últimos años ya que se establecen nuevas estrategias de anticoagulación.</w:t>
      </w:r>
    </w:p>
    <w:p>
      <w:pPr>
        <w:pStyle w:val="BodyText"/>
        <w:spacing w:before="9"/>
        <w:rPr>
          <w:sz w:val="20"/>
        </w:rPr>
      </w:pPr>
    </w:p>
    <w:p>
      <w:pPr>
        <w:pStyle w:val="Heading4"/>
        <w:tabs>
          <w:tab w:pos="5429" w:val="left" w:leader="none"/>
        </w:tabs>
        <w:jc w:val="both"/>
      </w:pPr>
      <w:r>
        <w:rPr/>
        <w:t>ESTRATEGIAS</w:t>
        <w:tab/>
        <w:t>DE</w:t>
      </w:r>
    </w:p>
    <w:p>
      <w:pPr>
        <w:spacing w:before="40"/>
        <w:ind w:left="1440" w:right="0" w:firstLine="0"/>
        <w:jc w:val="both"/>
        <w:rPr>
          <w:b/>
          <w:sz w:val="24"/>
        </w:rPr>
      </w:pPr>
      <w:r>
        <w:rPr>
          <w:b/>
          <w:sz w:val="24"/>
        </w:rPr>
        <w:t>ANTICOAGULACION</w:t>
      </w:r>
    </w:p>
    <w:p>
      <w:pPr>
        <w:pStyle w:val="BodyText"/>
        <w:spacing w:before="10"/>
        <w:rPr>
          <w:b/>
          <w:sz w:val="24"/>
        </w:rPr>
      </w:pPr>
    </w:p>
    <w:p>
      <w:pPr>
        <w:pStyle w:val="BodyText"/>
        <w:tabs>
          <w:tab w:pos="3204" w:val="left" w:leader="none"/>
          <w:tab w:pos="5593" w:val="left" w:leader="none"/>
        </w:tabs>
        <w:spacing w:line="276" w:lineRule="auto"/>
        <w:ind w:left="1440"/>
        <w:jc w:val="both"/>
      </w:pPr>
      <w:r>
        <w:rPr/>
        <w:t>Un esquema clínico sencillo de graduación del riesgo en pacientes, tomando como base los factores de riesgo principales es </w:t>
      </w:r>
      <w:r>
        <w:rPr>
          <w:spacing w:val="-5"/>
        </w:rPr>
        <w:t>la </w:t>
      </w:r>
      <w:r>
        <w:rPr/>
        <w:t>puntuación</w:t>
        <w:tab/>
        <w:t>CHA2DS2-VASc;</w:t>
        <w:tab/>
      </w:r>
      <w:r>
        <w:rPr>
          <w:spacing w:val="-5"/>
        </w:rPr>
        <w:t>la </w:t>
      </w:r>
      <w:r>
        <w:rPr/>
        <w:t>insuficiencia cardíaca, hipertensión, diabetes, enfermedad vascular, edad de 65 a 74 y sexo femenino reciben 1 punto cada uno, mientras que </w:t>
      </w:r>
      <w:r>
        <w:rPr>
          <w:spacing w:val="-3"/>
        </w:rPr>
        <w:t>la </w:t>
      </w:r>
      <w:r>
        <w:rPr/>
        <w:t>edad igual o superior</w:t>
      </w:r>
      <w:r>
        <w:rPr>
          <w:spacing w:val="15"/>
        </w:rPr>
        <w:t> </w:t>
      </w:r>
      <w:r>
        <w:rPr/>
        <w:t>a</w:t>
      </w:r>
    </w:p>
    <w:p>
      <w:pPr>
        <w:pStyle w:val="BodyText"/>
        <w:spacing w:line="273" w:lineRule="auto" w:before="1"/>
        <w:ind w:left="1440" w:right="1"/>
        <w:jc w:val="both"/>
      </w:pPr>
      <w:r>
        <w:rPr/>
        <w:t>75 años y ACV o accidente isquémico transitorio previo valen 2 puntos.</w:t>
      </w:r>
    </w:p>
    <w:p>
      <w:pPr>
        <w:pStyle w:val="BodyText"/>
        <w:spacing w:before="2"/>
        <w:rPr>
          <w:sz w:val="21"/>
        </w:rPr>
      </w:pPr>
    </w:p>
    <w:p>
      <w:pPr>
        <w:pStyle w:val="BodyText"/>
        <w:spacing w:line="276" w:lineRule="auto"/>
        <w:ind w:left="1440"/>
        <w:jc w:val="both"/>
      </w:pPr>
      <w:r>
        <w:rPr/>
        <w:t>Muchas estrategias antitrombóticas (anticoagulantes y antiagregantes) se han evaluado en ensayos clínicos. Estos ensayos y sus meta análisis han demostrado que entre los pacientes con fibrilación auricular (FA) de moderado a alto</w:t>
      </w:r>
    </w:p>
    <w:p>
      <w:pPr>
        <w:pStyle w:val="BodyText"/>
        <w:spacing w:before="8"/>
      </w:pPr>
      <w:r>
        <w:rPr/>
        <w:br w:type="column"/>
      </w:r>
      <w:r>
        <w:rPr/>
      </w:r>
    </w:p>
    <w:p>
      <w:pPr>
        <w:pStyle w:val="BodyText"/>
        <w:spacing w:line="276" w:lineRule="auto"/>
        <w:ind w:left="675" w:right="1429"/>
        <w:jc w:val="both"/>
      </w:pPr>
      <w:r>
        <w:rPr/>
        <w:t>riesgo de eventos tromboembólicos (escala CHA2DS2-VASc puntaje de estratificación de riesgo ≥2), la warfarina una de ellas, reduce significativamente la incidencia de accidente cerebrovascular clínico con un riesgo aceptable de sangrado en comparación con placebo.</w:t>
      </w:r>
    </w:p>
    <w:p>
      <w:pPr>
        <w:pStyle w:val="BodyText"/>
        <w:spacing w:before="8"/>
        <w:rPr>
          <w:sz w:val="20"/>
        </w:rPr>
      </w:pPr>
    </w:p>
    <w:p>
      <w:pPr>
        <w:pStyle w:val="Heading4"/>
        <w:tabs>
          <w:tab w:pos="4313" w:val="left" w:leader="none"/>
        </w:tabs>
        <w:spacing w:line="276" w:lineRule="auto"/>
        <w:ind w:left="675" w:right="1440"/>
        <w:jc w:val="both"/>
      </w:pPr>
      <w:r>
        <w:rPr/>
        <w:t>ANTICOAGULACION</w:t>
        <w:tab/>
      </w:r>
      <w:r>
        <w:rPr>
          <w:spacing w:val="-1"/>
        </w:rPr>
        <w:t>ORAL </w:t>
      </w:r>
      <w:r>
        <w:rPr/>
        <w:t>ORDINARIA</w:t>
      </w:r>
    </w:p>
    <w:p>
      <w:pPr>
        <w:pStyle w:val="BodyText"/>
        <w:spacing w:before="4"/>
        <w:rPr>
          <w:b/>
          <w:sz w:val="21"/>
        </w:rPr>
      </w:pPr>
    </w:p>
    <w:p>
      <w:pPr>
        <w:pStyle w:val="Heading5"/>
        <w:spacing w:line="278" w:lineRule="auto"/>
        <w:ind w:left="675" w:right="1432"/>
      </w:pPr>
      <w:r>
        <w:rPr>
          <w:i/>
        </w:rPr>
        <w:t>Ácido acetilsalicílico (AAS) y otros </w:t>
      </w:r>
      <w:r>
        <w:rPr/>
        <w:t>antitrombóticos</w:t>
      </w:r>
    </w:p>
    <w:p>
      <w:pPr>
        <w:pStyle w:val="BodyText"/>
        <w:spacing w:before="5"/>
        <w:rPr>
          <w:b/>
          <w:i/>
          <w:sz w:val="20"/>
        </w:rPr>
      </w:pPr>
    </w:p>
    <w:p>
      <w:pPr>
        <w:pStyle w:val="BodyText"/>
        <w:spacing w:line="276" w:lineRule="auto"/>
        <w:ind w:left="675" w:right="1430"/>
        <w:jc w:val="both"/>
      </w:pPr>
      <w:r>
        <w:rPr/>
        <w:t>El ácido acetilsalicílico no previene las complicaciones tromboembólicas tan eficazmente como la warfarina en pacientes con FA. En un meta análisis de cinco estudios clínicos aleatorizados, el ácido acetilsalicílico reducía el riesgo de ACV solo en un 18%. En un estudio reciente de cohortes de gran tamaño de pacientes con FA no valvular, el ácido acetilsalicílico no resultó eficaz para prevenir ACV. Por tanto, si se usa este compuesto como tratamiento profiláctico, solo debería emplearse en los pacientes con el riesgo más bajo de complicaciones tromboembólicas (índice CHA2DS2- VASc de 0).</w:t>
      </w:r>
    </w:p>
    <w:p>
      <w:pPr>
        <w:pStyle w:val="BodyText"/>
        <w:spacing w:before="7"/>
        <w:rPr>
          <w:sz w:val="20"/>
        </w:rPr>
      </w:pPr>
    </w:p>
    <w:p>
      <w:pPr>
        <w:pStyle w:val="BodyText"/>
        <w:spacing w:line="276" w:lineRule="auto"/>
        <w:ind w:left="675" w:right="1432"/>
        <w:jc w:val="both"/>
      </w:pPr>
      <w:r>
        <w:rPr/>
        <w:t>En caso de usar ácido acetilsalicílico para la prevención de ACV en pacientes con FA, la dosis adecuada es 81-325 mg/día. No hay datos disponibles que indiquen la superioridad de una dosis concreta en la prevención de tromboembolias.</w:t>
      </w:r>
    </w:p>
    <w:p>
      <w:pPr>
        <w:pStyle w:val="BodyText"/>
        <w:rPr>
          <w:sz w:val="21"/>
        </w:rPr>
      </w:pPr>
    </w:p>
    <w:p>
      <w:pPr>
        <w:pStyle w:val="BodyText"/>
        <w:ind w:left="675"/>
        <w:jc w:val="both"/>
      </w:pPr>
      <w:r>
        <w:rPr/>
        <w:t>En pacientes con una puntuación CHADS2</w:t>
      </w:r>
    </w:p>
    <w:p>
      <w:pPr>
        <w:pStyle w:val="BodyText"/>
        <w:spacing w:line="276" w:lineRule="auto" w:before="35"/>
        <w:ind w:left="675" w:right="1427"/>
        <w:jc w:val="both"/>
      </w:pPr>
      <w:r>
        <w:rPr/>
        <w:t>&gt;1, que no toleren el tratamiento anticoagulante con warfarina, la terapéutica combinada de ácido acetilsalicílico y del inhibidor plaquetario clopidogrel es más eficaz que solo ácido acetilsalicílico para prevenir complicaciones tromboembólicas.</w:t>
      </w:r>
    </w:p>
    <w:p>
      <w:pPr>
        <w:spacing w:after="0" w:line="276" w:lineRule="auto"/>
        <w:jc w:val="both"/>
        <w:sectPr>
          <w:type w:val="continuous"/>
          <w:pgSz w:w="12240" w:h="15840"/>
          <w:pgMar w:top="1500" w:bottom="0" w:left="0" w:right="0"/>
          <w:cols w:num="2" w:equalWidth="0">
            <w:col w:w="5767" w:space="40"/>
            <w:col w:w="6433"/>
          </w:cols>
        </w:sectPr>
      </w:pPr>
    </w:p>
    <w:p>
      <w:pPr>
        <w:spacing w:before="76"/>
        <w:ind w:left="1520" w:right="0" w:firstLine="0"/>
        <w:jc w:val="left"/>
        <w:rPr>
          <w:i/>
          <w:sz w:val="20"/>
        </w:rPr>
      </w:pPr>
      <w:r>
        <w:rPr>
          <w:i/>
          <w:color w:val="2D74B5"/>
          <w:sz w:val="20"/>
        </w:rPr>
        <w:t>NUEVOS TRATAMIENTOS DE ANTICOAGULACIÓN EN FIBRILACIÓN ATRIAL - Randall Quiroz Fallas</w:t>
      </w:r>
    </w:p>
    <w:p>
      <w:pPr>
        <w:pStyle w:val="BodyText"/>
        <w:rPr>
          <w:i/>
          <w:sz w:val="20"/>
        </w:rPr>
      </w:pPr>
    </w:p>
    <w:p>
      <w:pPr>
        <w:spacing w:after="0"/>
        <w:rPr>
          <w:sz w:val="20"/>
        </w:rPr>
        <w:sectPr>
          <w:headerReference w:type="default" r:id="rId40"/>
          <w:pgSz w:w="12240" w:h="15840"/>
          <w:pgMar w:header="0" w:footer="882" w:top="640" w:bottom="1080" w:left="0" w:right="0"/>
        </w:sectPr>
      </w:pPr>
    </w:p>
    <w:p>
      <w:pPr>
        <w:pStyle w:val="BodyText"/>
        <w:spacing w:before="8"/>
        <w:rPr>
          <w:i/>
        </w:rPr>
      </w:pPr>
    </w:p>
    <w:p>
      <w:pPr>
        <w:pStyle w:val="Heading5"/>
        <w:rPr>
          <w:i/>
        </w:rPr>
      </w:pPr>
      <w:r>
        <w:rPr>
          <w:i/>
        </w:rPr>
        <w:t>Warfarina</w:t>
      </w:r>
    </w:p>
    <w:p>
      <w:pPr>
        <w:pStyle w:val="BodyText"/>
        <w:spacing w:before="2"/>
        <w:rPr>
          <w:b/>
          <w:i/>
          <w:sz w:val="24"/>
        </w:rPr>
      </w:pPr>
    </w:p>
    <w:p>
      <w:pPr>
        <w:pStyle w:val="BodyText"/>
        <w:spacing w:line="276" w:lineRule="auto" w:before="1"/>
        <w:ind w:left="1440"/>
        <w:jc w:val="both"/>
      </w:pPr>
      <w:r>
        <w:rPr/>
        <w:t>Una meta análisis de los ensayos clínicos aleatorizados principales que comparan el tratamiento con warfarina y con placebo, para la prevención de tromboembolia en pacientes con FA, se ha demostrado que warfarina reduce el riesgo de ACV de todo tipo (isquémico y hemorrágico) en un 61%.</w:t>
      </w:r>
    </w:p>
    <w:p>
      <w:pPr>
        <w:pStyle w:val="BodyText"/>
        <w:rPr>
          <w:sz w:val="21"/>
        </w:rPr>
      </w:pPr>
    </w:p>
    <w:p>
      <w:pPr>
        <w:pStyle w:val="BodyText"/>
        <w:spacing w:line="276" w:lineRule="auto"/>
        <w:ind w:left="1440"/>
        <w:jc w:val="both"/>
      </w:pPr>
      <w:r>
        <w:rPr/>
        <w:t>El cociente normalizado internacional (INR) fijada como objetivo debería ser de 2 a 3. Este intervalo de INR proporciona el mejor equilibrio entre la prevención del ACV y las complicaciones hemorrágicas. El mantenimiento de un intervalo terapéutico del INR en la práctica clínica ha sido difícil y un gran número de pacientes presentan a menudo un INR &lt; 2; por lo tanto requiere un control estricto y modificaciones en la dieta</w:t>
      </w:r>
    </w:p>
    <w:p>
      <w:pPr>
        <w:pStyle w:val="BodyText"/>
        <w:spacing w:before="11"/>
        <w:rPr>
          <w:sz w:val="20"/>
        </w:rPr>
      </w:pPr>
    </w:p>
    <w:p>
      <w:pPr>
        <w:pStyle w:val="BodyText"/>
        <w:spacing w:line="276" w:lineRule="auto"/>
        <w:ind w:left="1440"/>
        <w:jc w:val="both"/>
      </w:pPr>
      <w:r>
        <w:rPr/>
        <w:t>Algunas investigaciones señalan que </w:t>
      </w:r>
      <w:r>
        <w:rPr>
          <w:spacing w:val="-5"/>
        </w:rPr>
        <w:t>la </w:t>
      </w:r>
      <w:r>
        <w:rPr/>
        <w:t>edad avanzada puede ser un factor de riesgo de hemorragia intracraneal en pacientes con FA tratados con warfarina. El temor a complicaciones hemorrágicas puede hacer que algunos facultativos se inclinen por el uso de ácido acetil-salicílico, en lugar de warfarina, en los adultos mayores. Sin embargo, datos recientes indican que </w:t>
      </w:r>
      <w:r>
        <w:rPr>
          <w:spacing w:val="-3"/>
        </w:rPr>
        <w:t>la </w:t>
      </w:r>
      <w:r>
        <w:rPr/>
        <w:t>relación entre los beneficios y el riesgo de </w:t>
      </w:r>
      <w:r>
        <w:rPr>
          <w:spacing w:val="-3"/>
        </w:rPr>
        <w:t>la </w:t>
      </w:r>
      <w:r>
        <w:rPr/>
        <w:t>warfarina es más favorable que en el caso del ácido acetilsalicílico, en pacientes de más de 75</w:t>
      </w:r>
      <w:r>
        <w:rPr>
          <w:spacing w:val="-5"/>
        </w:rPr>
        <w:t> </w:t>
      </w:r>
      <w:r>
        <w:rPr/>
        <w:t>años.</w:t>
      </w:r>
    </w:p>
    <w:p>
      <w:pPr>
        <w:pStyle w:val="BodyText"/>
        <w:spacing w:before="8"/>
        <w:rPr>
          <w:sz w:val="20"/>
        </w:rPr>
      </w:pPr>
    </w:p>
    <w:p>
      <w:pPr>
        <w:pStyle w:val="Heading4"/>
        <w:tabs>
          <w:tab w:pos="3348" w:val="left" w:leader="none"/>
        </w:tabs>
        <w:spacing w:line="276" w:lineRule="auto" w:before="1"/>
        <w:ind w:right="6"/>
        <w:jc w:val="both"/>
      </w:pPr>
      <w:r>
        <w:rPr/>
        <w:t>NUEVOS</w:t>
        <w:tab/>
      </w:r>
      <w:r>
        <w:rPr>
          <w:spacing w:val="-1"/>
        </w:rPr>
        <w:t>ANTICOAGULANTES </w:t>
      </w:r>
      <w:r>
        <w:rPr/>
        <w:t>ORALES</w:t>
      </w:r>
    </w:p>
    <w:p>
      <w:pPr>
        <w:pStyle w:val="BodyText"/>
        <w:spacing w:before="1"/>
        <w:rPr>
          <w:b/>
          <w:sz w:val="21"/>
        </w:rPr>
      </w:pPr>
    </w:p>
    <w:p>
      <w:pPr>
        <w:pStyle w:val="BodyText"/>
        <w:spacing w:line="276" w:lineRule="auto"/>
        <w:ind w:left="1440"/>
        <w:jc w:val="both"/>
      </w:pPr>
      <w:r>
        <w:rPr/>
        <w:t>Los inhibidores directos de </w:t>
      </w:r>
      <w:r>
        <w:rPr>
          <w:spacing w:val="-3"/>
        </w:rPr>
        <w:t>la </w:t>
      </w:r>
      <w:r>
        <w:rPr/>
        <w:t>trombina y del factor </w:t>
      </w:r>
      <w:r>
        <w:rPr>
          <w:spacing w:val="-4"/>
        </w:rPr>
        <w:t>Xa </w:t>
      </w:r>
      <w:r>
        <w:rPr/>
        <w:t>tienen varias ventajas respecto a los antagonistas de </w:t>
      </w:r>
      <w:r>
        <w:rPr>
          <w:spacing w:val="-3"/>
        </w:rPr>
        <w:t>la </w:t>
      </w:r>
      <w:r>
        <w:rPr/>
        <w:t>vitamina K como warfarina; </w:t>
      </w:r>
      <w:r>
        <w:rPr>
          <w:spacing w:val="-3"/>
        </w:rPr>
        <w:t>la </w:t>
      </w:r>
      <w:r>
        <w:rPr/>
        <w:t>principal es el régimen de dosis fijas, que elimina </w:t>
      </w:r>
      <w:r>
        <w:rPr>
          <w:spacing w:val="-3"/>
        </w:rPr>
        <w:t>la </w:t>
      </w:r>
      <w:r>
        <w:rPr/>
        <w:t>necesidad de vigilar una prueba de laboratorio como el INR. El dabigatrán, un inhibidor directo de</w:t>
      </w:r>
      <w:r>
        <w:rPr>
          <w:spacing w:val="-13"/>
        </w:rPr>
        <w:t> </w:t>
      </w:r>
      <w:r>
        <w:rPr>
          <w:spacing w:val="-5"/>
        </w:rPr>
        <w:t>la</w:t>
      </w:r>
    </w:p>
    <w:p>
      <w:pPr>
        <w:pStyle w:val="BodyText"/>
        <w:spacing w:before="8"/>
      </w:pPr>
      <w:r>
        <w:rPr/>
        <w:br w:type="column"/>
      </w:r>
      <w:r>
        <w:rPr/>
      </w:r>
    </w:p>
    <w:p>
      <w:pPr>
        <w:pStyle w:val="BodyText"/>
        <w:spacing w:line="276" w:lineRule="auto"/>
        <w:ind w:left="673" w:right="1427"/>
        <w:jc w:val="both"/>
      </w:pPr>
      <w:r>
        <w:rPr/>
        <w:t>trombina oral, y </w:t>
      </w:r>
      <w:r>
        <w:rPr>
          <w:spacing w:val="1"/>
        </w:rPr>
        <w:t>el </w:t>
      </w:r>
      <w:r>
        <w:rPr/>
        <w:t>rivaroxabán, inhibidor del factor </w:t>
      </w:r>
      <w:r>
        <w:rPr>
          <w:spacing w:val="-3"/>
        </w:rPr>
        <w:t>Xa, </w:t>
      </w:r>
      <w:r>
        <w:rPr/>
        <w:t>fueron aprobados por </w:t>
      </w:r>
      <w:r>
        <w:rPr>
          <w:spacing w:val="-3"/>
        </w:rPr>
        <w:t>la </w:t>
      </w:r>
      <w:r>
        <w:rPr/>
        <w:t>Food  and Drug Administration (FDA) para </w:t>
      </w:r>
      <w:r>
        <w:rPr>
          <w:spacing w:val="-5"/>
        </w:rPr>
        <w:t>la </w:t>
      </w:r>
      <w:r>
        <w:rPr/>
        <w:t>prevención de ACV/embolias en pacientes con FA no valvular en 2010 y 2011, respectivamente. Estaba previsto que otro inhibidor del factor </w:t>
      </w:r>
      <w:r>
        <w:rPr>
          <w:spacing w:val="-3"/>
        </w:rPr>
        <w:t>Xa, </w:t>
      </w:r>
      <w:r>
        <w:rPr/>
        <w:t>el apixabán, lograra </w:t>
      </w:r>
      <w:r>
        <w:rPr>
          <w:spacing w:val="-3"/>
        </w:rPr>
        <w:t>la </w:t>
      </w:r>
      <w:r>
        <w:rPr/>
        <w:t>aprobación de </w:t>
      </w:r>
      <w:r>
        <w:rPr>
          <w:spacing w:val="-3"/>
        </w:rPr>
        <w:t>la </w:t>
      </w:r>
      <w:r>
        <w:rPr/>
        <w:t>FDA en 2013. Los estudios clínicos aleatorizados han demostrado que estos tres nuevos anticoagulantes orales son no inferiores o superiores a </w:t>
      </w:r>
      <w:r>
        <w:rPr>
          <w:spacing w:val="-3"/>
        </w:rPr>
        <w:t>la </w:t>
      </w:r>
      <w:r>
        <w:rPr/>
        <w:t>warfarina en cuanto a eficacia y seguridad. Los nuevos anticoagulantes orales, además de eliminar </w:t>
      </w:r>
      <w:r>
        <w:rPr>
          <w:spacing w:val="-3"/>
        </w:rPr>
        <w:t>la </w:t>
      </w:r>
      <w:r>
        <w:rPr/>
        <w:t>necesidad de vigilancia mediante análisis de laboratorio, poseen otras ventajas respecto a </w:t>
      </w:r>
      <w:r>
        <w:rPr>
          <w:spacing w:val="-3"/>
        </w:rPr>
        <w:t>la</w:t>
      </w:r>
      <w:r>
        <w:rPr>
          <w:spacing w:val="55"/>
        </w:rPr>
        <w:t> </w:t>
      </w:r>
      <w:r>
        <w:rPr/>
        <w:t>warfarina: menos interacciones farmacológicas, ninguna interacción con alimentos y un </w:t>
      </w:r>
      <w:r>
        <w:rPr>
          <w:spacing w:val="-3"/>
        </w:rPr>
        <w:t>inicio </w:t>
      </w:r>
      <w:r>
        <w:rPr/>
        <w:t>de acción rápido que anula </w:t>
      </w:r>
      <w:r>
        <w:rPr>
          <w:spacing w:val="-3"/>
        </w:rPr>
        <w:t>la </w:t>
      </w:r>
      <w:r>
        <w:rPr/>
        <w:t>necesidad de tratamiento de</w:t>
      </w:r>
      <w:r>
        <w:rPr>
          <w:spacing w:val="-1"/>
        </w:rPr>
        <w:t> </w:t>
      </w:r>
      <w:r>
        <w:rPr/>
        <w:t>transición.</w:t>
      </w:r>
    </w:p>
    <w:p>
      <w:pPr>
        <w:pStyle w:val="BodyText"/>
        <w:spacing w:before="7"/>
        <w:rPr>
          <w:sz w:val="20"/>
        </w:rPr>
      </w:pPr>
    </w:p>
    <w:p>
      <w:pPr>
        <w:pStyle w:val="Heading5"/>
        <w:spacing w:before="1"/>
        <w:ind w:left="673"/>
        <w:jc w:val="left"/>
        <w:rPr>
          <w:i/>
        </w:rPr>
      </w:pPr>
      <w:r>
        <w:rPr>
          <w:i/>
        </w:rPr>
        <w:t>Dabigatrán</w:t>
      </w:r>
    </w:p>
    <w:p>
      <w:pPr>
        <w:pStyle w:val="BodyText"/>
        <w:spacing w:before="3"/>
        <w:rPr>
          <w:b/>
          <w:i/>
          <w:sz w:val="24"/>
        </w:rPr>
      </w:pPr>
    </w:p>
    <w:p>
      <w:pPr>
        <w:pStyle w:val="BodyText"/>
        <w:tabs>
          <w:tab w:pos="2521" w:val="left" w:leader="none"/>
          <w:tab w:pos="4762" w:val="left" w:leader="none"/>
        </w:tabs>
        <w:spacing w:line="276" w:lineRule="auto"/>
        <w:ind w:left="673" w:right="1427"/>
        <w:jc w:val="both"/>
      </w:pPr>
      <w:r>
        <w:rPr/>
        <w:t>Dabigatrán etexilato es una prodroga que después de su administración oral se convierte en su forma activa dabigatrán, un potente inhibidor competitivo y reversible de </w:t>
      </w:r>
      <w:r>
        <w:rPr>
          <w:spacing w:val="-3"/>
        </w:rPr>
        <w:t>la </w:t>
      </w:r>
      <w:r>
        <w:rPr/>
        <w:t>trombina, que no requiere control de coagulación. El etexilato de dabigatrán es un sustrato de </w:t>
      </w:r>
      <w:r>
        <w:rPr>
          <w:spacing w:val="-3"/>
        </w:rPr>
        <w:t>la </w:t>
      </w:r>
      <w:r>
        <w:rPr/>
        <w:t>proteína de transporte plasmático glicoproteína por </w:t>
      </w:r>
      <w:r>
        <w:rPr>
          <w:spacing w:val="-3"/>
        </w:rPr>
        <w:t>lo </w:t>
      </w:r>
      <w:r>
        <w:rPr/>
        <w:t>que </w:t>
      </w:r>
      <w:r>
        <w:rPr>
          <w:spacing w:val="-5"/>
        </w:rPr>
        <w:t>la </w:t>
      </w:r>
      <w:r>
        <w:rPr/>
        <w:t>administración concomitante de drogas inhibidoras de dicha glicoproteína como quinidina, ketoconazol, amiodarona y verapamilo</w:t>
        <w:tab/>
        <w:t>incrementarían</w:t>
        <w:tab/>
        <w:t>su concentración plasmática. Potentes inductores como </w:t>
      </w:r>
      <w:r>
        <w:rPr>
          <w:spacing w:val="-3"/>
        </w:rPr>
        <w:t>la </w:t>
      </w:r>
      <w:r>
        <w:rPr/>
        <w:t>rifampicina pueden reducir su concentración plasmática. Sin embargo, a </w:t>
      </w:r>
      <w:r>
        <w:rPr>
          <w:spacing w:val="-3"/>
        </w:rPr>
        <w:t>la </w:t>
      </w:r>
      <w:r>
        <w:rPr/>
        <w:t>fecha las únicas contraindicaciones de coadministración del dabigatrán serían exclusivamente con quinidina, ketoconazol y rifampicina. A los fines prácticos se reserva </w:t>
      </w:r>
      <w:r>
        <w:rPr>
          <w:spacing w:val="-3"/>
        </w:rPr>
        <w:t>la </w:t>
      </w:r>
      <w:r>
        <w:rPr/>
        <w:t>dosis de 110 mg cada 12 horas para pacientes</w:t>
      </w:r>
      <w:r>
        <w:rPr>
          <w:spacing w:val="-14"/>
        </w:rPr>
        <w:t> </w:t>
      </w:r>
      <w:r>
        <w:rPr/>
        <w:t>mayores</w:t>
      </w:r>
    </w:p>
    <w:p>
      <w:pPr>
        <w:spacing w:after="0" w:line="276" w:lineRule="auto"/>
        <w:jc w:val="both"/>
        <w:sectPr>
          <w:type w:val="continuous"/>
          <w:pgSz w:w="12240" w:h="15840"/>
          <w:pgMar w:top="1500" w:bottom="0" w:left="0" w:right="0"/>
          <w:cols w:num="2" w:equalWidth="0">
            <w:col w:w="5769" w:space="40"/>
            <w:col w:w="6431"/>
          </w:cols>
        </w:sectPr>
      </w:pPr>
    </w:p>
    <w:p>
      <w:pPr>
        <w:pStyle w:val="BodyText"/>
        <w:rPr>
          <w:sz w:val="20"/>
        </w:rPr>
      </w:pPr>
    </w:p>
    <w:p>
      <w:pPr>
        <w:spacing w:after="0"/>
        <w:rPr>
          <w:sz w:val="20"/>
        </w:rPr>
        <w:sectPr>
          <w:headerReference w:type="even" r:id="rId41"/>
          <w:footerReference w:type="even" r:id="rId42"/>
          <w:footerReference w:type="default" r:id="rId43"/>
          <w:pgSz w:w="12240" w:h="15840"/>
          <w:pgMar w:header="723" w:footer="872" w:top="940" w:bottom="1060" w:left="0" w:right="0"/>
          <w:pgNumType w:start="6"/>
        </w:sectPr>
      </w:pPr>
    </w:p>
    <w:p>
      <w:pPr>
        <w:pStyle w:val="BodyText"/>
        <w:spacing w:before="8"/>
      </w:pPr>
    </w:p>
    <w:p>
      <w:pPr>
        <w:pStyle w:val="BodyText"/>
        <w:spacing w:line="276" w:lineRule="auto"/>
        <w:ind w:left="1440" w:right="1"/>
        <w:jc w:val="both"/>
      </w:pPr>
      <w:r>
        <w:rPr/>
        <w:t>de 80 años, o con insuficiencia renal moderada, coadministración de AAS y consumo crónico de antiinflamatorios no esteroides (AINEs) y para toda circunstancia clínica en que el profesional considere que existe un mayor riesgo de sangrado. Las contraindicaciones son: alergia o intolerancia </w:t>
      </w:r>
      <w:r>
        <w:rPr>
          <w:spacing w:val="1"/>
        </w:rPr>
        <w:t>al </w:t>
      </w:r>
      <w:r>
        <w:rPr/>
        <w:t>dabigatrán, insuficiencia renal grave y alto riesgo de sangrado.</w:t>
      </w:r>
    </w:p>
    <w:p>
      <w:pPr>
        <w:pStyle w:val="Heading5"/>
        <w:spacing w:before="157"/>
        <w:rPr>
          <w:i/>
        </w:rPr>
      </w:pPr>
      <w:r>
        <w:rPr>
          <w:i/>
        </w:rPr>
        <w:t>Apixabán</w:t>
      </w:r>
    </w:p>
    <w:p>
      <w:pPr>
        <w:pStyle w:val="BodyText"/>
        <w:spacing w:before="3"/>
        <w:rPr>
          <w:b/>
          <w:i/>
          <w:sz w:val="24"/>
        </w:rPr>
      </w:pPr>
    </w:p>
    <w:p>
      <w:pPr>
        <w:pStyle w:val="BodyText"/>
        <w:spacing w:line="276" w:lineRule="auto"/>
        <w:ind w:left="1440"/>
        <w:jc w:val="both"/>
      </w:pPr>
      <w:r>
        <w:rPr/>
        <w:t>Se trata de un inhibidor oral directo y reversible del factor </w:t>
      </w:r>
      <w:r>
        <w:rPr>
          <w:spacing w:val="-3"/>
        </w:rPr>
        <w:t>Xa, </w:t>
      </w:r>
      <w:r>
        <w:rPr/>
        <w:t>tanto libre como unido a </w:t>
      </w:r>
      <w:r>
        <w:rPr>
          <w:spacing w:val="-3"/>
        </w:rPr>
        <w:t>la </w:t>
      </w:r>
      <w:r>
        <w:rPr/>
        <w:t>protrombina. Se administra por vía oral y tiene dos indicaciones: prevención de trombosis venosa profunda y prevención de ACV en pacientes con FA. La dosis para esta última indicación es de 5 mg cada 12 horas, administrada por vía oral, no requiriendo control de coagulación. Es metabolizado parcialmente vía CYP3A4 con vía de eliminación enteral en un</w:t>
      </w:r>
      <w:r>
        <w:rPr>
          <w:spacing w:val="-6"/>
        </w:rPr>
        <w:t> </w:t>
      </w:r>
      <w:r>
        <w:rPr/>
        <w:t>70%.</w:t>
      </w:r>
    </w:p>
    <w:p>
      <w:pPr>
        <w:pStyle w:val="BodyText"/>
        <w:rPr>
          <w:sz w:val="21"/>
        </w:rPr>
      </w:pPr>
    </w:p>
    <w:p>
      <w:pPr>
        <w:pStyle w:val="BodyText"/>
        <w:spacing w:line="276" w:lineRule="auto"/>
        <w:ind w:left="1440"/>
        <w:jc w:val="both"/>
      </w:pPr>
      <w:r>
        <w:rPr/>
        <w:t>El estudio de mayor impacto por sus resultados fue el ARISTOTLE, estudio aleatorizado, doble ciego, que comparó apixabán (5 mg cada 12 horas) vs. warfarina (INR objetivo entre 2,0</w:t>
      </w:r>
      <w:r>
        <w:rPr>
          <w:spacing w:val="-25"/>
        </w:rPr>
        <w:t> </w:t>
      </w:r>
      <w:r>
        <w:rPr/>
        <w:t>y 3,0) en</w:t>
      </w:r>
    </w:p>
    <w:p>
      <w:pPr>
        <w:pStyle w:val="ListParagraph"/>
        <w:numPr>
          <w:ilvl w:val="1"/>
          <w:numId w:val="4"/>
        </w:numPr>
        <w:tabs>
          <w:tab w:pos="2241" w:val="left" w:leader="none"/>
        </w:tabs>
        <w:spacing w:line="276" w:lineRule="auto" w:before="1" w:after="0"/>
        <w:ind w:left="1440" w:right="1" w:firstLine="0"/>
        <w:jc w:val="both"/>
        <w:rPr>
          <w:sz w:val="22"/>
        </w:rPr>
      </w:pPr>
      <w:r>
        <w:rPr>
          <w:sz w:val="22"/>
        </w:rPr>
        <w:t>pacientes con FA y al menos un factor de riesgo adicional para ACV. El estudio ARISTOTLE demostró que apixabán fue significativamente superior a warfarina para prevenir el ACV o </w:t>
      </w:r>
      <w:r>
        <w:rPr>
          <w:spacing w:val="-3"/>
          <w:sz w:val="22"/>
        </w:rPr>
        <w:t>la </w:t>
      </w:r>
      <w:r>
        <w:rPr>
          <w:sz w:val="22"/>
        </w:rPr>
        <w:t>embolia sistémica, con una reducción significativa del sangrado y reducción de </w:t>
      </w:r>
      <w:r>
        <w:rPr>
          <w:spacing w:val="-3"/>
          <w:sz w:val="22"/>
        </w:rPr>
        <w:t>la </w:t>
      </w:r>
      <w:r>
        <w:rPr>
          <w:sz w:val="22"/>
        </w:rPr>
        <w:t>mortalidad total.</w:t>
      </w:r>
    </w:p>
    <w:p>
      <w:pPr>
        <w:pStyle w:val="BodyText"/>
        <w:rPr>
          <w:sz w:val="21"/>
        </w:rPr>
      </w:pPr>
    </w:p>
    <w:p>
      <w:pPr>
        <w:pStyle w:val="Heading5"/>
        <w:rPr>
          <w:i/>
        </w:rPr>
      </w:pPr>
      <w:r>
        <w:rPr>
          <w:i/>
        </w:rPr>
        <w:t>Rivaroxabán</w:t>
      </w:r>
    </w:p>
    <w:p>
      <w:pPr>
        <w:pStyle w:val="BodyText"/>
        <w:spacing w:before="8"/>
        <w:rPr>
          <w:b/>
          <w:i/>
        </w:rPr>
      </w:pPr>
      <w:r>
        <w:rPr/>
        <w:br w:type="column"/>
      </w:r>
      <w:r>
        <w:rPr>
          <w:b/>
          <w:i/>
        </w:rPr>
      </w:r>
    </w:p>
    <w:p>
      <w:pPr>
        <w:pStyle w:val="BodyText"/>
        <w:spacing w:line="276" w:lineRule="auto"/>
        <w:ind w:left="672" w:right="1429"/>
        <w:jc w:val="both"/>
      </w:pPr>
      <w:r>
        <w:rPr/>
        <w:t>El rivaroxabán es el único anticoagulante oral de administración una vez al día. Al igual que en los anteriores, su perfil farmacológico clínico predecible elimina </w:t>
      </w:r>
      <w:r>
        <w:rPr>
          <w:spacing w:val="-5"/>
        </w:rPr>
        <w:t>la </w:t>
      </w:r>
      <w:r>
        <w:rPr/>
        <w:t>necesidad de monitoreo habitual de </w:t>
      </w:r>
      <w:r>
        <w:rPr>
          <w:spacing w:val="-5"/>
        </w:rPr>
        <w:t>la </w:t>
      </w:r>
      <w:r>
        <w:rPr/>
        <w:t>coagulación. La dosis de rivaroxabán para </w:t>
      </w:r>
      <w:r>
        <w:rPr>
          <w:spacing w:val="-3"/>
        </w:rPr>
        <w:t>la </w:t>
      </w:r>
      <w:r>
        <w:rPr/>
        <w:t>prevención de ACV en FA es de 20 mg una vez al día, y 15 mg una vez al día en pacientes con insuficiencia renal y un aclaramiento de creatinina (Cl Cr) entre 15- 49 ml/min. Se debe utilizar con precaución en pacientes con Cl Cr entre 15-29 ml/min y está contraindicado en Cl Cr &lt; 15</w:t>
      </w:r>
      <w:r>
        <w:rPr>
          <w:spacing w:val="-12"/>
        </w:rPr>
        <w:t> </w:t>
      </w:r>
      <w:r>
        <w:rPr/>
        <w:t>ml/min.</w:t>
      </w:r>
    </w:p>
    <w:p>
      <w:pPr>
        <w:pStyle w:val="BodyText"/>
        <w:spacing w:before="8"/>
        <w:rPr>
          <w:sz w:val="20"/>
        </w:rPr>
      </w:pPr>
    </w:p>
    <w:p>
      <w:pPr>
        <w:pStyle w:val="Heading4"/>
        <w:ind w:left="672"/>
        <w:jc w:val="both"/>
      </w:pPr>
      <w:r>
        <w:rPr/>
        <w:t>CONCLUSION</w:t>
      </w:r>
    </w:p>
    <w:p>
      <w:pPr>
        <w:pStyle w:val="BodyText"/>
        <w:spacing w:before="6"/>
        <w:rPr>
          <w:b/>
          <w:sz w:val="24"/>
        </w:rPr>
      </w:pPr>
    </w:p>
    <w:p>
      <w:pPr>
        <w:pStyle w:val="BodyText"/>
        <w:spacing w:line="276" w:lineRule="auto"/>
        <w:ind w:left="672" w:right="1430"/>
        <w:jc w:val="both"/>
      </w:pPr>
      <w:r>
        <w:rPr/>
        <w:t>La fibrilación atrial es la arritmia más frecuente en la práctica clínica cuya enfermedad predispone a la formación de trombos, por ello se utilizan diferentes formas de anticoagulación.</w:t>
      </w:r>
    </w:p>
    <w:p>
      <w:pPr>
        <w:pStyle w:val="BodyText"/>
        <w:rPr>
          <w:sz w:val="21"/>
        </w:rPr>
      </w:pPr>
    </w:p>
    <w:p>
      <w:pPr>
        <w:pStyle w:val="BodyText"/>
        <w:spacing w:line="276" w:lineRule="auto"/>
        <w:ind w:left="672" w:right="1430"/>
        <w:jc w:val="both"/>
      </w:pPr>
      <w:r>
        <w:rPr/>
        <w:t>La anticoagulación está indicada en Fibrilación auricular cuando existe riesgo aumentado por parte del paciente, que se puede medir fácilmente con la escala de CHA2DS2-VASc cuando este obtenga mayor a 2.</w:t>
      </w:r>
    </w:p>
    <w:p>
      <w:pPr>
        <w:pStyle w:val="BodyText"/>
        <w:rPr>
          <w:sz w:val="21"/>
        </w:rPr>
      </w:pPr>
    </w:p>
    <w:p>
      <w:pPr>
        <w:pStyle w:val="BodyText"/>
        <w:spacing w:line="276" w:lineRule="auto"/>
        <w:ind w:left="672" w:right="1430"/>
        <w:jc w:val="both"/>
      </w:pPr>
      <w:r>
        <w:rPr/>
        <w:t>Los nuevos anticoagulantes orales nos brindan formas alternativas de anticoagulación que no requieren un régimen de control tan estricto, ni tampoco modificaciones dietéticas en </w:t>
      </w:r>
      <w:r>
        <w:rPr>
          <w:spacing w:val="-3"/>
        </w:rPr>
        <w:t>la </w:t>
      </w:r>
      <w:r>
        <w:rPr/>
        <w:t>población. Estos nuevos anticoagulantes no son ni superiores, ni inferiores a </w:t>
      </w:r>
      <w:r>
        <w:rPr>
          <w:spacing w:val="-3"/>
        </w:rPr>
        <w:t>la  </w:t>
      </w:r>
      <w:r>
        <w:rPr/>
        <w:t>warfarina según </w:t>
      </w:r>
      <w:r>
        <w:rPr>
          <w:spacing w:val="-3"/>
        </w:rPr>
        <w:t>la </w:t>
      </w:r>
      <w:r>
        <w:rPr/>
        <w:t>bibliografía consultada, se podría valorar su uso en cada paciente individualizado para así mejorar las opciones de tratamiento de cada</w:t>
      </w:r>
      <w:r>
        <w:rPr>
          <w:spacing w:val="13"/>
        </w:rPr>
        <w:t> </w:t>
      </w:r>
      <w:r>
        <w:rPr/>
        <w:t>persona.</w:t>
      </w:r>
    </w:p>
    <w:p>
      <w:pPr>
        <w:spacing w:after="0" w:line="276" w:lineRule="auto"/>
        <w:jc w:val="both"/>
        <w:sectPr>
          <w:type w:val="continuous"/>
          <w:pgSz w:w="12240" w:h="15840"/>
          <w:pgMar w:top="1500" w:bottom="0" w:left="0" w:right="0"/>
          <w:cols w:num="2" w:equalWidth="0">
            <w:col w:w="5770" w:space="40"/>
            <w:col w:w="6430"/>
          </w:cols>
        </w:sectPr>
      </w:pPr>
    </w:p>
    <w:p>
      <w:pPr>
        <w:pStyle w:val="BodyText"/>
        <w:rPr>
          <w:sz w:val="20"/>
        </w:rPr>
      </w:pPr>
    </w:p>
    <w:p>
      <w:pPr>
        <w:pStyle w:val="Heading4"/>
        <w:spacing w:before="234"/>
        <w:ind w:left="1700"/>
      </w:pPr>
      <w:r>
        <w:rPr/>
        <w:t>BIBLIOGRAFIA</w:t>
      </w:r>
    </w:p>
    <w:p>
      <w:pPr>
        <w:pStyle w:val="BodyText"/>
        <w:spacing w:before="4"/>
        <w:rPr>
          <w:b/>
          <w:sz w:val="24"/>
        </w:rPr>
      </w:pPr>
    </w:p>
    <w:p>
      <w:pPr>
        <w:pStyle w:val="ListParagraph"/>
        <w:numPr>
          <w:ilvl w:val="2"/>
          <w:numId w:val="4"/>
        </w:numPr>
        <w:tabs>
          <w:tab w:pos="2060" w:val="left" w:leader="none"/>
          <w:tab w:pos="2061" w:val="left" w:leader="none"/>
        </w:tabs>
        <w:spacing w:line="240" w:lineRule="auto" w:before="0" w:after="0"/>
        <w:ind w:left="2060" w:right="0" w:hanging="360"/>
        <w:jc w:val="left"/>
        <w:rPr>
          <w:sz w:val="20"/>
        </w:rPr>
      </w:pPr>
      <w:r>
        <w:rPr>
          <w:sz w:val="20"/>
        </w:rPr>
        <w:t>Douglas L. Mann, D. P. (2015). Braunwald's Heart D isease. Toledo España: </w:t>
      </w:r>
      <w:r>
        <w:rPr>
          <w:spacing w:val="-3"/>
          <w:sz w:val="20"/>
        </w:rPr>
        <w:t>El </w:t>
      </w:r>
      <w:r>
        <w:rPr>
          <w:sz w:val="20"/>
        </w:rPr>
        <w:t>sevier</w:t>
      </w:r>
      <w:r>
        <w:rPr>
          <w:spacing w:val="-10"/>
          <w:sz w:val="20"/>
        </w:rPr>
        <w:t> </w:t>
      </w:r>
      <w:r>
        <w:rPr>
          <w:sz w:val="20"/>
        </w:rPr>
        <w:t>España.</w:t>
      </w:r>
    </w:p>
    <w:p>
      <w:pPr>
        <w:spacing w:after="0" w:line="240" w:lineRule="auto"/>
        <w:jc w:val="left"/>
        <w:rPr>
          <w:sz w:val="20"/>
        </w:rPr>
        <w:sectPr>
          <w:type w:val="continuous"/>
          <w:pgSz w:w="12240" w:h="15840"/>
          <w:pgMar w:top="1500" w:bottom="0" w:left="0" w:right="0"/>
        </w:sectPr>
      </w:pPr>
    </w:p>
    <w:p>
      <w:pPr>
        <w:spacing w:before="79"/>
        <w:ind w:left="1700" w:right="0" w:firstLine="0"/>
        <w:jc w:val="left"/>
        <w:rPr>
          <w:i/>
          <w:sz w:val="18"/>
        </w:rPr>
      </w:pPr>
      <w:r>
        <w:rPr>
          <w:i/>
          <w:color w:val="2D74B5"/>
          <w:sz w:val="18"/>
        </w:rPr>
        <w:t>NUEVOS TRATAMIENTOS DE ANTICOAGULACIÓN EN FIBRILACIÓN ATRIAL - Randall Quiroz Fallas</w:t>
      </w:r>
    </w:p>
    <w:p>
      <w:pPr>
        <w:pStyle w:val="BodyText"/>
        <w:rPr>
          <w:i/>
          <w:sz w:val="20"/>
        </w:rPr>
      </w:pPr>
    </w:p>
    <w:p>
      <w:pPr>
        <w:pStyle w:val="BodyText"/>
        <w:spacing w:before="10"/>
        <w:rPr>
          <w:i/>
          <w:sz w:val="23"/>
        </w:rPr>
      </w:pPr>
    </w:p>
    <w:p>
      <w:pPr>
        <w:pStyle w:val="ListParagraph"/>
        <w:numPr>
          <w:ilvl w:val="2"/>
          <w:numId w:val="4"/>
        </w:numPr>
        <w:tabs>
          <w:tab w:pos="2060" w:val="left" w:leader="none"/>
          <w:tab w:pos="2061" w:val="left" w:leader="none"/>
        </w:tabs>
        <w:spacing w:line="240" w:lineRule="auto" w:before="0" w:after="0"/>
        <w:ind w:left="2060" w:right="1695" w:hanging="360"/>
        <w:jc w:val="left"/>
        <w:rPr>
          <w:sz w:val="20"/>
        </w:rPr>
      </w:pPr>
      <w:r>
        <w:rPr>
          <w:sz w:val="20"/>
        </w:rPr>
        <w:t>Dr. Claudio Muratore, D. A. (2015). CONSENSO DE FIBRILACIÓN AURICULAR. Sociedad Argentina de</w:t>
      </w:r>
      <w:r>
        <w:rPr>
          <w:spacing w:val="-5"/>
          <w:sz w:val="20"/>
        </w:rPr>
        <w:t> </w:t>
      </w:r>
      <w:r>
        <w:rPr>
          <w:sz w:val="20"/>
        </w:rPr>
        <w:t>Cardiología.</w:t>
      </w:r>
    </w:p>
    <w:p>
      <w:pPr>
        <w:pStyle w:val="ListParagraph"/>
        <w:numPr>
          <w:ilvl w:val="2"/>
          <w:numId w:val="4"/>
        </w:numPr>
        <w:tabs>
          <w:tab w:pos="2060" w:val="left" w:leader="none"/>
          <w:tab w:pos="2061" w:val="left" w:leader="none"/>
        </w:tabs>
        <w:spacing w:line="243" w:lineRule="exact" w:before="0" w:after="0"/>
        <w:ind w:left="2060" w:right="0" w:hanging="360"/>
        <w:jc w:val="left"/>
        <w:rPr>
          <w:sz w:val="20"/>
        </w:rPr>
      </w:pPr>
      <w:r>
        <w:rPr>
          <w:sz w:val="20"/>
        </w:rPr>
        <w:t>Kapil Kumar, M. (2016). Overview of atrial fibrillation. UP TO</w:t>
      </w:r>
      <w:r>
        <w:rPr>
          <w:spacing w:val="-5"/>
          <w:sz w:val="20"/>
        </w:rPr>
        <w:t> </w:t>
      </w:r>
      <w:r>
        <w:rPr>
          <w:sz w:val="20"/>
        </w:rPr>
        <w:t>DATE.</w:t>
      </w:r>
    </w:p>
    <w:p>
      <w:pPr>
        <w:pStyle w:val="ListParagraph"/>
        <w:numPr>
          <w:ilvl w:val="2"/>
          <w:numId w:val="4"/>
        </w:numPr>
        <w:tabs>
          <w:tab w:pos="2060" w:val="left" w:leader="none"/>
          <w:tab w:pos="2061" w:val="left" w:leader="none"/>
        </w:tabs>
        <w:spacing w:line="240" w:lineRule="auto" w:before="0" w:after="0"/>
        <w:ind w:left="2060" w:right="1712" w:hanging="360"/>
        <w:jc w:val="left"/>
        <w:rPr>
          <w:sz w:val="20"/>
        </w:rPr>
      </w:pPr>
      <w:r>
        <w:rPr>
          <w:sz w:val="20"/>
        </w:rPr>
        <w:t>Martín, A. (2013). Tratamiento agudo de la fibrilación auricular en urgencias. Rev Esp Cardiol Supl. 2013;13(C):14-20 - Vol. 13</w:t>
      </w:r>
      <w:r>
        <w:rPr>
          <w:spacing w:val="-3"/>
          <w:sz w:val="20"/>
        </w:rPr>
        <w:t> </w:t>
      </w:r>
      <w:r>
        <w:rPr>
          <w:sz w:val="20"/>
        </w:rPr>
        <w:t>Núm.</w:t>
      </w:r>
    </w:p>
    <w:p>
      <w:pPr>
        <w:pStyle w:val="ListParagraph"/>
        <w:numPr>
          <w:ilvl w:val="2"/>
          <w:numId w:val="4"/>
        </w:numPr>
        <w:tabs>
          <w:tab w:pos="2060" w:val="left" w:leader="none"/>
          <w:tab w:pos="2061" w:val="left" w:leader="none"/>
        </w:tabs>
        <w:spacing w:line="240" w:lineRule="auto" w:before="3" w:after="0"/>
        <w:ind w:left="2060" w:right="1705" w:hanging="360"/>
        <w:jc w:val="left"/>
        <w:rPr>
          <w:sz w:val="20"/>
        </w:rPr>
      </w:pPr>
      <w:r>
        <w:rPr>
          <w:sz w:val="20"/>
        </w:rPr>
        <w:t>Warren J Manning, M. D. (2016). Atrial fibrillation: Anticoagulant therapy to prevent embolization. UP TO</w:t>
      </w:r>
      <w:r>
        <w:rPr>
          <w:spacing w:val="-4"/>
          <w:sz w:val="20"/>
        </w:rPr>
        <w:t> </w:t>
      </w:r>
      <w:r>
        <w:rPr>
          <w:sz w:val="20"/>
        </w:rPr>
        <w:t>DATE.</w:t>
      </w:r>
    </w:p>
    <w:p>
      <w:pPr>
        <w:pStyle w:val="BodyText"/>
        <w:spacing w:before="9"/>
      </w:pPr>
    </w:p>
    <w:p>
      <w:pPr>
        <w:tabs>
          <w:tab w:pos="7298" w:val="left" w:leader="none"/>
        </w:tabs>
        <w:spacing w:before="0"/>
        <w:ind w:left="1700" w:right="0" w:firstLine="0"/>
        <w:jc w:val="left"/>
        <w:rPr>
          <w:sz w:val="20"/>
        </w:rPr>
      </w:pPr>
      <w:r>
        <w:rPr>
          <w:sz w:val="20"/>
        </w:rPr>
        <w:t>Recepción: 02 Febrero</w:t>
      </w:r>
      <w:r>
        <w:rPr>
          <w:spacing w:val="-6"/>
          <w:sz w:val="20"/>
        </w:rPr>
        <w:t> </w:t>
      </w:r>
      <w:r>
        <w:rPr>
          <w:sz w:val="20"/>
        </w:rPr>
        <w:t>de</w:t>
      </w:r>
      <w:r>
        <w:rPr>
          <w:spacing w:val="-1"/>
          <w:sz w:val="20"/>
        </w:rPr>
        <w:t> </w:t>
      </w:r>
      <w:r>
        <w:rPr>
          <w:sz w:val="20"/>
        </w:rPr>
        <w:t>2017</w:t>
        <w:tab/>
        <w:t>Aprobación:10 Febrero de 2017</w:t>
      </w:r>
    </w:p>
    <w:p>
      <w:pPr>
        <w:spacing w:after="0"/>
        <w:jc w:val="left"/>
        <w:rPr>
          <w:sz w:val="20"/>
        </w:rPr>
        <w:sectPr>
          <w:headerReference w:type="default" r:id="rId44"/>
          <w:pgSz w:w="12240" w:h="15840"/>
          <w:pgMar w:header="0" w:footer="864" w:top="620" w:bottom="1060" w:left="0" w:right="0"/>
        </w:sectPr>
      </w:pPr>
    </w:p>
    <w:p>
      <w:pPr>
        <w:pStyle w:val="Heading3"/>
        <w:spacing w:after="60"/>
        <w:ind w:left="3785"/>
        <w:jc w:val="left"/>
      </w:pPr>
      <w:r>
        <w:rPr/>
        <w:t>FRACTURA DEL EXTREMO PROXIMAL DEL FEMUR</w:t>
      </w:r>
    </w:p>
    <w:p>
      <w:pPr>
        <w:pStyle w:val="BodyText"/>
        <w:ind w:left="1444"/>
        <w:rPr>
          <w:sz w:val="20"/>
        </w:rPr>
      </w:pPr>
      <w:r>
        <w:rPr>
          <w:sz w:val="20"/>
        </w:rPr>
        <w:pict>
          <v:group style="width:468.95pt;height:246.75pt;mso-position-horizontal-relative:char;mso-position-vertical-relative:line" coordorigin="0,0" coordsize="9379,4935">
            <v:shape style="position:absolute;left:2051;top:989;width:7260;height:3945" type="#_x0000_t75" stroked="false">
              <v:imagedata r:id="rId48" o:title=""/>
            </v:shape>
            <v:shape style="position:absolute;left:0;top:0;width:2048;height:4804" type="#_x0000_t75" stroked="false">
              <v:imagedata r:id="rId49" o:title=""/>
            </v:shape>
            <v:shape style="position:absolute;left:160;top:0;width:1740;height:179" type="#_x0000_t202" filled="false" stroked="false">
              <v:textbox inset="0,0,0,0">
                <w:txbxContent>
                  <w:p>
                    <w:pPr>
                      <w:spacing w:line="179" w:lineRule="exact" w:before="0"/>
                      <w:ind w:left="0" w:right="0" w:firstLine="0"/>
                      <w:jc w:val="left"/>
                      <w:rPr>
                        <w:sz w:val="16"/>
                      </w:rPr>
                    </w:pPr>
                    <w:r>
                      <w:rPr>
                        <w:sz w:val="16"/>
                      </w:rPr>
                      <w:t>Revista Médica Sinergia</w:t>
                    </w:r>
                  </w:p>
                </w:txbxContent>
              </v:textbox>
              <w10:wrap type="none"/>
            </v:shape>
            <v:shape style="position:absolute;left:4066;top:3;width:3497;height:269" type="#_x0000_t202" filled="false" stroked="false">
              <v:textbox inset="0,0,0,0">
                <w:txbxContent>
                  <w:p>
                    <w:pPr>
                      <w:spacing w:line="268" w:lineRule="exact" w:before="0"/>
                      <w:ind w:left="0" w:right="0" w:firstLine="0"/>
                      <w:jc w:val="left"/>
                      <w:rPr>
                        <w:sz w:val="24"/>
                      </w:rPr>
                    </w:pPr>
                    <w:r>
                      <w:rPr>
                        <w:sz w:val="20"/>
                      </w:rPr>
                      <w:t>(PROXIMAL FEMORAL FRACTURES</w:t>
                    </w:r>
                    <w:r>
                      <w:rPr>
                        <w:color w:val="1F4D78"/>
                        <w:sz w:val="24"/>
                      </w:rPr>
                      <w:t>)</w:t>
                    </w:r>
                  </w:p>
                </w:txbxContent>
              </v:textbox>
              <w10:wrap type="none"/>
            </v:shape>
            <v:shape style="position:absolute;left:216;top:396;width:9162;height:3545" type="#_x0000_t202" filled="false" stroked="false">
              <v:textbox inset="0,0,0,0">
                <w:txbxContent>
                  <w:p>
                    <w:pPr>
                      <w:spacing w:line="167" w:lineRule="exact" w:before="0"/>
                      <w:ind w:left="23" w:right="7577" w:firstLine="0"/>
                      <w:jc w:val="center"/>
                      <w:rPr>
                        <w:sz w:val="16"/>
                      </w:rPr>
                    </w:pPr>
                    <w:r>
                      <w:rPr>
                        <w:sz w:val="16"/>
                      </w:rPr>
                      <w:t>ISSN 2215-4523</w:t>
                    </w:r>
                  </w:p>
                  <w:p>
                    <w:pPr>
                      <w:tabs>
                        <w:tab w:pos="6026" w:val="left" w:leader="none"/>
                      </w:tabs>
                      <w:spacing w:line="232" w:lineRule="exact" w:before="0"/>
                      <w:ind w:left="363" w:right="0" w:firstLine="0"/>
                      <w:jc w:val="left"/>
                      <w:rPr>
                        <w:sz w:val="22"/>
                      </w:rPr>
                    </w:pPr>
                    <w:r>
                      <w:rPr>
                        <w:position w:val="2"/>
                        <w:sz w:val="16"/>
                      </w:rPr>
                      <w:t>Vol.2</w:t>
                    </w:r>
                    <w:r>
                      <w:rPr>
                        <w:spacing w:val="-4"/>
                        <w:position w:val="2"/>
                        <w:sz w:val="16"/>
                      </w:rPr>
                      <w:t> </w:t>
                    </w:r>
                    <w:r>
                      <w:rPr>
                        <w:position w:val="2"/>
                        <w:sz w:val="16"/>
                      </w:rPr>
                      <w:t>Num:3</w:t>
                      <w:tab/>
                    </w:r>
                    <w:r>
                      <w:rPr>
                        <w:sz w:val="22"/>
                      </w:rPr>
                      <w:t>* María Fernanda Bolaños</w:t>
                    </w:r>
                    <w:r>
                      <w:rPr>
                        <w:spacing w:val="-14"/>
                        <w:sz w:val="22"/>
                      </w:rPr>
                      <w:t> </w:t>
                    </w:r>
                    <w:r>
                      <w:rPr>
                        <w:sz w:val="22"/>
                      </w:rPr>
                      <w:t>Solís</w:t>
                    </w:r>
                  </w:p>
                  <w:p>
                    <w:pPr>
                      <w:spacing w:line="176" w:lineRule="exact" w:before="0"/>
                      <w:ind w:left="23" w:right="7578" w:firstLine="0"/>
                      <w:jc w:val="center"/>
                      <w:rPr>
                        <w:sz w:val="16"/>
                      </w:rPr>
                    </w:pPr>
                    <w:r>
                      <w:rPr>
                        <w:sz w:val="16"/>
                      </w:rPr>
                      <w:t>Marzo 2017 pp:8 - 11</w:t>
                    </w:r>
                  </w:p>
                  <w:p>
                    <w:pPr>
                      <w:spacing w:before="96"/>
                      <w:ind w:left="1988" w:right="0" w:firstLine="0"/>
                      <w:jc w:val="left"/>
                      <w:rPr>
                        <w:sz w:val="22"/>
                      </w:rPr>
                    </w:pPr>
                    <w:r>
                      <w:rPr>
                        <w:sz w:val="22"/>
                      </w:rPr>
                      <w:t>RESUMEN</w:t>
                    </w:r>
                  </w:p>
                  <w:p>
                    <w:pPr>
                      <w:spacing w:line="273" w:lineRule="auto" w:before="38"/>
                      <w:ind w:left="1988" w:right="0" w:firstLine="0"/>
                      <w:jc w:val="left"/>
                      <w:rPr>
                        <w:sz w:val="22"/>
                      </w:rPr>
                    </w:pPr>
                    <w:r>
                      <w:rPr>
                        <w:sz w:val="22"/>
                      </w:rPr>
                      <w:t>La fractura proximal, conocida como fractura de cadera, es una lesión común en adultos mayores. La mayoría requiere manejo quirúrgico.</w:t>
                    </w:r>
                  </w:p>
                  <w:p>
                    <w:pPr>
                      <w:spacing w:line="240" w:lineRule="auto" w:before="8"/>
                      <w:rPr>
                        <w:b/>
                        <w:sz w:val="25"/>
                      </w:rPr>
                    </w:pPr>
                  </w:p>
                  <w:p>
                    <w:pPr>
                      <w:spacing w:before="0"/>
                      <w:ind w:left="1988" w:right="0" w:firstLine="0"/>
                      <w:jc w:val="left"/>
                      <w:rPr>
                        <w:sz w:val="22"/>
                      </w:rPr>
                    </w:pPr>
                    <w:r>
                      <w:rPr>
                        <w:sz w:val="22"/>
                      </w:rPr>
                      <w:t>DESCRIPTORES</w:t>
                    </w:r>
                  </w:p>
                  <w:p>
                    <w:pPr>
                      <w:spacing w:before="38"/>
                      <w:ind w:left="1988" w:right="0" w:firstLine="0"/>
                      <w:jc w:val="left"/>
                      <w:rPr>
                        <w:sz w:val="22"/>
                      </w:rPr>
                    </w:pPr>
                    <w:r>
                      <w:rPr>
                        <w:sz w:val="22"/>
                      </w:rPr>
                      <w:t>Fractura de cadera, fémur, cirugía, tromboembolismo, osteonecrosis.</w:t>
                    </w:r>
                  </w:p>
                  <w:p>
                    <w:pPr>
                      <w:spacing w:line="240" w:lineRule="auto" w:before="5"/>
                      <w:rPr>
                        <w:b/>
                        <w:sz w:val="28"/>
                      </w:rPr>
                    </w:pPr>
                  </w:p>
                  <w:p>
                    <w:pPr>
                      <w:spacing w:before="0"/>
                      <w:ind w:left="1988" w:right="0" w:firstLine="0"/>
                      <w:jc w:val="left"/>
                      <w:rPr>
                        <w:sz w:val="22"/>
                      </w:rPr>
                    </w:pPr>
                    <w:r>
                      <w:rPr>
                        <w:sz w:val="22"/>
                      </w:rPr>
                      <w:t>SUMMARY</w:t>
                    </w:r>
                  </w:p>
                  <w:p>
                    <w:pPr>
                      <w:spacing w:line="292" w:lineRule="exact" w:before="11"/>
                      <w:ind w:left="1988" w:right="40" w:firstLine="0"/>
                      <w:jc w:val="left"/>
                      <w:rPr>
                        <w:sz w:val="22"/>
                      </w:rPr>
                    </w:pPr>
                    <w:r>
                      <w:rPr>
                        <w:sz w:val="22"/>
                      </w:rPr>
                      <w:t>The proximal fracture, known as a hip fracture, is a common injury in older adults. Most require surgical management</w:t>
                    </w:r>
                  </w:p>
                </w:txbxContent>
              </v:textbox>
              <w10:wrap type="none"/>
            </v:shape>
            <v:shape style="position:absolute;left:0;top:4044;width:1856;height:775" type="#_x0000_t202" filled="false" stroked="false">
              <v:textbox inset="0,0,0,0">
                <w:txbxContent>
                  <w:p>
                    <w:pPr>
                      <w:spacing w:line="259" w:lineRule="auto" w:before="0"/>
                      <w:ind w:left="0" w:right="-6" w:firstLine="0"/>
                      <w:jc w:val="left"/>
                      <w:rPr>
                        <w:sz w:val="16"/>
                      </w:rPr>
                    </w:pPr>
                    <w:r>
                      <w:rPr>
                        <w:sz w:val="16"/>
                      </w:rPr>
                      <w:t>*Médico General. Universidad Autónoma de Centro América (UACA). San José- Costa Rica.</w:t>
                    </w:r>
                  </w:p>
                </w:txbxContent>
              </v:textbox>
              <w10:wrap type="none"/>
            </v:shape>
            <v:shape style="position:absolute;left:2205;top:4274;width:6111;height:538" type="#_x0000_t202" filled="false" stroked="false">
              <v:textbox inset="0,0,0,0">
                <w:txbxContent>
                  <w:p>
                    <w:pPr>
                      <w:spacing w:line="246" w:lineRule="exact" w:before="0"/>
                      <w:ind w:left="0" w:right="0" w:firstLine="0"/>
                      <w:jc w:val="left"/>
                      <w:rPr>
                        <w:sz w:val="22"/>
                      </w:rPr>
                    </w:pPr>
                    <w:r>
                      <w:rPr>
                        <w:sz w:val="22"/>
                      </w:rPr>
                      <w:t>KEYWORDS</w:t>
                    </w:r>
                  </w:p>
                  <w:p>
                    <w:pPr>
                      <w:spacing w:before="39"/>
                      <w:ind w:left="0" w:right="0" w:firstLine="0"/>
                      <w:jc w:val="left"/>
                      <w:rPr>
                        <w:sz w:val="22"/>
                      </w:rPr>
                    </w:pPr>
                    <w:r>
                      <w:rPr>
                        <w:sz w:val="22"/>
                      </w:rPr>
                      <w:t>Hip fracture, femur, surgery, thromboembolism, osteonecrosis.</w:t>
                    </w:r>
                  </w:p>
                </w:txbxContent>
              </v:textbox>
              <w10:wrap type="none"/>
            </v:shape>
          </v:group>
        </w:pict>
      </w:r>
      <w:r>
        <w:rPr>
          <w:sz w:val="20"/>
        </w:rPr>
      </w:r>
    </w:p>
    <w:p>
      <w:pPr>
        <w:spacing w:after="0"/>
        <w:rPr>
          <w:sz w:val="20"/>
        </w:rPr>
        <w:sectPr>
          <w:headerReference w:type="even" r:id="rId45"/>
          <w:footerReference w:type="even" r:id="rId46"/>
          <w:footerReference w:type="default" r:id="rId47"/>
          <w:pgSz w:w="12240" w:h="15840"/>
          <w:pgMar w:header="0" w:footer="872" w:top="1360" w:bottom="1060" w:left="0" w:right="0"/>
          <w:pgNumType w:start="8"/>
        </w:sectPr>
      </w:pPr>
    </w:p>
    <w:p>
      <w:pPr>
        <w:pStyle w:val="BodyText"/>
        <w:spacing w:before="1"/>
        <w:rPr>
          <w:b/>
          <w:sz w:val="34"/>
        </w:rPr>
      </w:pPr>
    </w:p>
    <w:p>
      <w:pPr>
        <w:pStyle w:val="Heading4"/>
      </w:pPr>
      <w:r>
        <w:rPr/>
        <w:t>FACTORES DE RIESGO</w:t>
      </w:r>
    </w:p>
    <w:p>
      <w:pPr>
        <w:pStyle w:val="BodyText"/>
        <w:spacing w:before="1"/>
        <w:rPr>
          <w:b/>
          <w:sz w:val="21"/>
        </w:rPr>
      </w:pPr>
    </w:p>
    <w:p>
      <w:pPr>
        <w:pStyle w:val="BodyText"/>
        <w:spacing w:line="276" w:lineRule="auto"/>
        <w:ind w:left="1440" w:right="1"/>
        <w:jc w:val="both"/>
      </w:pPr>
      <w:r>
        <w:rPr/>
        <w:t>El factor de riesgo más relevante en este tipo de fracturas es la edad y duplica su frecuencia cada década, después de los 50 años.</w:t>
      </w:r>
    </w:p>
    <w:p>
      <w:pPr>
        <w:pStyle w:val="BodyText"/>
        <w:spacing w:before="198"/>
        <w:ind w:left="1440"/>
      </w:pPr>
      <w:r>
        <w:rPr/>
        <w:t>Otros factores importantes a resaltar son:</w:t>
      </w:r>
    </w:p>
    <w:p>
      <w:pPr>
        <w:pStyle w:val="BodyText"/>
        <w:spacing w:before="9"/>
        <w:rPr>
          <w:sz w:val="20"/>
        </w:rPr>
      </w:pPr>
    </w:p>
    <w:p>
      <w:pPr>
        <w:pStyle w:val="ListParagraph"/>
        <w:numPr>
          <w:ilvl w:val="3"/>
          <w:numId w:val="4"/>
        </w:numPr>
        <w:tabs>
          <w:tab w:pos="2160" w:val="left" w:leader="none"/>
          <w:tab w:pos="2161" w:val="left" w:leader="none"/>
          <w:tab w:pos="2927" w:val="left" w:leader="none"/>
          <w:tab w:pos="3390" w:val="left" w:leader="none"/>
          <w:tab w:pos="4030" w:val="left" w:leader="none"/>
          <w:tab w:pos="4897" w:val="left" w:leader="none"/>
          <w:tab w:pos="5341" w:val="left" w:leader="none"/>
        </w:tabs>
        <w:spacing w:line="268" w:lineRule="auto" w:before="1" w:after="0"/>
        <w:ind w:left="2160" w:right="0" w:hanging="360"/>
        <w:jc w:val="left"/>
        <w:rPr>
          <w:sz w:val="22"/>
        </w:rPr>
      </w:pPr>
      <w:r>
        <w:rPr>
          <w:sz w:val="22"/>
        </w:rPr>
        <w:t>Mujer</w:t>
        <w:tab/>
        <w:t>de</w:t>
        <w:tab/>
        <w:t>raza</w:t>
        <w:tab/>
        <w:t>blanca</w:t>
        <w:tab/>
        <w:t>es</w:t>
        <w:tab/>
        <w:t>más vulnerable que </w:t>
      </w:r>
      <w:r>
        <w:rPr>
          <w:spacing w:val="-3"/>
          <w:sz w:val="22"/>
        </w:rPr>
        <w:t>la </w:t>
      </w:r>
      <w:r>
        <w:rPr>
          <w:sz w:val="22"/>
        </w:rPr>
        <w:t>latina o </w:t>
      </w:r>
      <w:r>
        <w:rPr>
          <w:spacing w:val="-3"/>
          <w:sz w:val="22"/>
        </w:rPr>
        <w:t>la</w:t>
      </w:r>
      <w:r>
        <w:rPr>
          <w:spacing w:val="2"/>
          <w:sz w:val="22"/>
        </w:rPr>
        <w:t> </w:t>
      </w:r>
      <w:r>
        <w:rPr>
          <w:sz w:val="22"/>
        </w:rPr>
        <w:t>negra</w:t>
      </w:r>
    </w:p>
    <w:p>
      <w:pPr>
        <w:pStyle w:val="ListParagraph"/>
        <w:numPr>
          <w:ilvl w:val="3"/>
          <w:numId w:val="4"/>
        </w:numPr>
        <w:tabs>
          <w:tab w:pos="2160" w:val="left" w:leader="none"/>
          <w:tab w:pos="2161" w:val="left" w:leader="none"/>
        </w:tabs>
        <w:spacing w:line="240" w:lineRule="auto" w:before="11" w:after="0"/>
        <w:ind w:left="2160" w:right="0" w:hanging="360"/>
        <w:jc w:val="left"/>
        <w:rPr>
          <w:sz w:val="22"/>
        </w:rPr>
      </w:pPr>
      <w:r>
        <w:rPr>
          <w:sz w:val="22"/>
        </w:rPr>
        <w:t>El</w:t>
      </w:r>
      <w:r>
        <w:rPr>
          <w:spacing w:val="-7"/>
          <w:sz w:val="22"/>
        </w:rPr>
        <w:t> </w:t>
      </w:r>
      <w:r>
        <w:rPr>
          <w:sz w:val="22"/>
        </w:rPr>
        <w:t>sedentarismo</w:t>
      </w:r>
    </w:p>
    <w:p>
      <w:pPr>
        <w:pStyle w:val="ListParagraph"/>
        <w:numPr>
          <w:ilvl w:val="3"/>
          <w:numId w:val="4"/>
        </w:numPr>
        <w:tabs>
          <w:tab w:pos="2160" w:val="left" w:leader="none"/>
          <w:tab w:pos="2161" w:val="left" w:leader="none"/>
        </w:tabs>
        <w:spacing w:line="240" w:lineRule="auto" w:before="38" w:after="0"/>
        <w:ind w:left="2160" w:right="0" w:hanging="360"/>
        <w:jc w:val="left"/>
        <w:rPr>
          <w:sz w:val="22"/>
        </w:rPr>
      </w:pPr>
      <w:r>
        <w:rPr>
          <w:sz w:val="22"/>
        </w:rPr>
        <w:t>Tabaquismo</w:t>
      </w:r>
    </w:p>
    <w:p>
      <w:pPr>
        <w:pStyle w:val="ListParagraph"/>
        <w:numPr>
          <w:ilvl w:val="3"/>
          <w:numId w:val="4"/>
        </w:numPr>
        <w:tabs>
          <w:tab w:pos="2160" w:val="left" w:leader="none"/>
          <w:tab w:pos="2161" w:val="left" w:leader="none"/>
        </w:tabs>
        <w:spacing w:line="240" w:lineRule="auto" w:before="34" w:after="0"/>
        <w:ind w:left="2160" w:right="0" w:hanging="360"/>
        <w:jc w:val="left"/>
        <w:rPr>
          <w:sz w:val="22"/>
        </w:rPr>
      </w:pPr>
      <w:r>
        <w:rPr>
          <w:sz w:val="22"/>
        </w:rPr>
        <w:t>Alcoholismo</w:t>
      </w:r>
    </w:p>
    <w:p>
      <w:pPr>
        <w:pStyle w:val="ListParagraph"/>
        <w:numPr>
          <w:ilvl w:val="3"/>
          <w:numId w:val="4"/>
        </w:numPr>
        <w:tabs>
          <w:tab w:pos="2160" w:val="left" w:leader="none"/>
          <w:tab w:pos="2161" w:val="left" w:leader="none"/>
        </w:tabs>
        <w:spacing w:line="240" w:lineRule="auto" w:before="34" w:after="0"/>
        <w:ind w:left="2160" w:right="0" w:hanging="360"/>
        <w:jc w:val="left"/>
        <w:rPr>
          <w:sz w:val="22"/>
        </w:rPr>
      </w:pPr>
      <w:r>
        <w:rPr>
          <w:sz w:val="22"/>
        </w:rPr>
        <w:t>Uso de</w:t>
      </w:r>
      <w:r>
        <w:rPr>
          <w:spacing w:val="-1"/>
          <w:sz w:val="22"/>
        </w:rPr>
        <w:t> </w:t>
      </w:r>
      <w:r>
        <w:rPr>
          <w:sz w:val="22"/>
        </w:rPr>
        <w:t>psicotrópicos</w:t>
      </w:r>
    </w:p>
    <w:p>
      <w:pPr>
        <w:pStyle w:val="ListParagraph"/>
        <w:numPr>
          <w:ilvl w:val="3"/>
          <w:numId w:val="4"/>
        </w:numPr>
        <w:tabs>
          <w:tab w:pos="2160" w:val="left" w:leader="none"/>
          <w:tab w:pos="2161" w:val="left" w:leader="none"/>
        </w:tabs>
        <w:spacing w:line="240" w:lineRule="auto" w:before="37" w:after="0"/>
        <w:ind w:left="2160" w:right="0" w:hanging="360"/>
        <w:jc w:val="left"/>
        <w:rPr>
          <w:sz w:val="22"/>
        </w:rPr>
      </w:pPr>
      <w:r>
        <w:rPr>
          <w:sz w:val="22"/>
        </w:rPr>
        <w:t>Demencia</w:t>
      </w:r>
    </w:p>
    <w:p>
      <w:pPr>
        <w:pStyle w:val="ListParagraph"/>
        <w:numPr>
          <w:ilvl w:val="3"/>
          <w:numId w:val="4"/>
        </w:numPr>
        <w:tabs>
          <w:tab w:pos="2160" w:val="left" w:leader="none"/>
          <w:tab w:pos="2161" w:val="left" w:leader="none"/>
        </w:tabs>
        <w:spacing w:line="451" w:lineRule="auto" w:before="33" w:after="0"/>
        <w:ind w:left="1440" w:right="2306" w:firstLine="360"/>
        <w:jc w:val="left"/>
        <w:rPr>
          <w:b/>
          <w:i/>
          <w:sz w:val="22"/>
        </w:rPr>
      </w:pPr>
      <w:r>
        <w:rPr>
          <w:spacing w:val="-1"/>
          <w:sz w:val="22"/>
        </w:rPr>
        <w:t>Osteoporosis </w:t>
      </w:r>
      <w:r>
        <w:rPr>
          <w:b/>
          <w:sz w:val="24"/>
        </w:rPr>
        <w:t>ANATOMIA </w:t>
      </w:r>
      <w:r>
        <w:rPr>
          <w:b/>
          <w:i/>
          <w:sz w:val="22"/>
        </w:rPr>
        <w:t>Fémur</w:t>
      </w:r>
    </w:p>
    <w:p>
      <w:pPr>
        <w:pStyle w:val="BodyText"/>
        <w:spacing w:line="276" w:lineRule="auto" w:before="62"/>
        <w:ind w:left="1440"/>
        <w:jc w:val="both"/>
      </w:pPr>
      <w:r>
        <w:rPr/>
        <w:t>El fémur es el hueso más largo del organismo, consta de un cuerpo y dos extremos: uno superior o proximal y otro inferior o distal. Para fines prácticos nos</w:t>
      </w:r>
    </w:p>
    <w:p>
      <w:pPr>
        <w:pStyle w:val="BodyText"/>
        <w:spacing w:line="276" w:lineRule="auto" w:before="75"/>
        <w:ind w:left="680" w:right="1435"/>
        <w:jc w:val="both"/>
      </w:pPr>
      <w:r>
        <w:rPr/>
        <w:br w:type="column"/>
      </w:r>
      <w:r>
        <w:rPr/>
        <w:t>enfocaremos en el extremo proximal, en donde se encuentra </w:t>
      </w:r>
      <w:r>
        <w:rPr>
          <w:spacing w:val="-3"/>
        </w:rPr>
        <w:t>la </w:t>
      </w:r>
      <w:r>
        <w:rPr/>
        <w:t>cabeza del fémur, estructura recubierta de cartílago con forma esferoide; en ella existe una depresión llamada fosita de </w:t>
      </w:r>
      <w:r>
        <w:rPr>
          <w:spacing w:val="-3"/>
        </w:rPr>
        <w:t>la </w:t>
      </w:r>
      <w:r>
        <w:rPr/>
        <w:t>cabeza del fémur que alberga el ligamento de </w:t>
      </w:r>
      <w:r>
        <w:rPr>
          <w:spacing w:val="-3"/>
        </w:rPr>
        <w:t>la </w:t>
      </w:r>
      <w:r>
        <w:rPr/>
        <w:t>cabeza  del fémur, que contiene a su vez, </w:t>
      </w:r>
      <w:r>
        <w:rPr>
          <w:spacing w:val="-3"/>
        </w:rPr>
        <w:t>la </w:t>
      </w:r>
      <w:r>
        <w:rPr/>
        <w:t>arteria de </w:t>
      </w:r>
      <w:r>
        <w:rPr>
          <w:spacing w:val="-3"/>
        </w:rPr>
        <w:t>la </w:t>
      </w:r>
      <w:r>
        <w:rPr/>
        <w:t>cabeza del</w:t>
      </w:r>
      <w:r>
        <w:rPr>
          <w:spacing w:val="-3"/>
        </w:rPr>
        <w:t> </w:t>
      </w:r>
      <w:r>
        <w:rPr/>
        <w:t>fémur.</w:t>
      </w:r>
    </w:p>
    <w:p>
      <w:pPr>
        <w:pStyle w:val="BodyText"/>
        <w:rPr>
          <w:sz w:val="21"/>
        </w:rPr>
      </w:pPr>
    </w:p>
    <w:p>
      <w:pPr>
        <w:pStyle w:val="BodyText"/>
        <w:spacing w:line="276" w:lineRule="auto"/>
        <w:ind w:left="680" w:right="1433"/>
        <w:jc w:val="both"/>
      </w:pPr>
      <w:r>
        <w:rPr/>
        <w:t>La línea intertrocanterica es </w:t>
      </w:r>
      <w:r>
        <w:rPr>
          <w:spacing w:val="-3"/>
        </w:rPr>
        <w:t>la </w:t>
      </w:r>
      <w:r>
        <w:rPr/>
        <w:t>zona de unión entre el cuello y el cuerpo del fémur, en sus extremos medial y lateral existen dos elevaciones, denominadas los trocánteres. El trocánter menor se encuentra medial y en </w:t>
      </w:r>
      <w:r>
        <w:rPr>
          <w:spacing w:val="1"/>
        </w:rPr>
        <w:t>él </w:t>
      </w:r>
      <w:r>
        <w:rPr/>
        <w:t>se inserta el tendón músculo iliopsoas. El trocánter mayor es una masa ósea grande ubicada en posición lateral proporcionando </w:t>
      </w:r>
      <w:r>
        <w:rPr>
          <w:spacing w:val="-3"/>
        </w:rPr>
        <w:t>la </w:t>
      </w:r>
      <w:r>
        <w:rPr/>
        <w:t>inserción y palanca de los abductores y rotadores del</w:t>
      </w:r>
      <w:r>
        <w:rPr>
          <w:spacing w:val="-7"/>
        </w:rPr>
        <w:t> </w:t>
      </w:r>
      <w:r>
        <w:rPr/>
        <w:t>muslo.</w:t>
      </w:r>
    </w:p>
    <w:p>
      <w:pPr>
        <w:pStyle w:val="BodyText"/>
        <w:rPr>
          <w:sz w:val="21"/>
        </w:rPr>
      </w:pPr>
    </w:p>
    <w:p>
      <w:pPr>
        <w:pStyle w:val="Heading5"/>
        <w:ind w:left="680"/>
        <w:jc w:val="left"/>
        <w:rPr>
          <w:i/>
        </w:rPr>
      </w:pPr>
      <w:r>
        <w:rPr>
          <w:i/>
        </w:rPr>
        <w:t>Irrigación</w:t>
      </w:r>
    </w:p>
    <w:p>
      <w:pPr>
        <w:pStyle w:val="BodyText"/>
        <w:spacing w:before="2"/>
        <w:rPr>
          <w:b/>
          <w:i/>
          <w:sz w:val="24"/>
        </w:rPr>
      </w:pPr>
    </w:p>
    <w:p>
      <w:pPr>
        <w:pStyle w:val="BodyText"/>
        <w:spacing w:line="276" w:lineRule="auto"/>
        <w:ind w:left="680" w:right="1438"/>
        <w:jc w:val="both"/>
      </w:pPr>
      <w:r>
        <w:rPr/>
        <w:t>Las arterias responsables de la irrigación de la cadera son:</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headerReference w:type="default" r:id="rId50"/>
          <w:pgSz w:w="12240" w:h="15840"/>
          <w:pgMar w:header="723" w:footer="882" w:top="940" w:bottom="1080" w:left="0" w:right="0"/>
        </w:sectPr>
      </w:pPr>
    </w:p>
    <w:p>
      <w:pPr>
        <w:pStyle w:val="BodyText"/>
        <w:spacing w:before="6"/>
      </w:pPr>
    </w:p>
    <w:p>
      <w:pPr>
        <w:pStyle w:val="ListParagraph"/>
        <w:numPr>
          <w:ilvl w:val="3"/>
          <w:numId w:val="4"/>
        </w:numPr>
        <w:tabs>
          <w:tab w:pos="2160" w:val="left" w:leader="none"/>
          <w:tab w:pos="2161" w:val="left" w:leader="none"/>
        </w:tabs>
        <w:spacing w:line="259" w:lineRule="auto" w:before="0" w:after="0"/>
        <w:ind w:left="2160" w:right="69" w:hanging="360"/>
        <w:jc w:val="left"/>
        <w:rPr>
          <w:sz w:val="22"/>
        </w:rPr>
      </w:pPr>
      <w:r>
        <w:rPr>
          <w:sz w:val="22"/>
        </w:rPr>
        <w:t>Arterias circunflejas femorales medial y lateral que son ramas de </w:t>
      </w:r>
      <w:r>
        <w:rPr>
          <w:spacing w:val="-3"/>
          <w:sz w:val="22"/>
        </w:rPr>
        <w:t>la </w:t>
      </w:r>
      <w:r>
        <w:rPr>
          <w:sz w:val="22"/>
        </w:rPr>
        <w:t>arteria femoral</w:t>
      </w:r>
      <w:r>
        <w:rPr>
          <w:spacing w:val="-7"/>
          <w:sz w:val="22"/>
        </w:rPr>
        <w:t> </w:t>
      </w:r>
      <w:r>
        <w:rPr>
          <w:sz w:val="22"/>
        </w:rPr>
        <w:t>profunda</w:t>
      </w:r>
    </w:p>
    <w:p>
      <w:pPr>
        <w:pStyle w:val="ListParagraph"/>
        <w:numPr>
          <w:ilvl w:val="3"/>
          <w:numId w:val="4"/>
        </w:numPr>
        <w:tabs>
          <w:tab w:pos="2160" w:val="left" w:leader="none"/>
          <w:tab w:pos="2161" w:val="left" w:leader="none"/>
        </w:tabs>
        <w:spacing w:line="259" w:lineRule="auto" w:before="0" w:after="0"/>
        <w:ind w:left="2160" w:right="39" w:hanging="360"/>
        <w:jc w:val="left"/>
        <w:rPr>
          <w:sz w:val="22"/>
        </w:rPr>
      </w:pPr>
      <w:r>
        <w:rPr>
          <w:sz w:val="22"/>
        </w:rPr>
        <w:t>Arteria para la cabeza del fémur que es rama de </w:t>
      </w:r>
      <w:r>
        <w:rPr>
          <w:spacing w:val="-3"/>
          <w:sz w:val="22"/>
        </w:rPr>
        <w:t>la </w:t>
      </w:r>
      <w:r>
        <w:rPr>
          <w:sz w:val="22"/>
        </w:rPr>
        <w:t>arteria</w:t>
      </w:r>
      <w:r>
        <w:rPr>
          <w:spacing w:val="-2"/>
          <w:sz w:val="22"/>
        </w:rPr>
        <w:t> </w:t>
      </w:r>
      <w:r>
        <w:rPr>
          <w:sz w:val="22"/>
        </w:rPr>
        <w:t>obturatriz</w:t>
      </w:r>
    </w:p>
    <w:p>
      <w:pPr>
        <w:pStyle w:val="BodyText"/>
        <w:spacing w:before="3"/>
        <w:rPr>
          <w:sz w:val="21"/>
        </w:rPr>
      </w:pPr>
    </w:p>
    <w:p>
      <w:pPr>
        <w:pStyle w:val="Heading4"/>
      </w:pPr>
      <w:r>
        <w:rPr/>
        <w:t>CLINICA</w:t>
      </w:r>
    </w:p>
    <w:p>
      <w:pPr>
        <w:pStyle w:val="BodyText"/>
        <w:spacing w:before="6"/>
        <w:rPr>
          <w:b/>
          <w:sz w:val="24"/>
        </w:rPr>
      </w:pPr>
    </w:p>
    <w:p>
      <w:pPr>
        <w:pStyle w:val="BodyText"/>
        <w:spacing w:line="276" w:lineRule="auto"/>
        <w:ind w:left="1440"/>
        <w:jc w:val="both"/>
      </w:pPr>
      <w:r>
        <w:rPr/>
        <w:t>A la exploración, el paciente cursa con dolor inguinal, puede haber hematoma sobre trocánter mayor o genitales. Clásicamente existe imposibilidad para deambular o apoyar el peso sobre la extremidad afectada. La extremidad se encuentra en rotación externa y en abducción, además si la fractura se encuentra desplazada, el miembro estará acortado. En pacientes con fracturas por stress o no desplazadas el cuello femoral puede presentar deformidad evidente.</w:t>
      </w:r>
    </w:p>
    <w:p>
      <w:pPr>
        <w:pStyle w:val="BodyText"/>
        <w:spacing w:before="8"/>
        <w:rPr>
          <w:sz w:val="20"/>
        </w:rPr>
      </w:pPr>
    </w:p>
    <w:p>
      <w:pPr>
        <w:pStyle w:val="Heading4"/>
        <w:spacing w:before="1"/>
      </w:pPr>
      <w:r>
        <w:rPr/>
        <w:t>DIAGNOSTICO</w:t>
      </w:r>
    </w:p>
    <w:p>
      <w:pPr>
        <w:pStyle w:val="BodyText"/>
        <w:spacing w:before="6"/>
        <w:rPr>
          <w:b/>
          <w:sz w:val="24"/>
        </w:rPr>
      </w:pPr>
    </w:p>
    <w:p>
      <w:pPr>
        <w:pStyle w:val="BodyText"/>
        <w:spacing w:line="276" w:lineRule="auto" w:before="1"/>
        <w:ind w:left="1440"/>
        <w:jc w:val="both"/>
      </w:pPr>
      <w:r>
        <w:rPr/>
        <w:t>La radiografía simple es la herramienta clásica para su diagnóstico, se solicita la proyección anteroposterior de pelvis y las proyecciones anteroposterior y lateral de la cadera y fémur afectados. En aquellos casos, en que las radiografías no muestran lesiones, pero la historia y el examen físico son altamente sugestivos, se debe realizar resonancia magnética.</w:t>
      </w:r>
    </w:p>
    <w:p>
      <w:pPr>
        <w:pStyle w:val="BodyText"/>
        <w:spacing w:before="10"/>
        <w:rPr>
          <w:sz w:val="20"/>
        </w:rPr>
      </w:pPr>
    </w:p>
    <w:p>
      <w:pPr>
        <w:pStyle w:val="Heading4"/>
      </w:pPr>
      <w:r>
        <w:rPr/>
        <w:t>FRACTURAS</w:t>
      </w:r>
    </w:p>
    <w:p>
      <w:pPr>
        <w:pStyle w:val="BodyText"/>
        <w:spacing w:before="6"/>
        <w:rPr>
          <w:b/>
          <w:sz w:val="24"/>
        </w:rPr>
      </w:pPr>
    </w:p>
    <w:p>
      <w:pPr>
        <w:pStyle w:val="BodyText"/>
        <w:spacing w:line="276" w:lineRule="auto"/>
        <w:ind w:left="1440" w:right="2"/>
        <w:jc w:val="both"/>
      </w:pPr>
      <w:r>
        <w:rPr/>
        <w:t>Existen cuatro grandes grupos de fracturas de acuerdo a su localización que se mencionan detalladamente a continuación:</w:t>
      </w:r>
    </w:p>
    <w:p>
      <w:pPr>
        <w:pStyle w:val="BodyText"/>
        <w:spacing w:before="7"/>
        <w:rPr>
          <w:sz w:val="20"/>
        </w:rPr>
      </w:pPr>
    </w:p>
    <w:p>
      <w:pPr>
        <w:pStyle w:val="Heading5"/>
        <w:numPr>
          <w:ilvl w:val="0"/>
          <w:numId w:val="5"/>
        </w:numPr>
        <w:tabs>
          <w:tab w:pos="1685" w:val="left" w:leader="none"/>
        </w:tabs>
        <w:spacing w:line="240" w:lineRule="auto" w:before="0" w:after="0"/>
        <w:ind w:left="678" w:right="0" w:firstLine="762"/>
        <w:jc w:val="both"/>
        <w:rPr>
          <w:i/>
        </w:rPr>
      </w:pPr>
      <w:r>
        <w:rPr>
          <w:i/>
        </w:rPr>
        <w:t>Fractura de la cabeza</w:t>
      </w:r>
      <w:r>
        <w:rPr>
          <w:i/>
          <w:spacing w:val="-3"/>
        </w:rPr>
        <w:t> </w:t>
      </w:r>
      <w:r>
        <w:rPr>
          <w:i/>
        </w:rPr>
        <w:t>femoral</w:t>
      </w:r>
    </w:p>
    <w:p>
      <w:pPr>
        <w:pStyle w:val="BodyText"/>
        <w:spacing w:before="3"/>
        <w:rPr>
          <w:b/>
          <w:i/>
          <w:sz w:val="24"/>
        </w:rPr>
      </w:pPr>
    </w:p>
    <w:p>
      <w:pPr>
        <w:pStyle w:val="BodyText"/>
        <w:spacing w:line="276" w:lineRule="auto"/>
        <w:ind w:left="1440" w:right="2"/>
        <w:jc w:val="both"/>
      </w:pPr>
      <w:r>
        <w:rPr/>
        <w:t>Se agrupa bajo la clasificación de Pipkin 1 (la cual está basada en la localización de la fractura en relación con la fóvea y la presencia o ausencia de fracturas</w:t>
      </w:r>
    </w:p>
    <w:p>
      <w:pPr>
        <w:pStyle w:val="BodyText"/>
        <w:spacing w:before="8"/>
      </w:pPr>
      <w:r>
        <w:rPr/>
        <w:br w:type="column"/>
      </w:r>
      <w:r>
        <w:rPr/>
      </w:r>
    </w:p>
    <w:p>
      <w:pPr>
        <w:pStyle w:val="BodyText"/>
        <w:spacing w:line="273" w:lineRule="auto"/>
        <w:ind w:left="678" w:right="1441"/>
        <w:jc w:val="both"/>
        <w:rPr>
          <w:i/>
        </w:rPr>
      </w:pPr>
      <w:r>
        <w:rPr/>
        <w:t>asociadas al acetábulo y del cuello femoral). Ver </w:t>
      </w:r>
      <w:r>
        <w:rPr>
          <w:i/>
        </w:rPr>
        <w:t>Tabla</w:t>
      </w:r>
      <w:r>
        <w:rPr>
          <w:i/>
          <w:spacing w:val="-6"/>
        </w:rPr>
        <w:t> </w:t>
      </w:r>
      <w:r>
        <w:rPr>
          <w:i/>
        </w:rPr>
        <w:t>1.</w:t>
      </w:r>
    </w:p>
    <w:p>
      <w:pPr>
        <w:pStyle w:val="BodyText"/>
        <w:spacing w:before="10" w:after="1"/>
        <w:rPr>
          <w:i/>
          <w:sz w:val="17"/>
        </w:rPr>
      </w:pPr>
    </w:p>
    <w:tbl>
      <w:tblPr>
        <w:tblW w:w="0" w:type="auto"/>
        <w:jc w:val="left"/>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3501"/>
      </w:tblGrid>
      <w:tr>
        <w:trPr>
          <w:trHeight w:val="758" w:hRule="atLeast"/>
        </w:trPr>
        <w:tc>
          <w:tcPr>
            <w:tcW w:w="4461" w:type="dxa"/>
            <w:gridSpan w:val="2"/>
          </w:tcPr>
          <w:p>
            <w:pPr>
              <w:pStyle w:val="TableParagraph"/>
              <w:spacing w:line="280" w:lineRule="auto"/>
              <w:ind w:left="71"/>
              <w:rPr>
                <w:sz w:val="20"/>
              </w:rPr>
            </w:pPr>
            <w:r>
              <w:rPr>
                <w:b/>
                <w:sz w:val="22"/>
              </w:rPr>
              <w:t>Tabla 1. </w:t>
            </w:r>
            <w:r>
              <w:rPr>
                <w:sz w:val="20"/>
              </w:rPr>
              <w:t>Clasificación de Pipkin 1 de las fracturas de la cabeza femoral.</w:t>
            </w:r>
          </w:p>
        </w:tc>
      </w:tr>
      <w:tr>
        <w:trPr>
          <w:trHeight w:val="462" w:hRule="atLeast"/>
        </w:trPr>
        <w:tc>
          <w:tcPr>
            <w:tcW w:w="960" w:type="dxa"/>
          </w:tcPr>
          <w:p>
            <w:pPr>
              <w:pStyle w:val="TableParagraph"/>
              <w:spacing w:line="222" w:lineRule="exact"/>
              <w:ind w:left="107"/>
              <w:rPr>
                <w:b/>
                <w:sz w:val="20"/>
              </w:rPr>
            </w:pPr>
            <w:r>
              <w:rPr>
                <w:b/>
                <w:sz w:val="20"/>
              </w:rPr>
              <w:t>TIPO I</w:t>
            </w:r>
          </w:p>
        </w:tc>
        <w:tc>
          <w:tcPr>
            <w:tcW w:w="3501" w:type="dxa"/>
          </w:tcPr>
          <w:p>
            <w:pPr>
              <w:pStyle w:val="TableParagraph"/>
              <w:spacing w:line="226" w:lineRule="exact"/>
              <w:ind w:left="107"/>
              <w:rPr>
                <w:sz w:val="20"/>
              </w:rPr>
            </w:pPr>
            <w:r>
              <w:rPr>
                <w:sz w:val="20"/>
              </w:rPr>
              <w:t>Fractura por debajo de la fóvea.</w:t>
            </w:r>
          </w:p>
        </w:tc>
      </w:tr>
      <w:tr>
        <w:trPr>
          <w:trHeight w:val="465" w:hRule="atLeast"/>
        </w:trPr>
        <w:tc>
          <w:tcPr>
            <w:tcW w:w="960" w:type="dxa"/>
          </w:tcPr>
          <w:p>
            <w:pPr>
              <w:pStyle w:val="TableParagraph"/>
              <w:spacing w:line="225" w:lineRule="exact"/>
              <w:ind w:left="107"/>
              <w:rPr>
                <w:b/>
                <w:sz w:val="20"/>
              </w:rPr>
            </w:pPr>
            <w:r>
              <w:rPr>
                <w:b/>
                <w:sz w:val="20"/>
              </w:rPr>
              <w:t>TIPO II</w:t>
            </w:r>
          </w:p>
        </w:tc>
        <w:tc>
          <w:tcPr>
            <w:tcW w:w="3501" w:type="dxa"/>
          </w:tcPr>
          <w:p>
            <w:pPr>
              <w:pStyle w:val="TableParagraph"/>
              <w:spacing w:line="229" w:lineRule="exact"/>
              <w:ind w:left="107"/>
              <w:rPr>
                <w:sz w:val="20"/>
              </w:rPr>
            </w:pPr>
            <w:r>
              <w:rPr>
                <w:sz w:val="20"/>
              </w:rPr>
              <w:t>Fractura por encima de la fóvea.</w:t>
            </w:r>
          </w:p>
        </w:tc>
      </w:tr>
      <w:tr>
        <w:trPr>
          <w:trHeight w:val="465" w:hRule="atLeast"/>
        </w:trPr>
        <w:tc>
          <w:tcPr>
            <w:tcW w:w="960" w:type="dxa"/>
          </w:tcPr>
          <w:p>
            <w:pPr>
              <w:pStyle w:val="TableParagraph"/>
              <w:spacing w:line="225" w:lineRule="exact"/>
              <w:ind w:left="107"/>
              <w:rPr>
                <w:b/>
                <w:sz w:val="20"/>
              </w:rPr>
            </w:pPr>
            <w:r>
              <w:rPr>
                <w:b/>
                <w:sz w:val="20"/>
              </w:rPr>
              <w:t>TIPO III</w:t>
            </w:r>
          </w:p>
        </w:tc>
        <w:tc>
          <w:tcPr>
            <w:tcW w:w="3501" w:type="dxa"/>
          </w:tcPr>
          <w:p>
            <w:pPr>
              <w:pStyle w:val="TableParagraph"/>
              <w:spacing w:line="229" w:lineRule="exact"/>
              <w:ind w:left="107"/>
              <w:rPr>
                <w:sz w:val="20"/>
              </w:rPr>
            </w:pPr>
            <w:r>
              <w:rPr>
                <w:sz w:val="20"/>
              </w:rPr>
              <w:t>Fractura asociada del cuello femoral</w:t>
            </w:r>
          </w:p>
        </w:tc>
      </w:tr>
      <w:tr>
        <w:trPr>
          <w:trHeight w:val="461" w:hRule="atLeast"/>
        </w:trPr>
        <w:tc>
          <w:tcPr>
            <w:tcW w:w="960" w:type="dxa"/>
          </w:tcPr>
          <w:p>
            <w:pPr>
              <w:pStyle w:val="TableParagraph"/>
              <w:spacing w:line="221" w:lineRule="exact"/>
              <w:ind w:left="107"/>
              <w:rPr>
                <w:b/>
                <w:sz w:val="20"/>
              </w:rPr>
            </w:pPr>
            <w:r>
              <w:rPr>
                <w:b/>
                <w:sz w:val="20"/>
              </w:rPr>
              <w:t>TIPOIV</w:t>
            </w:r>
          </w:p>
        </w:tc>
        <w:tc>
          <w:tcPr>
            <w:tcW w:w="3501" w:type="dxa"/>
          </w:tcPr>
          <w:p>
            <w:pPr>
              <w:pStyle w:val="TableParagraph"/>
              <w:spacing w:line="225" w:lineRule="exact"/>
              <w:ind w:left="107"/>
              <w:rPr>
                <w:sz w:val="20"/>
              </w:rPr>
            </w:pPr>
            <w:r>
              <w:rPr>
                <w:sz w:val="20"/>
              </w:rPr>
              <w:t>Fractura acetábulo asociada.</w:t>
            </w:r>
          </w:p>
        </w:tc>
      </w:tr>
    </w:tbl>
    <w:p>
      <w:pPr>
        <w:pStyle w:val="BodyText"/>
        <w:rPr>
          <w:i/>
          <w:sz w:val="24"/>
        </w:rPr>
      </w:pPr>
    </w:p>
    <w:p>
      <w:pPr>
        <w:pStyle w:val="BodyText"/>
        <w:spacing w:before="11"/>
        <w:rPr>
          <w:i/>
          <w:sz w:val="18"/>
        </w:rPr>
      </w:pPr>
    </w:p>
    <w:p>
      <w:pPr>
        <w:pStyle w:val="Heading5"/>
        <w:numPr>
          <w:ilvl w:val="0"/>
          <w:numId w:val="5"/>
        </w:numPr>
        <w:tabs>
          <w:tab w:pos="1139" w:val="left" w:leader="none"/>
        </w:tabs>
        <w:spacing w:line="273" w:lineRule="auto" w:before="0" w:after="0"/>
        <w:ind w:left="678" w:right="1436" w:firstLine="0"/>
        <w:jc w:val="both"/>
      </w:pPr>
      <w:r>
        <w:rPr>
          <w:i/>
        </w:rPr>
        <w:t>Fractura del cuello femoral o </w:t>
      </w:r>
      <w:r>
        <w:rPr/>
        <w:t>intracapsulares</w:t>
      </w:r>
    </w:p>
    <w:p>
      <w:pPr>
        <w:pStyle w:val="BodyText"/>
        <w:spacing w:line="276" w:lineRule="auto" w:before="204"/>
        <w:ind w:left="678" w:right="1438"/>
        <w:jc w:val="both"/>
      </w:pPr>
      <w:r>
        <w:rPr/>
        <w:t>Ocurren dentro de la capsula de la articulación de la cadera. Existen dos clasificaciones:</w:t>
      </w:r>
    </w:p>
    <w:p>
      <w:pPr>
        <w:pStyle w:val="BodyText"/>
        <w:spacing w:line="276" w:lineRule="auto" w:before="202"/>
        <w:ind w:left="678" w:right="1433"/>
        <w:jc w:val="both"/>
        <w:rPr>
          <w:i/>
        </w:rPr>
      </w:pPr>
      <w:r>
        <w:rPr/>
        <w:pict>
          <v:shape style="position:absolute;margin-left:318.5pt;margin-top:165.837921pt;width:223.7pt;height:199.5pt;mso-position-horizontal-relative:page;mso-position-vertical-relative:paragraph;z-index:152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
                    <w:gridCol w:w="3645"/>
                  </w:tblGrid>
                  <w:tr>
                    <w:trPr>
                      <w:trHeight w:val="754" w:hRule="atLeast"/>
                    </w:trPr>
                    <w:tc>
                      <w:tcPr>
                        <w:tcW w:w="4462" w:type="dxa"/>
                        <w:gridSpan w:val="2"/>
                      </w:tcPr>
                      <w:p>
                        <w:pPr>
                          <w:pStyle w:val="TableParagraph"/>
                          <w:spacing w:line="280" w:lineRule="auto"/>
                          <w:ind w:left="71"/>
                          <w:rPr>
                            <w:sz w:val="20"/>
                          </w:rPr>
                        </w:pPr>
                        <w:r>
                          <w:rPr>
                            <w:b/>
                            <w:sz w:val="22"/>
                          </w:rPr>
                          <w:t>Tabla 2. </w:t>
                        </w:r>
                        <w:r>
                          <w:rPr>
                            <w:sz w:val="20"/>
                          </w:rPr>
                          <w:t>Clasificación de Garden de la fractura del cuello femoral.</w:t>
                        </w:r>
                      </w:p>
                    </w:tc>
                  </w:tr>
                  <w:tr>
                    <w:trPr>
                      <w:trHeight w:val="730" w:hRule="atLeast"/>
                    </w:trPr>
                    <w:tc>
                      <w:tcPr>
                        <w:tcW w:w="817" w:type="dxa"/>
                      </w:tcPr>
                      <w:p>
                        <w:pPr>
                          <w:pStyle w:val="TableParagraph"/>
                          <w:spacing w:line="276" w:lineRule="auto"/>
                          <w:ind w:left="407" w:right="149" w:hanging="236"/>
                          <w:rPr>
                            <w:b/>
                            <w:sz w:val="20"/>
                          </w:rPr>
                        </w:pPr>
                        <w:r>
                          <w:rPr>
                            <w:b/>
                            <w:sz w:val="20"/>
                          </w:rPr>
                          <w:t>TIPO I</w:t>
                        </w:r>
                      </w:p>
                    </w:tc>
                    <w:tc>
                      <w:tcPr>
                        <w:tcW w:w="3645" w:type="dxa"/>
                      </w:tcPr>
                      <w:p>
                        <w:pPr>
                          <w:pStyle w:val="TableParagraph"/>
                          <w:spacing w:line="276" w:lineRule="auto"/>
                          <w:ind w:left="106" w:right="99"/>
                          <w:rPr>
                            <w:sz w:val="20"/>
                          </w:rPr>
                        </w:pPr>
                        <w:r>
                          <w:rPr>
                            <w:sz w:val="20"/>
                          </w:rPr>
                          <w:t>Incompleta no desplazada, impactada en valgo (generalmente estable)</w:t>
                        </w:r>
                      </w:p>
                    </w:tc>
                  </w:tr>
                  <w:tr>
                    <w:trPr>
                      <w:trHeight w:val="726" w:hRule="atLeast"/>
                    </w:trPr>
                    <w:tc>
                      <w:tcPr>
                        <w:tcW w:w="817" w:type="dxa"/>
                      </w:tcPr>
                      <w:p>
                        <w:pPr>
                          <w:pStyle w:val="TableParagraph"/>
                          <w:spacing w:line="276" w:lineRule="auto"/>
                          <w:ind w:left="351" w:right="149" w:hanging="180"/>
                          <w:rPr>
                            <w:b/>
                            <w:sz w:val="20"/>
                          </w:rPr>
                        </w:pPr>
                        <w:r>
                          <w:rPr>
                            <w:b/>
                            <w:sz w:val="20"/>
                          </w:rPr>
                          <w:t>TIPO II</w:t>
                        </w:r>
                      </w:p>
                    </w:tc>
                    <w:tc>
                      <w:tcPr>
                        <w:tcW w:w="3645" w:type="dxa"/>
                      </w:tcPr>
                      <w:p>
                        <w:pPr>
                          <w:pStyle w:val="TableParagraph"/>
                          <w:tabs>
                            <w:tab w:pos="1349" w:val="left" w:leader="none"/>
                            <w:tab w:pos="1904" w:val="left" w:leader="none"/>
                            <w:tab w:pos="3311" w:val="left" w:leader="none"/>
                          </w:tabs>
                          <w:spacing w:line="276" w:lineRule="auto"/>
                          <w:ind w:left="106" w:right="98"/>
                          <w:rPr>
                            <w:sz w:val="20"/>
                          </w:rPr>
                        </w:pPr>
                        <w:r>
                          <w:rPr>
                            <w:sz w:val="20"/>
                          </w:rPr>
                          <w:t>Completa,</w:t>
                          <w:tab/>
                          <w:t>no</w:t>
                          <w:tab/>
                          <w:t>desplazada,</w:t>
                          <w:tab/>
                          <w:t>no impactada.</w:t>
                        </w:r>
                      </w:p>
                    </w:tc>
                  </w:tr>
                  <w:tr>
                    <w:trPr>
                      <w:trHeight w:val="994" w:hRule="atLeast"/>
                    </w:trPr>
                    <w:tc>
                      <w:tcPr>
                        <w:tcW w:w="817" w:type="dxa"/>
                      </w:tcPr>
                      <w:p>
                        <w:pPr>
                          <w:pStyle w:val="TableParagraph"/>
                          <w:spacing w:line="276" w:lineRule="auto"/>
                          <w:ind w:left="322" w:right="150" w:hanging="152"/>
                          <w:rPr>
                            <w:b/>
                            <w:sz w:val="20"/>
                          </w:rPr>
                        </w:pPr>
                        <w:r>
                          <w:rPr>
                            <w:b/>
                            <w:sz w:val="20"/>
                          </w:rPr>
                          <w:t>TIPO III</w:t>
                        </w:r>
                      </w:p>
                    </w:tc>
                    <w:tc>
                      <w:tcPr>
                        <w:tcW w:w="3645" w:type="dxa"/>
                      </w:tcPr>
                      <w:p>
                        <w:pPr>
                          <w:pStyle w:val="TableParagraph"/>
                          <w:tabs>
                            <w:tab w:pos="2009" w:val="left" w:leader="none"/>
                          </w:tabs>
                          <w:spacing w:line="276" w:lineRule="auto"/>
                          <w:ind w:left="106" w:right="99"/>
                          <w:jc w:val="both"/>
                          <w:rPr>
                            <w:sz w:val="20"/>
                          </w:rPr>
                        </w:pPr>
                        <w:r>
                          <w:rPr>
                            <w:sz w:val="20"/>
                          </w:rPr>
                          <w:t>Completa,</w:t>
                          <w:tab/>
                        </w:r>
                        <w:r>
                          <w:rPr>
                            <w:spacing w:val="-1"/>
                            <w:sz w:val="20"/>
                          </w:rPr>
                          <w:t>incompletamente </w:t>
                        </w:r>
                        <w:r>
                          <w:rPr>
                            <w:sz w:val="20"/>
                          </w:rPr>
                          <w:t>desplazada en mala alineación en varo.</w:t>
                        </w:r>
                      </w:p>
                    </w:tc>
                  </w:tr>
                  <w:tr>
                    <w:trPr>
                      <w:trHeight w:val="725" w:hRule="atLeast"/>
                    </w:trPr>
                    <w:tc>
                      <w:tcPr>
                        <w:tcW w:w="817" w:type="dxa"/>
                      </w:tcPr>
                      <w:p>
                        <w:pPr>
                          <w:pStyle w:val="TableParagraph"/>
                          <w:spacing w:line="276" w:lineRule="auto"/>
                          <w:ind w:left="311" w:right="149" w:hanging="140"/>
                          <w:rPr>
                            <w:b/>
                            <w:sz w:val="20"/>
                          </w:rPr>
                        </w:pPr>
                        <w:r>
                          <w:rPr>
                            <w:b/>
                            <w:sz w:val="20"/>
                          </w:rPr>
                          <w:t>TIPO IV</w:t>
                        </w:r>
                      </w:p>
                    </w:tc>
                    <w:tc>
                      <w:tcPr>
                        <w:tcW w:w="3645" w:type="dxa"/>
                      </w:tcPr>
                      <w:p>
                        <w:pPr>
                          <w:pStyle w:val="TableParagraph"/>
                          <w:tabs>
                            <w:tab w:pos="1856" w:val="left" w:leader="none"/>
                            <w:tab w:pos="3279" w:val="left" w:leader="none"/>
                          </w:tabs>
                          <w:spacing w:line="276" w:lineRule="auto"/>
                          <w:ind w:left="106" w:right="98"/>
                          <w:rPr>
                            <w:sz w:val="20"/>
                          </w:rPr>
                        </w:pPr>
                        <w:r>
                          <w:rPr>
                            <w:sz w:val="20"/>
                          </w:rPr>
                          <w:t>Completamente</w:t>
                          <w:tab/>
                          <w:t>desplazada,</w:t>
                          <w:tab/>
                          <w:t>sin encaje entre los</w:t>
                        </w:r>
                        <w:r>
                          <w:rPr>
                            <w:spacing w:val="-5"/>
                            <w:sz w:val="20"/>
                          </w:rPr>
                          <w:t> </w:t>
                        </w:r>
                        <w:r>
                          <w:rPr>
                            <w:sz w:val="20"/>
                          </w:rPr>
                          <w:t>fragmentos.</w:t>
                        </w:r>
                      </w:p>
                    </w:tc>
                  </w:tr>
                </w:tbl>
                <w:p>
                  <w:pPr>
                    <w:pStyle w:val="BodyText"/>
                  </w:pPr>
                </w:p>
              </w:txbxContent>
            </v:textbox>
            <w10:wrap type="none"/>
          </v:shape>
        </w:pict>
      </w:r>
      <w:r>
        <w:rPr/>
        <w:t>Clasificación de Garden: (baja energía) se presenta en pacientes de edad avanzada, asociada a osteoporosis y cuyo mecanismo de lesión es </w:t>
      </w:r>
      <w:r>
        <w:rPr>
          <w:spacing w:val="-3"/>
        </w:rPr>
        <w:t>la </w:t>
      </w:r>
      <w:r>
        <w:rPr/>
        <w:t>caída desde </w:t>
      </w:r>
      <w:r>
        <w:rPr>
          <w:spacing w:val="-3"/>
        </w:rPr>
        <w:t>la </w:t>
      </w:r>
      <w:r>
        <w:rPr/>
        <w:t>bipedestación. El desplazamiento entre </w:t>
      </w:r>
      <w:r>
        <w:rPr>
          <w:spacing w:val="-3"/>
        </w:rPr>
        <w:t>la </w:t>
      </w:r>
      <w:r>
        <w:rPr/>
        <w:t>cabeza y el fémur, es un importante índice de sufrimiento vascular. En términos de pronóstico se dividen en no desplazadas/impactadas (tipos I y II) y desplazadas (tipos III y IV). Ver </w:t>
      </w:r>
      <w:r>
        <w:rPr>
          <w:i/>
        </w:rPr>
        <w:t>Tabla</w:t>
      </w:r>
      <w:r>
        <w:rPr>
          <w:i/>
          <w:spacing w:val="-8"/>
        </w:rPr>
        <w:t> </w:t>
      </w:r>
      <w:r>
        <w:rPr>
          <w:i/>
        </w:rPr>
        <w:t>2.</w:t>
      </w:r>
    </w:p>
    <w:p>
      <w:pPr>
        <w:spacing w:after="0" w:line="276" w:lineRule="auto"/>
        <w:jc w:val="both"/>
        <w:sectPr>
          <w:type w:val="continuous"/>
          <w:pgSz w:w="12240" w:h="15840"/>
          <w:pgMar w:top="1500" w:bottom="0" w:left="0" w:right="0"/>
          <w:cols w:num="2" w:equalWidth="0">
            <w:col w:w="5764" w:space="40"/>
            <w:col w:w="6436"/>
          </w:cols>
        </w:sectPr>
      </w:pPr>
    </w:p>
    <w:p>
      <w:pPr>
        <w:spacing w:before="76"/>
        <w:ind w:left="3045" w:right="0" w:firstLine="0"/>
        <w:jc w:val="left"/>
        <w:rPr>
          <w:i/>
          <w:sz w:val="20"/>
        </w:rPr>
      </w:pPr>
      <w:r>
        <w:rPr>
          <w:i/>
          <w:color w:val="2D74B5"/>
          <w:sz w:val="20"/>
        </w:rPr>
        <w:t>FRACTURA DEL EXTREMO PROXIMAL DEL FEMUR - María Fernanda Bolaños Solís</w:t>
      </w:r>
    </w:p>
    <w:p>
      <w:pPr>
        <w:pStyle w:val="BodyText"/>
        <w:rPr>
          <w:i/>
          <w:sz w:val="20"/>
        </w:rPr>
      </w:pPr>
    </w:p>
    <w:p>
      <w:pPr>
        <w:spacing w:after="0"/>
        <w:rPr>
          <w:sz w:val="20"/>
        </w:rPr>
        <w:sectPr>
          <w:headerReference w:type="even" r:id="rId51"/>
          <w:footerReference w:type="even" r:id="rId52"/>
          <w:footerReference w:type="default" r:id="rId53"/>
          <w:pgSz w:w="12240" w:h="15840"/>
          <w:pgMar w:header="0" w:footer="872" w:top="640" w:bottom="1060" w:left="0" w:right="0"/>
          <w:pgNumType w:start="10"/>
        </w:sectPr>
      </w:pPr>
    </w:p>
    <w:p>
      <w:pPr>
        <w:pStyle w:val="BodyText"/>
        <w:spacing w:before="8"/>
        <w:rPr>
          <w:i/>
        </w:rPr>
      </w:pPr>
    </w:p>
    <w:p>
      <w:pPr>
        <w:pStyle w:val="BodyText"/>
        <w:spacing w:line="276" w:lineRule="auto"/>
        <w:ind w:left="1440" w:right="37"/>
        <w:jc w:val="both"/>
        <w:rPr>
          <w:i/>
        </w:rPr>
      </w:pPr>
      <w:r>
        <w:rPr>
          <w:b/>
          <w:i/>
        </w:rPr>
        <w:t>Clasificación de Pawels: </w:t>
      </w:r>
      <w:r>
        <w:rPr/>
        <w:t>(alta energía) se presenta en pacientes jóvenes, asociada con orientación vertical de la fractura, basada en la orientación de la línea de la fractura. Ver </w:t>
      </w:r>
      <w:r>
        <w:rPr>
          <w:i/>
        </w:rPr>
        <w:t>Tabla 3.</w:t>
      </w:r>
    </w:p>
    <w:p>
      <w:pPr>
        <w:pStyle w:val="BodyText"/>
        <w:spacing w:before="1" w:after="1"/>
        <w:rPr>
          <w:i/>
          <w:sz w:val="18"/>
        </w:rPr>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6"/>
        <w:gridCol w:w="3646"/>
      </w:tblGrid>
      <w:tr>
        <w:trPr>
          <w:trHeight w:val="754" w:hRule="atLeast"/>
        </w:trPr>
        <w:tc>
          <w:tcPr>
            <w:tcW w:w="4462" w:type="dxa"/>
            <w:gridSpan w:val="2"/>
          </w:tcPr>
          <w:p>
            <w:pPr>
              <w:pStyle w:val="TableParagraph"/>
              <w:spacing w:line="280" w:lineRule="auto"/>
              <w:ind w:left="70"/>
              <w:rPr>
                <w:sz w:val="20"/>
              </w:rPr>
            </w:pPr>
            <w:r>
              <w:rPr>
                <w:b/>
                <w:sz w:val="22"/>
              </w:rPr>
              <w:t>Tabla 3. </w:t>
            </w:r>
            <w:r>
              <w:rPr>
                <w:sz w:val="20"/>
              </w:rPr>
              <w:t>Clasificación de Pawels de la fractura del cuello femoral.</w:t>
            </w:r>
          </w:p>
        </w:tc>
      </w:tr>
      <w:tr>
        <w:trPr>
          <w:trHeight w:val="730" w:hRule="atLeast"/>
        </w:trPr>
        <w:tc>
          <w:tcPr>
            <w:tcW w:w="816" w:type="dxa"/>
          </w:tcPr>
          <w:p>
            <w:pPr>
              <w:pStyle w:val="TableParagraph"/>
              <w:spacing w:line="276" w:lineRule="auto"/>
              <w:ind w:left="407" w:right="148" w:hanging="236"/>
              <w:rPr>
                <w:b/>
                <w:sz w:val="20"/>
              </w:rPr>
            </w:pPr>
            <w:r>
              <w:rPr>
                <w:b/>
                <w:sz w:val="20"/>
              </w:rPr>
              <w:t>TIPO I</w:t>
            </w:r>
          </w:p>
        </w:tc>
        <w:tc>
          <w:tcPr>
            <w:tcW w:w="3646" w:type="dxa"/>
          </w:tcPr>
          <w:p>
            <w:pPr>
              <w:pStyle w:val="TableParagraph"/>
              <w:spacing w:line="276" w:lineRule="auto"/>
              <w:ind w:left="106" w:right="94"/>
              <w:rPr>
                <w:sz w:val="20"/>
              </w:rPr>
            </w:pPr>
            <w:r>
              <w:rPr>
                <w:sz w:val="20"/>
              </w:rPr>
              <w:t>Trazo de la fractura inferior 30° es una en valgo.</w:t>
            </w:r>
          </w:p>
        </w:tc>
      </w:tr>
      <w:tr>
        <w:trPr>
          <w:trHeight w:val="1258" w:hRule="atLeast"/>
        </w:trPr>
        <w:tc>
          <w:tcPr>
            <w:tcW w:w="816" w:type="dxa"/>
          </w:tcPr>
          <w:p>
            <w:pPr>
              <w:pStyle w:val="TableParagraph"/>
              <w:spacing w:line="276" w:lineRule="auto"/>
              <w:ind w:left="350" w:right="149" w:hanging="180"/>
              <w:rPr>
                <w:b/>
                <w:sz w:val="20"/>
              </w:rPr>
            </w:pPr>
            <w:r>
              <w:rPr>
                <w:b/>
                <w:sz w:val="20"/>
              </w:rPr>
              <w:t>TIPO II</w:t>
            </w:r>
          </w:p>
        </w:tc>
        <w:tc>
          <w:tcPr>
            <w:tcW w:w="3646" w:type="dxa"/>
          </w:tcPr>
          <w:p>
            <w:pPr>
              <w:pStyle w:val="TableParagraph"/>
              <w:spacing w:line="276" w:lineRule="auto"/>
              <w:ind w:left="106" w:right="100"/>
              <w:jc w:val="both"/>
              <w:rPr>
                <w:sz w:val="20"/>
              </w:rPr>
            </w:pPr>
            <w:r>
              <w:rPr>
                <w:sz w:val="20"/>
              </w:rPr>
              <w:t>Trazo de la fractura entre 30 ° y 50°. La cabeza femoral se desliza en varo al no obtener resistencia en la parte superior.</w:t>
            </w:r>
          </w:p>
        </w:tc>
      </w:tr>
      <w:tr>
        <w:trPr>
          <w:trHeight w:val="1518" w:hRule="atLeast"/>
        </w:trPr>
        <w:tc>
          <w:tcPr>
            <w:tcW w:w="816" w:type="dxa"/>
          </w:tcPr>
          <w:p>
            <w:pPr>
              <w:pStyle w:val="TableParagraph"/>
              <w:spacing w:line="276" w:lineRule="auto"/>
              <w:ind w:left="323" w:right="148" w:hanging="152"/>
              <w:rPr>
                <w:b/>
                <w:sz w:val="20"/>
              </w:rPr>
            </w:pPr>
            <w:r>
              <w:rPr>
                <w:b/>
                <w:sz w:val="20"/>
              </w:rPr>
              <w:t>TIPO III</w:t>
            </w:r>
          </w:p>
        </w:tc>
        <w:tc>
          <w:tcPr>
            <w:tcW w:w="3646" w:type="dxa"/>
          </w:tcPr>
          <w:p>
            <w:pPr>
              <w:pStyle w:val="TableParagraph"/>
              <w:spacing w:line="276" w:lineRule="auto"/>
              <w:ind w:left="106" w:right="100"/>
              <w:jc w:val="both"/>
              <w:rPr>
                <w:sz w:val="20"/>
              </w:rPr>
            </w:pPr>
            <w:r>
              <w:rPr>
                <w:sz w:val="20"/>
              </w:rPr>
              <w:t>Trazo de la fractura en ángulo de 70°, la cabeza femoral se vuelve hacia adentro y las fuerzas de cizallamiento y de inflexión tienden a abrir el foco de la fractura.</w:t>
            </w:r>
          </w:p>
        </w:tc>
      </w:tr>
    </w:tbl>
    <w:p>
      <w:pPr>
        <w:pStyle w:val="BodyText"/>
        <w:rPr>
          <w:i/>
          <w:sz w:val="24"/>
        </w:rPr>
      </w:pPr>
    </w:p>
    <w:p>
      <w:pPr>
        <w:pStyle w:val="BodyText"/>
        <w:spacing w:before="4"/>
        <w:rPr>
          <w:i/>
          <w:sz w:val="21"/>
        </w:rPr>
      </w:pPr>
    </w:p>
    <w:p>
      <w:pPr>
        <w:pStyle w:val="Heading5"/>
        <w:numPr>
          <w:ilvl w:val="0"/>
          <w:numId w:val="5"/>
        </w:numPr>
        <w:tabs>
          <w:tab w:pos="2005" w:val="left" w:leader="none"/>
        </w:tabs>
        <w:spacing w:line="273" w:lineRule="auto" w:before="0" w:after="0"/>
        <w:ind w:left="1440" w:right="40" w:firstLine="0"/>
        <w:jc w:val="both"/>
      </w:pPr>
      <w:r>
        <w:rPr>
          <w:i/>
        </w:rPr>
        <w:t>Fracturas intertrocantericas o </w:t>
      </w:r>
      <w:r>
        <w:rPr/>
        <w:t>extracapsulares</w:t>
      </w:r>
    </w:p>
    <w:p>
      <w:pPr>
        <w:pStyle w:val="BodyText"/>
        <w:spacing w:line="276" w:lineRule="auto" w:before="204"/>
        <w:ind w:left="1440" w:right="37"/>
        <w:jc w:val="both"/>
        <w:rPr>
          <w:i/>
        </w:rPr>
      </w:pPr>
      <w:r>
        <w:rPr/>
        <w:t>Ocurren a </w:t>
      </w:r>
      <w:r>
        <w:rPr>
          <w:spacing w:val="-3"/>
        </w:rPr>
        <w:t>lo </w:t>
      </w:r>
      <w:r>
        <w:rPr/>
        <w:t>largo de </w:t>
      </w:r>
      <w:r>
        <w:rPr>
          <w:spacing w:val="-3"/>
        </w:rPr>
        <w:t>la </w:t>
      </w:r>
      <w:r>
        <w:rPr/>
        <w:t>línea intertrocanterica. Se presentan por trauma de baja energía y requieren una fijación más robusta. Se clasifican de acuerdo al número de fragmentos de </w:t>
      </w:r>
      <w:r>
        <w:rPr>
          <w:spacing w:val="-3"/>
        </w:rPr>
        <w:t>la </w:t>
      </w:r>
      <w:r>
        <w:rPr/>
        <w:t>fractura y en </w:t>
      </w:r>
      <w:r>
        <w:rPr>
          <w:spacing w:val="-3"/>
        </w:rPr>
        <w:t>la </w:t>
      </w:r>
      <w:r>
        <w:rPr/>
        <w:t>capacidad para resistir cargas de compresión una vez que han sido reducidos y fijados. Ver </w:t>
      </w:r>
      <w:r>
        <w:rPr>
          <w:i/>
        </w:rPr>
        <w:t>Tabla</w:t>
      </w:r>
      <w:r>
        <w:rPr>
          <w:i/>
          <w:spacing w:val="-8"/>
        </w:rPr>
        <w:t> </w:t>
      </w:r>
      <w:r>
        <w:rPr>
          <w:i/>
        </w:rPr>
        <w:t>4</w:t>
      </w:r>
    </w:p>
    <w:p>
      <w:pPr>
        <w:pStyle w:val="BodyText"/>
        <w:spacing w:before="10" w:after="1"/>
        <w:rPr>
          <w:i/>
        </w:rPr>
      </w:pPr>
      <w:r>
        <w:rPr/>
        <w:br w:type="column"/>
      </w:r>
      <w:r>
        <w:rPr>
          <w:i/>
        </w:rPr>
      </w:r>
    </w:p>
    <w:tbl>
      <w:tblPr>
        <w:tblW w:w="0" w:type="auto"/>
        <w:jc w:val="left"/>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3"/>
        <w:gridCol w:w="3405"/>
      </w:tblGrid>
      <w:tr>
        <w:trPr>
          <w:trHeight w:val="530" w:hRule="atLeast"/>
        </w:trPr>
        <w:tc>
          <w:tcPr>
            <w:tcW w:w="1113" w:type="dxa"/>
          </w:tcPr>
          <w:p>
            <w:pPr>
              <w:pStyle w:val="TableParagraph"/>
              <w:spacing w:line="225" w:lineRule="exact"/>
              <w:ind w:left="167"/>
              <w:rPr>
                <w:b/>
                <w:sz w:val="20"/>
              </w:rPr>
            </w:pPr>
            <w:r>
              <w:rPr>
                <w:b/>
                <w:sz w:val="20"/>
              </w:rPr>
              <w:t>TIPO IIB</w:t>
            </w:r>
          </w:p>
        </w:tc>
        <w:tc>
          <w:tcPr>
            <w:tcW w:w="3405" w:type="dxa"/>
          </w:tcPr>
          <w:p>
            <w:pPr>
              <w:pStyle w:val="TableParagraph"/>
              <w:tabs>
                <w:tab w:pos="494" w:val="left" w:leader="none"/>
                <w:tab w:pos="1329" w:val="left" w:leader="none"/>
                <w:tab w:pos="2499" w:val="left" w:leader="none"/>
              </w:tabs>
              <w:spacing w:line="229" w:lineRule="exact"/>
              <w:ind w:left="106"/>
              <w:rPr>
                <w:sz w:val="20"/>
              </w:rPr>
            </w:pPr>
            <w:r>
              <w:rPr>
                <w:sz w:val="20"/>
              </w:rPr>
              <w:t>3</w:t>
              <w:tab/>
              <w:t>partes</w:t>
              <w:tab/>
              <w:t>fragmento</w:t>
              <w:tab/>
              <w:t>trocánter</w:t>
            </w:r>
          </w:p>
          <w:p>
            <w:pPr>
              <w:pStyle w:val="TableParagraph"/>
              <w:spacing w:before="34"/>
              <w:ind w:left="106"/>
              <w:rPr>
                <w:sz w:val="20"/>
              </w:rPr>
            </w:pPr>
            <w:r>
              <w:rPr>
                <w:sz w:val="20"/>
              </w:rPr>
              <w:t>menor.</w:t>
            </w:r>
          </w:p>
        </w:tc>
      </w:tr>
      <w:tr>
        <w:trPr>
          <w:trHeight w:val="530" w:hRule="atLeast"/>
        </w:trPr>
        <w:tc>
          <w:tcPr>
            <w:tcW w:w="1113" w:type="dxa"/>
          </w:tcPr>
          <w:p>
            <w:pPr>
              <w:pStyle w:val="TableParagraph"/>
              <w:spacing w:line="221" w:lineRule="exact"/>
              <w:ind w:left="178"/>
              <w:rPr>
                <w:b/>
                <w:sz w:val="20"/>
              </w:rPr>
            </w:pPr>
            <w:r>
              <w:rPr>
                <w:b/>
                <w:sz w:val="20"/>
              </w:rPr>
              <w:t>TIPO III</w:t>
            </w:r>
          </w:p>
        </w:tc>
        <w:tc>
          <w:tcPr>
            <w:tcW w:w="3405" w:type="dxa"/>
          </w:tcPr>
          <w:p>
            <w:pPr>
              <w:pStyle w:val="TableParagraph"/>
              <w:spacing w:line="225" w:lineRule="exact"/>
              <w:ind w:left="66"/>
              <w:rPr>
                <w:sz w:val="20"/>
              </w:rPr>
            </w:pPr>
            <w:r>
              <w:rPr>
                <w:sz w:val="20"/>
              </w:rPr>
              <w:t>4 partes</w:t>
            </w:r>
          </w:p>
        </w:tc>
      </w:tr>
    </w:tbl>
    <w:p>
      <w:pPr>
        <w:pStyle w:val="BodyText"/>
        <w:rPr>
          <w:i/>
          <w:sz w:val="24"/>
        </w:rPr>
      </w:pPr>
    </w:p>
    <w:p>
      <w:pPr>
        <w:pStyle w:val="Heading5"/>
        <w:numPr>
          <w:ilvl w:val="0"/>
          <w:numId w:val="6"/>
        </w:numPr>
        <w:tabs>
          <w:tab w:pos="884" w:val="left" w:leader="none"/>
        </w:tabs>
        <w:spacing w:line="240" w:lineRule="auto" w:before="214" w:after="0"/>
        <w:ind w:left="883" w:right="0" w:hanging="243"/>
        <w:jc w:val="both"/>
        <w:rPr>
          <w:i/>
        </w:rPr>
      </w:pPr>
      <w:r>
        <w:rPr>
          <w:i/>
        </w:rPr>
        <w:t>Fracturas</w:t>
      </w:r>
      <w:r>
        <w:rPr>
          <w:i/>
          <w:spacing w:val="-1"/>
        </w:rPr>
        <w:t> </w:t>
      </w:r>
      <w:r>
        <w:rPr>
          <w:i/>
        </w:rPr>
        <w:t>subtrocantericas</w:t>
      </w:r>
    </w:p>
    <w:p>
      <w:pPr>
        <w:pStyle w:val="BodyText"/>
        <w:spacing w:before="4"/>
        <w:rPr>
          <w:b/>
          <w:i/>
          <w:sz w:val="20"/>
        </w:rPr>
      </w:pPr>
    </w:p>
    <w:p>
      <w:pPr>
        <w:pStyle w:val="BodyText"/>
        <w:spacing w:line="276" w:lineRule="auto" w:before="1"/>
        <w:ind w:left="640" w:right="1434"/>
        <w:jc w:val="both"/>
        <w:rPr>
          <w:i/>
        </w:rPr>
      </w:pPr>
      <w:r>
        <w:rPr/>
        <w:t>Clasificación de Russell-Taylor. Basada en </w:t>
      </w:r>
      <w:r>
        <w:rPr>
          <w:spacing w:val="-3"/>
        </w:rPr>
        <w:t>la </w:t>
      </w:r>
      <w:r>
        <w:rPr/>
        <w:t>afectación del trocánter menor y de </w:t>
      </w:r>
      <w:r>
        <w:rPr>
          <w:spacing w:val="-3"/>
        </w:rPr>
        <w:t>la </w:t>
      </w:r>
      <w:r>
        <w:rPr/>
        <w:t>fosa piriforme. Ver </w:t>
      </w:r>
      <w:r>
        <w:rPr>
          <w:i/>
        </w:rPr>
        <w:t>Tabla</w:t>
      </w:r>
      <w:r>
        <w:rPr>
          <w:i/>
          <w:spacing w:val="-5"/>
        </w:rPr>
        <w:t> </w:t>
      </w:r>
      <w:r>
        <w:rPr>
          <w:i/>
        </w:rPr>
        <w:t>5.</w:t>
      </w:r>
    </w:p>
    <w:p>
      <w:pPr>
        <w:pStyle w:val="BodyText"/>
        <w:spacing w:before="1"/>
        <w:rPr>
          <w:i/>
          <w:sz w:val="18"/>
        </w:rPr>
      </w:pPr>
    </w:p>
    <w:tbl>
      <w:tblPr>
        <w:tblW w:w="0" w:type="auto"/>
        <w:jc w:val="left"/>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
        <w:gridCol w:w="3645"/>
      </w:tblGrid>
      <w:tr>
        <w:trPr>
          <w:trHeight w:val="754" w:hRule="atLeast"/>
        </w:trPr>
        <w:tc>
          <w:tcPr>
            <w:tcW w:w="4462" w:type="dxa"/>
            <w:gridSpan w:val="2"/>
          </w:tcPr>
          <w:p>
            <w:pPr>
              <w:pStyle w:val="TableParagraph"/>
              <w:spacing w:line="280" w:lineRule="auto"/>
              <w:ind w:left="71"/>
              <w:rPr>
                <w:sz w:val="20"/>
              </w:rPr>
            </w:pPr>
            <w:r>
              <w:rPr>
                <w:b/>
                <w:sz w:val="22"/>
              </w:rPr>
              <w:t>Tabla 5. </w:t>
            </w:r>
            <w:r>
              <w:rPr>
                <w:sz w:val="20"/>
              </w:rPr>
              <w:t>Clasificación de Russell-Taylor de las fracturas subtrocantericas.</w:t>
            </w:r>
          </w:p>
        </w:tc>
      </w:tr>
      <w:tr>
        <w:trPr>
          <w:trHeight w:val="730" w:hRule="atLeast"/>
        </w:trPr>
        <w:tc>
          <w:tcPr>
            <w:tcW w:w="817" w:type="dxa"/>
          </w:tcPr>
          <w:p>
            <w:pPr>
              <w:pStyle w:val="TableParagraph"/>
              <w:spacing w:line="280" w:lineRule="auto"/>
              <w:ind w:left="335" w:right="149" w:hanging="164"/>
              <w:rPr>
                <w:b/>
                <w:sz w:val="20"/>
              </w:rPr>
            </w:pPr>
            <w:r>
              <w:rPr>
                <w:b/>
                <w:sz w:val="20"/>
              </w:rPr>
              <w:t>TIPO IA</w:t>
            </w:r>
          </w:p>
        </w:tc>
        <w:tc>
          <w:tcPr>
            <w:tcW w:w="3645" w:type="dxa"/>
          </w:tcPr>
          <w:p>
            <w:pPr>
              <w:pStyle w:val="TableParagraph"/>
              <w:spacing w:line="280" w:lineRule="auto"/>
              <w:ind w:left="106" w:right="99"/>
              <w:rPr>
                <w:sz w:val="20"/>
              </w:rPr>
            </w:pPr>
            <w:r>
              <w:rPr>
                <w:sz w:val="20"/>
              </w:rPr>
              <w:t>Fractura por debajo del trocánter menor.</w:t>
            </w:r>
          </w:p>
        </w:tc>
      </w:tr>
      <w:tr>
        <w:trPr>
          <w:trHeight w:val="994" w:hRule="atLeast"/>
        </w:trPr>
        <w:tc>
          <w:tcPr>
            <w:tcW w:w="817" w:type="dxa"/>
          </w:tcPr>
          <w:p>
            <w:pPr>
              <w:pStyle w:val="TableParagraph"/>
              <w:spacing w:line="276" w:lineRule="auto"/>
              <w:ind w:left="307" w:right="149" w:hanging="136"/>
              <w:rPr>
                <w:b/>
                <w:sz w:val="20"/>
              </w:rPr>
            </w:pPr>
            <w:r>
              <w:rPr>
                <w:b/>
                <w:sz w:val="20"/>
              </w:rPr>
              <w:t>TIPO IB</w:t>
            </w:r>
          </w:p>
        </w:tc>
        <w:tc>
          <w:tcPr>
            <w:tcW w:w="3645" w:type="dxa"/>
          </w:tcPr>
          <w:p>
            <w:pPr>
              <w:pStyle w:val="TableParagraph"/>
              <w:spacing w:line="276" w:lineRule="auto"/>
              <w:ind w:left="106" w:right="100"/>
              <w:jc w:val="both"/>
              <w:rPr>
                <w:sz w:val="20"/>
              </w:rPr>
            </w:pPr>
            <w:r>
              <w:rPr>
                <w:sz w:val="20"/>
              </w:rPr>
              <w:t>La fractura que afecta al trocánter menor y el trocánter mayor está intacto</w:t>
            </w:r>
          </w:p>
        </w:tc>
      </w:tr>
      <w:tr>
        <w:trPr>
          <w:trHeight w:val="725" w:hRule="atLeast"/>
        </w:trPr>
        <w:tc>
          <w:tcPr>
            <w:tcW w:w="817" w:type="dxa"/>
          </w:tcPr>
          <w:p>
            <w:pPr>
              <w:pStyle w:val="TableParagraph"/>
              <w:spacing w:line="276" w:lineRule="auto"/>
              <w:ind w:left="278" w:right="150" w:hanging="108"/>
              <w:rPr>
                <w:b/>
                <w:sz w:val="20"/>
              </w:rPr>
            </w:pPr>
            <w:r>
              <w:rPr>
                <w:b/>
                <w:sz w:val="20"/>
              </w:rPr>
              <w:t>TIPO IIA</w:t>
            </w:r>
          </w:p>
        </w:tc>
        <w:tc>
          <w:tcPr>
            <w:tcW w:w="3645" w:type="dxa"/>
          </w:tcPr>
          <w:p>
            <w:pPr>
              <w:pStyle w:val="TableParagraph"/>
              <w:tabs>
                <w:tab w:pos="949" w:val="left" w:leader="none"/>
                <w:tab w:pos="1708" w:val="left" w:leader="none"/>
                <w:tab w:pos="2743" w:val="left" w:leader="none"/>
              </w:tabs>
              <w:spacing w:line="276" w:lineRule="auto"/>
              <w:ind w:left="106" w:right="99"/>
              <w:rPr>
                <w:sz w:val="20"/>
              </w:rPr>
            </w:pPr>
            <w:r>
              <w:rPr>
                <w:sz w:val="20"/>
              </w:rPr>
              <w:t>Tractor</w:t>
              <w:tab/>
              <w:t>mayor</w:t>
              <w:tab/>
              <w:t>afectado,</w:t>
              <w:tab/>
              <w:t>trocánter menor</w:t>
            </w:r>
            <w:r>
              <w:rPr>
                <w:spacing w:val="0"/>
                <w:sz w:val="20"/>
              </w:rPr>
              <w:t> </w:t>
            </w:r>
            <w:r>
              <w:rPr>
                <w:sz w:val="20"/>
              </w:rPr>
              <w:t>intacto.</w:t>
            </w:r>
          </w:p>
        </w:tc>
      </w:tr>
      <w:tr>
        <w:trPr>
          <w:trHeight w:val="730" w:hRule="atLeast"/>
        </w:trPr>
        <w:tc>
          <w:tcPr>
            <w:tcW w:w="817" w:type="dxa"/>
          </w:tcPr>
          <w:p>
            <w:pPr>
              <w:pStyle w:val="TableParagraph"/>
              <w:spacing w:line="276" w:lineRule="auto"/>
              <w:ind w:left="278" w:right="150" w:hanging="108"/>
              <w:rPr>
                <w:b/>
                <w:sz w:val="20"/>
              </w:rPr>
            </w:pPr>
            <w:r>
              <w:rPr>
                <w:b/>
                <w:sz w:val="20"/>
              </w:rPr>
              <w:t>TIPO IIB</w:t>
            </w:r>
          </w:p>
        </w:tc>
        <w:tc>
          <w:tcPr>
            <w:tcW w:w="3645" w:type="dxa"/>
          </w:tcPr>
          <w:p>
            <w:pPr>
              <w:pStyle w:val="TableParagraph"/>
              <w:spacing w:line="276" w:lineRule="auto"/>
              <w:ind w:left="106" w:right="99"/>
              <w:rPr>
                <w:sz w:val="20"/>
              </w:rPr>
            </w:pPr>
            <w:r>
              <w:rPr>
                <w:sz w:val="20"/>
              </w:rPr>
              <w:t>Afectados el trocánter mayor y el trocánter menor.</w:t>
            </w:r>
          </w:p>
        </w:tc>
      </w:tr>
    </w:tbl>
    <w:p>
      <w:pPr>
        <w:pStyle w:val="BodyText"/>
        <w:rPr>
          <w:i/>
          <w:sz w:val="24"/>
        </w:rPr>
      </w:pPr>
    </w:p>
    <w:p>
      <w:pPr>
        <w:pStyle w:val="BodyText"/>
        <w:spacing w:before="9"/>
        <w:rPr>
          <w:i/>
          <w:sz w:val="20"/>
        </w:rPr>
      </w:pPr>
    </w:p>
    <w:p>
      <w:pPr>
        <w:pStyle w:val="Heading4"/>
        <w:ind w:left="640"/>
      </w:pPr>
      <w:r>
        <w:rPr/>
        <w:t>TRATAMIENTO</w:t>
      </w:r>
    </w:p>
    <w:p>
      <w:pPr>
        <w:pStyle w:val="BodyText"/>
        <w:rPr>
          <w:b/>
          <w:sz w:val="21"/>
        </w:rPr>
      </w:pPr>
    </w:p>
    <w:p>
      <w:pPr>
        <w:pStyle w:val="BodyText"/>
        <w:spacing w:line="276" w:lineRule="auto" w:before="1"/>
        <w:ind w:left="640" w:right="1434"/>
        <w:jc w:val="both"/>
      </w:pPr>
      <w:r>
        <w:rPr/>
        <w:pict>
          <v:shape style="position:absolute;margin-left:66.425003pt;margin-top:81.397835pt;width:226.5pt;height:136.25pt;mso-position-horizontal-relative:page;mso-position-vertical-relative:paragraph;z-index:155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17"/>
                    <w:gridCol w:w="3401"/>
                  </w:tblGrid>
                  <w:tr>
                    <w:trPr>
                      <w:trHeight w:val="1018" w:hRule="atLeast"/>
                    </w:trPr>
                    <w:tc>
                      <w:tcPr>
                        <w:tcW w:w="4518" w:type="dxa"/>
                        <w:gridSpan w:val="2"/>
                      </w:tcPr>
                      <w:p>
                        <w:pPr>
                          <w:pStyle w:val="TableParagraph"/>
                          <w:spacing w:line="278" w:lineRule="auto"/>
                          <w:ind w:left="70" w:right="63"/>
                          <w:jc w:val="both"/>
                          <w:rPr>
                            <w:sz w:val="20"/>
                          </w:rPr>
                        </w:pPr>
                        <w:r>
                          <w:rPr>
                            <w:b/>
                            <w:sz w:val="22"/>
                          </w:rPr>
                          <w:t>Tabla 4. </w:t>
                        </w:r>
                        <w:r>
                          <w:rPr>
                            <w:sz w:val="20"/>
                          </w:rPr>
                          <w:t>Clasificación de Clasificación de Evans Jensen de las fracturas intertrocanterica o estracapsulares.</w:t>
                        </w:r>
                      </w:p>
                    </w:tc>
                  </w:tr>
                  <w:tr>
                    <w:trPr>
                      <w:trHeight w:val="466" w:hRule="atLeast"/>
                    </w:trPr>
                    <w:tc>
                      <w:tcPr>
                        <w:tcW w:w="1117" w:type="dxa"/>
                      </w:tcPr>
                      <w:p>
                        <w:pPr>
                          <w:pStyle w:val="TableParagraph"/>
                          <w:spacing w:line="225" w:lineRule="exact"/>
                          <w:ind w:left="190"/>
                          <w:rPr>
                            <w:b/>
                            <w:sz w:val="20"/>
                          </w:rPr>
                        </w:pPr>
                        <w:r>
                          <w:rPr>
                            <w:b/>
                            <w:sz w:val="20"/>
                          </w:rPr>
                          <w:t>TIPO IA</w:t>
                        </w:r>
                      </w:p>
                    </w:tc>
                    <w:tc>
                      <w:tcPr>
                        <w:tcW w:w="3401" w:type="dxa"/>
                      </w:tcPr>
                      <w:p>
                        <w:pPr>
                          <w:pStyle w:val="TableParagraph"/>
                          <w:spacing w:line="229" w:lineRule="exact"/>
                          <w:ind w:left="102"/>
                          <w:rPr>
                            <w:sz w:val="20"/>
                          </w:rPr>
                        </w:pPr>
                        <w:r>
                          <w:rPr>
                            <w:sz w:val="20"/>
                          </w:rPr>
                          <w:t>No desplazada.</w:t>
                        </w:r>
                      </w:p>
                    </w:tc>
                  </w:tr>
                  <w:tr>
                    <w:trPr>
                      <w:trHeight w:val="466" w:hRule="atLeast"/>
                    </w:trPr>
                    <w:tc>
                      <w:tcPr>
                        <w:tcW w:w="1117" w:type="dxa"/>
                      </w:tcPr>
                      <w:p>
                        <w:pPr>
                          <w:pStyle w:val="TableParagraph"/>
                          <w:spacing w:line="225" w:lineRule="exact"/>
                          <w:ind w:left="190"/>
                          <w:rPr>
                            <w:b/>
                            <w:sz w:val="20"/>
                          </w:rPr>
                        </w:pPr>
                        <w:r>
                          <w:rPr>
                            <w:b/>
                            <w:sz w:val="20"/>
                          </w:rPr>
                          <w:t>TIPO IB</w:t>
                        </w:r>
                      </w:p>
                    </w:tc>
                    <w:tc>
                      <w:tcPr>
                        <w:tcW w:w="3401" w:type="dxa"/>
                      </w:tcPr>
                      <w:p>
                        <w:pPr>
                          <w:pStyle w:val="TableParagraph"/>
                          <w:spacing w:line="229" w:lineRule="exact"/>
                          <w:ind w:left="102"/>
                          <w:rPr>
                            <w:sz w:val="20"/>
                          </w:rPr>
                        </w:pPr>
                        <w:r>
                          <w:rPr>
                            <w:sz w:val="20"/>
                          </w:rPr>
                          <w:t>2 partes desplazadas.</w:t>
                        </w:r>
                      </w:p>
                    </w:tc>
                  </w:tr>
                  <w:tr>
                    <w:trPr>
                      <w:trHeight w:val="726" w:hRule="atLeast"/>
                    </w:trPr>
                    <w:tc>
                      <w:tcPr>
                        <w:tcW w:w="1117" w:type="dxa"/>
                      </w:tcPr>
                      <w:p>
                        <w:pPr>
                          <w:pStyle w:val="TableParagraph"/>
                          <w:spacing w:line="222" w:lineRule="exact"/>
                          <w:ind w:left="167"/>
                          <w:rPr>
                            <w:b/>
                            <w:sz w:val="20"/>
                          </w:rPr>
                        </w:pPr>
                        <w:r>
                          <w:rPr>
                            <w:b/>
                            <w:sz w:val="20"/>
                          </w:rPr>
                          <w:t>TIPO IIA</w:t>
                        </w:r>
                      </w:p>
                    </w:tc>
                    <w:tc>
                      <w:tcPr>
                        <w:tcW w:w="3401" w:type="dxa"/>
                      </w:tcPr>
                      <w:p>
                        <w:pPr>
                          <w:pStyle w:val="TableParagraph"/>
                          <w:spacing w:line="276" w:lineRule="auto"/>
                          <w:ind w:left="102"/>
                          <w:rPr>
                            <w:sz w:val="20"/>
                          </w:rPr>
                        </w:pPr>
                        <w:r>
                          <w:rPr>
                            <w:sz w:val="20"/>
                          </w:rPr>
                          <w:t>3 partes, fragmento del trocánter mayor.</w:t>
                        </w:r>
                      </w:p>
                    </w:tc>
                  </w:tr>
                </w:tbl>
                <w:p>
                  <w:pPr>
                    <w:pStyle w:val="BodyText"/>
                  </w:pPr>
                </w:p>
              </w:txbxContent>
            </v:textbox>
            <w10:wrap type="none"/>
          </v:shape>
        </w:pict>
      </w:r>
      <w:r>
        <w:rPr/>
        <w:t>La mayoría requiere manejo quirúrgico. Se debe destacar que entre menor tiempo de encamado se presente, menores serán las complicaciones. Las indicaciones para el manejo no quirúrgico incluyen pacientes cuya condición médica sea crítica e inestable o bien aquellos que no deambulan. En general existen dos objetivos en el tratamiento de las fracturas de cadera, </w:t>
      </w:r>
      <w:r>
        <w:rPr>
          <w:spacing w:val="-3"/>
        </w:rPr>
        <w:t>la </w:t>
      </w:r>
      <w:r>
        <w:rPr/>
        <w:t>optimización médica en el preoperatorio y </w:t>
      </w:r>
      <w:r>
        <w:rPr>
          <w:spacing w:val="-3"/>
        </w:rPr>
        <w:t>la </w:t>
      </w:r>
      <w:r>
        <w:rPr/>
        <w:t>fijación estable con movilización</w:t>
      </w:r>
      <w:r>
        <w:rPr>
          <w:spacing w:val="-1"/>
        </w:rPr>
        <w:t> </w:t>
      </w:r>
      <w:r>
        <w:rPr/>
        <w:t>temprana.</w:t>
      </w:r>
    </w:p>
    <w:p>
      <w:pPr>
        <w:pStyle w:val="BodyText"/>
        <w:spacing w:line="276" w:lineRule="auto" w:before="202"/>
        <w:ind w:left="640" w:right="1436"/>
        <w:jc w:val="both"/>
      </w:pPr>
      <w:r>
        <w:rPr/>
        <w:t>El riesgo de tromboembolismo en estos pacientes es elevado por lo que se debe administrar profilaxis tromboembolica</w:t>
      </w:r>
    </w:p>
    <w:p>
      <w:pPr>
        <w:spacing w:after="0" w:line="276" w:lineRule="auto"/>
        <w:jc w:val="both"/>
        <w:sectPr>
          <w:type w:val="continuous"/>
          <w:pgSz w:w="12240" w:h="15840"/>
          <w:pgMar w:top="1500" w:bottom="0" w:left="0" w:right="0"/>
          <w:cols w:num="2" w:equalWidth="0">
            <w:col w:w="5802" w:space="40"/>
            <w:col w:w="6398"/>
          </w:cols>
        </w:sectPr>
      </w:pPr>
    </w:p>
    <w:p>
      <w:pPr>
        <w:pStyle w:val="BodyText"/>
        <w:rPr>
          <w:sz w:val="20"/>
        </w:rPr>
      </w:pPr>
    </w:p>
    <w:p>
      <w:pPr>
        <w:spacing w:after="0"/>
        <w:rPr>
          <w:sz w:val="20"/>
        </w:rPr>
        <w:sectPr>
          <w:headerReference w:type="default" r:id="rId54"/>
          <w:pgSz w:w="12240" w:h="15840"/>
          <w:pgMar w:header="723" w:footer="882" w:top="940" w:bottom="1080" w:left="0" w:right="0"/>
        </w:sectPr>
      </w:pPr>
    </w:p>
    <w:p>
      <w:pPr>
        <w:pStyle w:val="BodyText"/>
        <w:spacing w:before="8"/>
      </w:pPr>
    </w:p>
    <w:p>
      <w:pPr>
        <w:pStyle w:val="BodyText"/>
        <w:spacing w:line="276" w:lineRule="auto"/>
        <w:ind w:left="1440"/>
        <w:jc w:val="both"/>
      </w:pPr>
      <w:r>
        <w:rPr/>
        <w:t>inmediata, tanto mecánica como farmacológica. La intervención quirúrgica debe ocurrir en las primeras 48 horas posteriores a </w:t>
      </w:r>
      <w:r>
        <w:rPr>
          <w:spacing w:val="-3"/>
        </w:rPr>
        <w:t>la </w:t>
      </w:r>
      <w:r>
        <w:rPr/>
        <w:t>fractura, ya que el retraso en el procedimiento aumenta el riesgo de muerte en un 50%. Solamente debe ser retrasada en pacientes que requieran procedimientos previos que reduzcan el riesgo</w:t>
      </w:r>
      <w:r>
        <w:rPr>
          <w:spacing w:val="-1"/>
        </w:rPr>
        <w:t> </w:t>
      </w:r>
      <w:r>
        <w:rPr/>
        <w:t>quirúrgico.</w:t>
      </w:r>
    </w:p>
    <w:p>
      <w:pPr>
        <w:pStyle w:val="BodyText"/>
        <w:spacing w:line="276" w:lineRule="auto" w:before="161"/>
        <w:ind w:left="1440"/>
        <w:jc w:val="both"/>
      </w:pPr>
      <w:r>
        <w:rPr/>
        <w:t>Es importante recalcar que </w:t>
      </w:r>
      <w:r>
        <w:rPr>
          <w:spacing w:val="-3"/>
        </w:rPr>
        <w:t>la </w:t>
      </w:r>
      <w:r>
        <w:rPr/>
        <w:t>fractura del cuello del fémur en un paciente menor a 60 años se califica como una emergencia quirúrgica debido al peligro de osteonecrosis y consolidación</w:t>
      </w:r>
      <w:r>
        <w:rPr>
          <w:spacing w:val="-11"/>
        </w:rPr>
        <w:t> </w:t>
      </w:r>
      <w:r>
        <w:rPr/>
        <w:t>deficiente.</w:t>
      </w:r>
    </w:p>
    <w:p>
      <w:pPr>
        <w:pStyle w:val="Heading4"/>
        <w:spacing w:before="195"/>
      </w:pPr>
      <w:r>
        <w:rPr/>
        <w:t>COMPLICACIONES</w:t>
      </w:r>
    </w:p>
    <w:p>
      <w:pPr>
        <w:pStyle w:val="BodyText"/>
        <w:spacing w:before="5"/>
        <w:rPr>
          <w:b/>
          <w:sz w:val="21"/>
        </w:rPr>
      </w:pPr>
    </w:p>
    <w:p>
      <w:pPr>
        <w:pStyle w:val="BodyText"/>
        <w:spacing w:line="273" w:lineRule="auto"/>
        <w:ind w:left="1440" w:right="2"/>
        <w:jc w:val="both"/>
      </w:pPr>
      <w:r>
        <w:rPr/>
        <w:t>La osteonecrosis de la cabeza del fémur y consolidación deficiente son las</w:t>
      </w:r>
    </w:p>
    <w:p>
      <w:pPr>
        <w:pStyle w:val="BodyText"/>
        <w:spacing w:before="8"/>
      </w:pPr>
      <w:r>
        <w:rPr/>
        <w:br w:type="column"/>
      </w:r>
      <w:r>
        <w:rPr/>
      </w:r>
    </w:p>
    <w:p>
      <w:pPr>
        <w:pStyle w:val="BodyText"/>
        <w:spacing w:line="276" w:lineRule="auto"/>
        <w:ind w:left="678" w:right="1433"/>
        <w:jc w:val="both"/>
      </w:pPr>
      <w:r>
        <w:rPr/>
        <w:t>complicaciones más frecuentes en las fracturas del cuello femoral ya que se puede interrumpir </w:t>
      </w:r>
      <w:r>
        <w:rPr>
          <w:spacing w:val="-3"/>
        </w:rPr>
        <w:t>la </w:t>
      </w:r>
      <w:r>
        <w:rPr/>
        <w:t>vascularización. En lesiones tratadas con artoplastía o hemiartroplastia puede presentar dislocación de </w:t>
      </w:r>
      <w:r>
        <w:rPr>
          <w:spacing w:val="-3"/>
        </w:rPr>
        <w:t>la</w:t>
      </w:r>
      <w:r>
        <w:rPr>
          <w:spacing w:val="-1"/>
        </w:rPr>
        <w:t> </w:t>
      </w:r>
      <w:r>
        <w:rPr/>
        <w:t>prótesis.</w:t>
      </w:r>
    </w:p>
    <w:p>
      <w:pPr>
        <w:pStyle w:val="BodyText"/>
        <w:spacing w:line="276" w:lineRule="auto" w:before="197"/>
        <w:ind w:left="678" w:right="1438"/>
        <w:jc w:val="both"/>
      </w:pPr>
      <w:r>
        <w:rPr/>
        <w:t>En fracturas intertrocantericas la complicación más frecuente es la artritis y</w:t>
      </w:r>
    </w:p>
    <w:p>
      <w:pPr>
        <w:pStyle w:val="BodyText"/>
        <w:spacing w:line="276" w:lineRule="auto" w:before="1"/>
        <w:ind w:left="678" w:right="1446"/>
        <w:jc w:val="both"/>
      </w:pPr>
      <w:r>
        <w:rPr/>
        <w:t>/o fracaso en la fijación con fracaso en la consolidación.</w:t>
      </w:r>
    </w:p>
    <w:p>
      <w:pPr>
        <w:pStyle w:val="BodyText"/>
        <w:spacing w:line="276" w:lineRule="auto" w:before="197"/>
        <w:ind w:left="678" w:right="1435"/>
        <w:jc w:val="both"/>
      </w:pPr>
      <w:r>
        <w:rPr/>
        <w:t>Todos los pacientes con fractura de cadera deben ser estudiados y tratados por osteoporosis para prevenir fractura de </w:t>
      </w:r>
      <w:r>
        <w:rPr>
          <w:spacing w:val="-3"/>
        </w:rPr>
        <w:t>la </w:t>
      </w:r>
      <w:r>
        <w:rPr/>
        <w:t>cadera contralateral u otras zonas en riesgo.</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rPr>
          <w:sz w:val="17"/>
        </w:rPr>
      </w:pPr>
    </w:p>
    <w:p>
      <w:pPr>
        <w:pStyle w:val="Heading4"/>
        <w:spacing w:before="92"/>
      </w:pPr>
      <w:r>
        <w:rPr/>
        <w:t>BIBLIOGRAFIA</w:t>
      </w:r>
    </w:p>
    <w:p>
      <w:pPr>
        <w:pStyle w:val="BodyText"/>
        <w:spacing w:before="1"/>
        <w:rPr>
          <w:b/>
          <w:sz w:val="21"/>
        </w:rPr>
      </w:pPr>
    </w:p>
    <w:p>
      <w:pPr>
        <w:pStyle w:val="ListParagraph"/>
        <w:numPr>
          <w:ilvl w:val="1"/>
          <w:numId w:val="6"/>
        </w:numPr>
        <w:tabs>
          <w:tab w:pos="1800" w:val="left" w:leader="none"/>
          <w:tab w:pos="1801" w:val="left" w:leader="none"/>
        </w:tabs>
        <w:spacing w:line="271" w:lineRule="auto" w:before="1" w:after="0"/>
        <w:ind w:left="1800" w:right="2052" w:hanging="360"/>
        <w:jc w:val="left"/>
        <w:rPr>
          <w:sz w:val="20"/>
        </w:rPr>
      </w:pPr>
      <w:r>
        <w:rPr>
          <w:sz w:val="20"/>
        </w:rPr>
        <w:t>Mark D. Miller. Ortopedia y Traumatología. Revisión Sistemática. Quinta edición, Capítulo 11. Página 618 –</w:t>
      </w:r>
      <w:r>
        <w:rPr>
          <w:spacing w:val="-3"/>
          <w:sz w:val="20"/>
        </w:rPr>
        <w:t> </w:t>
      </w:r>
      <w:r>
        <w:rPr>
          <w:sz w:val="20"/>
        </w:rPr>
        <w:t>625.</w:t>
      </w:r>
    </w:p>
    <w:p>
      <w:pPr>
        <w:pStyle w:val="ListParagraph"/>
        <w:numPr>
          <w:ilvl w:val="1"/>
          <w:numId w:val="6"/>
        </w:numPr>
        <w:tabs>
          <w:tab w:pos="1800" w:val="left" w:leader="none"/>
          <w:tab w:pos="1801" w:val="left" w:leader="none"/>
        </w:tabs>
        <w:spacing w:line="240" w:lineRule="auto" w:before="3" w:after="0"/>
        <w:ind w:left="1800" w:right="0" w:hanging="360"/>
        <w:jc w:val="left"/>
        <w:rPr>
          <w:sz w:val="20"/>
        </w:rPr>
      </w:pPr>
      <w:r>
        <w:rPr>
          <w:sz w:val="20"/>
        </w:rPr>
        <w:t>Essentials AAOS. Essentials of Musculoskeletal Care. Fifth Edition. Section 5, paginas</w:t>
      </w:r>
      <w:r>
        <w:rPr>
          <w:spacing w:val="-31"/>
          <w:sz w:val="20"/>
        </w:rPr>
        <w:t> </w:t>
      </w:r>
      <w:r>
        <w:rPr>
          <w:sz w:val="20"/>
        </w:rPr>
        <w:t>585588.</w:t>
      </w:r>
    </w:p>
    <w:p>
      <w:pPr>
        <w:pStyle w:val="ListParagraph"/>
        <w:numPr>
          <w:ilvl w:val="1"/>
          <w:numId w:val="6"/>
        </w:numPr>
        <w:tabs>
          <w:tab w:pos="1800" w:val="left" w:leader="none"/>
          <w:tab w:pos="1801" w:val="left" w:leader="none"/>
        </w:tabs>
        <w:spacing w:line="240" w:lineRule="auto" w:before="35" w:after="0"/>
        <w:ind w:left="1800" w:right="0" w:hanging="360"/>
        <w:jc w:val="left"/>
        <w:rPr>
          <w:sz w:val="20"/>
        </w:rPr>
      </w:pPr>
      <w:r>
        <w:rPr>
          <w:sz w:val="20"/>
        </w:rPr>
        <w:t>Moore Anatomía, Anatomía con Orientación Clínica. Sexta Edición, Capitulo 5, paginas</w:t>
      </w:r>
      <w:r>
        <w:rPr>
          <w:spacing w:val="-24"/>
          <w:sz w:val="20"/>
        </w:rPr>
        <w:t> </w:t>
      </w:r>
      <w:r>
        <w:rPr>
          <w:sz w:val="20"/>
        </w:rPr>
        <w:t>626634</w:t>
      </w:r>
    </w:p>
    <w:p>
      <w:pPr>
        <w:pStyle w:val="ListParagraph"/>
        <w:numPr>
          <w:ilvl w:val="1"/>
          <w:numId w:val="6"/>
        </w:numPr>
        <w:tabs>
          <w:tab w:pos="1800" w:val="left" w:leader="none"/>
          <w:tab w:pos="1801" w:val="left" w:leader="none"/>
        </w:tabs>
        <w:spacing w:line="240" w:lineRule="auto" w:before="30" w:after="0"/>
        <w:ind w:left="1800" w:right="0" w:hanging="360"/>
        <w:jc w:val="left"/>
        <w:rPr>
          <w:sz w:val="20"/>
        </w:rPr>
      </w:pPr>
      <w:r>
        <w:rPr>
          <w:sz w:val="20"/>
        </w:rPr>
        <w:t>Netter, Atlas Práctico de Anatomía Ortopédica. Segunda edición, Capitulo 87, paginas</w:t>
      </w:r>
      <w:r>
        <w:rPr>
          <w:spacing w:val="-20"/>
          <w:sz w:val="20"/>
        </w:rPr>
        <w:t> </w:t>
      </w:r>
      <w:r>
        <w:rPr>
          <w:sz w:val="20"/>
        </w:rPr>
        <w:t>253256.</w:t>
      </w:r>
    </w:p>
    <w:p>
      <w:pPr>
        <w:pStyle w:val="BodyText"/>
        <w:spacing w:before="5"/>
        <w:rPr>
          <w:sz w:val="20"/>
        </w:rPr>
      </w:pPr>
    </w:p>
    <w:p>
      <w:pPr>
        <w:tabs>
          <w:tab w:pos="7150" w:val="left" w:leader="none"/>
        </w:tabs>
        <w:spacing w:before="0"/>
        <w:ind w:left="1440" w:right="0" w:firstLine="0"/>
        <w:jc w:val="left"/>
        <w:rPr>
          <w:sz w:val="20"/>
        </w:rPr>
      </w:pPr>
      <w:r>
        <w:rPr>
          <w:sz w:val="20"/>
        </w:rPr>
        <w:t>Recepción: 30 Enero de</w:t>
      </w:r>
      <w:r>
        <w:rPr>
          <w:spacing w:val="-1"/>
          <w:sz w:val="20"/>
        </w:rPr>
        <w:t> </w:t>
      </w:r>
      <w:r>
        <w:rPr>
          <w:sz w:val="20"/>
        </w:rPr>
        <w:t>2017</w:t>
        <w:tab/>
        <w:t>Aprobación: 10 Febrero de</w:t>
      </w:r>
      <w:r>
        <w:rPr>
          <w:spacing w:val="-5"/>
          <w:sz w:val="20"/>
        </w:rPr>
        <w:t> </w:t>
      </w:r>
      <w:r>
        <w:rPr>
          <w:sz w:val="20"/>
        </w:rPr>
        <w:t>2017</w:t>
      </w:r>
    </w:p>
    <w:p>
      <w:pPr>
        <w:spacing w:after="0"/>
        <w:jc w:val="left"/>
        <w:rPr>
          <w:sz w:val="20"/>
        </w:rPr>
        <w:sectPr>
          <w:type w:val="continuous"/>
          <w:pgSz w:w="12240" w:h="15840"/>
          <w:pgMar w:top="1500" w:bottom="0" w:left="0" w:right="0"/>
        </w:sectPr>
      </w:pPr>
    </w:p>
    <w:p>
      <w:pPr>
        <w:pStyle w:val="Heading3"/>
        <w:ind w:left="2776" w:right="531"/>
      </w:pPr>
      <w:r>
        <w:rPr/>
        <w:pict>
          <v:group style="position:absolute;margin-left:72.199997pt;margin-top:4.179631pt;width:103pt;height:568.050pt;mso-position-horizontal-relative:page;mso-position-vertical-relative:paragraph;z-index:1648" coordorigin="1444,84" coordsize="2060,11361">
            <v:shape style="position:absolute;left:1444;top:84;width:2060;height:11360" type="#_x0000_t75" stroked="false">
              <v:imagedata r:id="rId56"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11" w:right="17" w:firstLine="407"/>
                      <w:jc w:val="left"/>
                      <w:rPr>
                        <w:sz w:val="16"/>
                      </w:rPr>
                    </w:pPr>
                    <w:r>
                      <w:rPr>
                        <w:sz w:val="16"/>
                      </w:rPr>
                      <w:t>Vol.2 Num:3 Marzo 2017 pp:12 - 15</w:t>
                    </w:r>
                  </w:p>
                </w:txbxContent>
              </v:textbox>
              <w10:wrap type="none"/>
            </v:shape>
            <v:shape style="position:absolute;left:1444;top:10450;width:2044;height:775" type="#_x0000_t202" filled="false" stroked="false">
              <v:textbox inset="0,0,0,0">
                <w:txbxContent>
                  <w:p>
                    <w:pPr>
                      <w:spacing w:line="259" w:lineRule="auto" w:before="0"/>
                      <w:ind w:left="0" w:right="-2" w:firstLine="0"/>
                      <w:jc w:val="left"/>
                      <w:rPr>
                        <w:sz w:val="16"/>
                      </w:rPr>
                    </w:pPr>
                    <w:r>
                      <w:rPr>
                        <w:sz w:val="16"/>
                      </w:rPr>
                      <w:t>*Médico General. Universidad Internacional de las Américas (UIA). San José - Costa Rica</w:t>
                    </w:r>
                  </w:p>
                </w:txbxContent>
              </v:textbox>
              <w10:wrap type="none"/>
            </v:shape>
            <w10:wrap type="none"/>
          </v:group>
        </w:pict>
      </w:r>
      <w:bookmarkStart w:name="_TOC_250000" w:id="1"/>
      <w:bookmarkEnd w:id="1"/>
      <w:r>
        <w:rPr/>
        <w:t>ESTADOS HIPERTENSIVOS DEL EMBARAZO</w:t>
      </w:r>
    </w:p>
    <w:p>
      <w:pPr>
        <w:spacing w:before="53"/>
        <w:ind w:left="2776" w:right="517" w:firstLine="0"/>
        <w:jc w:val="center"/>
        <w:rPr>
          <w:sz w:val="20"/>
        </w:rPr>
      </w:pPr>
      <w:r>
        <w:rPr>
          <w:sz w:val="20"/>
        </w:rPr>
        <w:t>(HYPERTENSIVE DISORDERS OF PREGNANCY)</w:t>
      </w:r>
    </w:p>
    <w:p>
      <w:pPr>
        <w:pStyle w:val="BodyText"/>
        <w:spacing w:before="10"/>
        <w:rPr>
          <w:sz w:val="23"/>
        </w:rPr>
      </w:pPr>
    </w:p>
    <w:p>
      <w:pPr>
        <w:pStyle w:val="BodyText"/>
        <w:ind w:right="1434"/>
        <w:jc w:val="right"/>
      </w:pPr>
      <w:r>
        <w:rPr/>
        <w:t>* Leidy Vásquez Valerio</w:t>
      </w:r>
    </w:p>
    <w:p>
      <w:pPr>
        <w:pStyle w:val="BodyText"/>
        <w:rPr>
          <w:sz w:val="14"/>
        </w:rPr>
      </w:pPr>
    </w:p>
    <w:p>
      <w:pPr>
        <w:pStyle w:val="BodyText"/>
        <w:spacing w:before="93"/>
        <w:ind w:left="3829"/>
      </w:pPr>
      <w:r>
        <w:rPr/>
        <w:drawing>
          <wp:anchor distT="0" distB="0" distL="0" distR="0" allowOverlap="1" layoutInCell="1" locked="0" behindDoc="1" simplePos="0" relativeHeight="268395191">
            <wp:simplePos x="0" y="0"/>
            <wp:positionH relativeFrom="page">
              <wp:posOffset>2333625</wp:posOffset>
            </wp:positionH>
            <wp:positionV relativeFrom="paragraph">
              <wp:posOffset>9751</wp:posOffset>
            </wp:positionV>
            <wp:extent cx="4638675" cy="6276975"/>
            <wp:effectExtent l="0" t="0" r="0" b="0"/>
            <wp:wrapNone/>
            <wp:docPr id="41" name="image38.png" descr=""/>
            <wp:cNvGraphicFramePr>
              <a:graphicFrameLocks noChangeAspect="1"/>
            </wp:cNvGraphicFramePr>
            <a:graphic>
              <a:graphicData uri="http://schemas.openxmlformats.org/drawingml/2006/picture">
                <pic:pic>
                  <pic:nvPicPr>
                    <pic:cNvPr id="42" name="image38.png"/>
                    <pic:cNvPicPr/>
                  </pic:nvPicPr>
                  <pic:blipFill>
                    <a:blip r:embed="rId57" cstate="print"/>
                    <a:stretch>
                      <a:fillRect/>
                    </a:stretch>
                  </pic:blipFill>
                  <pic:spPr>
                    <a:xfrm>
                      <a:off x="0" y="0"/>
                      <a:ext cx="4638675" cy="6276975"/>
                    </a:xfrm>
                    <a:prstGeom prst="rect">
                      <a:avLst/>
                    </a:prstGeom>
                  </pic:spPr>
                </pic:pic>
              </a:graphicData>
            </a:graphic>
          </wp:anchor>
        </w:drawing>
      </w:r>
      <w:r>
        <w:rPr/>
        <w:t>RESUMEN</w:t>
      </w:r>
    </w:p>
    <w:p>
      <w:pPr>
        <w:pStyle w:val="BodyText"/>
        <w:spacing w:line="276" w:lineRule="auto" w:before="38"/>
        <w:ind w:left="3829" w:right="1458"/>
      </w:pPr>
      <w:r>
        <w:rPr/>
        <w:t>La hipertensión es el problema médico más común encontrado durante el embarazo. Los trastornos hipertensivos del embarazo se asocian con un mayor riesgo de morbilidad y mortalidad</w:t>
      </w:r>
      <w:r>
        <w:rPr>
          <w:spacing w:val="-19"/>
        </w:rPr>
        <w:t> </w:t>
      </w:r>
      <w:r>
        <w:rPr/>
        <w:t>perinatal.</w:t>
      </w:r>
    </w:p>
    <w:p>
      <w:pPr>
        <w:pStyle w:val="BodyText"/>
        <w:spacing w:line="276" w:lineRule="auto" w:before="2"/>
        <w:ind w:left="3829" w:right="1713"/>
      </w:pPr>
      <w:r>
        <w:rPr/>
        <w:t>El manejo adecuado de la hipertensión y las complicaciones pueden optimizar los resultados.</w:t>
      </w:r>
    </w:p>
    <w:p>
      <w:pPr>
        <w:pStyle w:val="BodyText"/>
        <w:spacing w:line="278" w:lineRule="auto"/>
        <w:ind w:left="3829" w:right="1554"/>
      </w:pPr>
      <w:r>
        <w:rPr/>
        <w:t>Los trastornos de la hipertensión durante el embarazo se clasifican en 4 categorías:</w:t>
      </w:r>
    </w:p>
    <w:p>
      <w:pPr>
        <w:pStyle w:val="ListParagraph"/>
        <w:numPr>
          <w:ilvl w:val="2"/>
          <w:numId w:val="6"/>
        </w:numPr>
        <w:tabs>
          <w:tab w:pos="4549" w:val="left" w:leader="none"/>
          <w:tab w:pos="4550" w:val="left" w:leader="none"/>
        </w:tabs>
        <w:spacing w:line="240" w:lineRule="auto" w:before="2" w:after="0"/>
        <w:ind w:left="4549" w:right="0" w:hanging="360"/>
        <w:jc w:val="left"/>
        <w:rPr>
          <w:sz w:val="22"/>
        </w:rPr>
      </w:pPr>
      <w:r>
        <w:rPr>
          <w:sz w:val="22"/>
        </w:rPr>
        <w:t>Hipertensión</w:t>
      </w:r>
      <w:r>
        <w:rPr>
          <w:spacing w:val="-1"/>
          <w:sz w:val="22"/>
        </w:rPr>
        <w:t> </w:t>
      </w:r>
      <w:r>
        <w:rPr>
          <w:sz w:val="22"/>
        </w:rPr>
        <w:t>crónica</w:t>
      </w:r>
    </w:p>
    <w:p>
      <w:pPr>
        <w:pStyle w:val="ListParagraph"/>
        <w:numPr>
          <w:ilvl w:val="2"/>
          <w:numId w:val="6"/>
        </w:numPr>
        <w:tabs>
          <w:tab w:pos="4549" w:val="left" w:leader="none"/>
          <w:tab w:pos="4550" w:val="left" w:leader="none"/>
        </w:tabs>
        <w:spacing w:line="240" w:lineRule="auto" w:before="34" w:after="0"/>
        <w:ind w:left="4549" w:right="0" w:hanging="360"/>
        <w:jc w:val="left"/>
        <w:rPr>
          <w:sz w:val="22"/>
        </w:rPr>
      </w:pPr>
      <w:r>
        <w:rPr>
          <w:sz w:val="22"/>
        </w:rPr>
        <w:t>Preeclampsia-eclampsia</w:t>
      </w:r>
    </w:p>
    <w:p>
      <w:pPr>
        <w:pStyle w:val="ListParagraph"/>
        <w:numPr>
          <w:ilvl w:val="2"/>
          <w:numId w:val="6"/>
        </w:numPr>
        <w:tabs>
          <w:tab w:pos="4549" w:val="left" w:leader="none"/>
          <w:tab w:pos="4550" w:val="left" w:leader="none"/>
        </w:tabs>
        <w:spacing w:line="240" w:lineRule="auto" w:before="38" w:after="0"/>
        <w:ind w:left="4549" w:right="0" w:hanging="360"/>
        <w:jc w:val="left"/>
        <w:rPr>
          <w:sz w:val="22"/>
        </w:rPr>
      </w:pPr>
      <w:r>
        <w:rPr>
          <w:sz w:val="22"/>
        </w:rPr>
        <w:t>Preeclampsia superpuesta a </w:t>
      </w:r>
      <w:r>
        <w:rPr>
          <w:spacing w:val="-3"/>
          <w:sz w:val="22"/>
        </w:rPr>
        <w:t>la </w:t>
      </w:r>
      <w:r>
        <w:rPr>
          <w:sz w:val="22"/>
        </w:rPr>
        <w:t>hipertensión crónica</w:t>
      </w:r>
    </w:p>
    <w:p>
      <w:pPr>
        <w:pStyle w:val="ListParagraph"/>
        <w:numPr>
          <w:ilvl w:val="2"/>
          <w:numId w:val="6"/>
        </w:numPr>
        <w:tabs>
          <w:tab w:pos="4549" w:val="left" w:leader="none"/>
          <w:tab w:pos="4550" w:val="left" w:leader="none"/>
        </w:tabs>
        <w:spacing w:line="240" w:lineRule="auto" w:before="34" w:after="0"/>
        <w:ind w:left="4549" w:right="0" w:hanging="360"/>
        <w:jc w:val="left"/>
        <w:rPr>
          <w:sz w:val="22"/>
        </w:rPr>
      </w:pPr>
      <w:r>
        <w:rPr>
          <w:sz w:val="22"/>
        </w:rPr>
        <w:t>Hipertensión</w:t>
      </w:r>
      <w:r>
        <w:rPr>
          <w:spacing w:val="-1"/>
          <w:sz w:val="22"/>
        </w:rPr>
        <w:t> </w:t>
      </w:r>
      <w:r>
        <w:rPr>
          <w:sz w:val="22"/>
        </w:rPr>
        <w:t>gestacional</w:t>
      </w:r>
    </w:p>
    <w:p>
      <w:pPr>
        <w:pStyle w:val="BodyText"/>
        <w:spacing w:before="37"/>
        <w:ind w:left="3829"/>
      </w:pPr>
      <w:r>
        <w:rPr/>
        <w:t>El tratamiento depende de la clasificación</w:t>
      </w:r>
    </w:p>
    <w:p>
      <w:pPr>
        <w:pStyle w:val="BodyText"/>
        <w:spacing w:before="5"/>
        <w:rPr>
          <w:sz w:val="28"/>
        </w:rPr>
      </w:pPr>
    </w:p>
    <w:p>
      <w:pPr>
        <w:pStyle w:val="BodyText"/>
        <w:ind w:left="3829"/>
      </w:pPr>
      <w:r>
        <w:rPr/>
        <w:t>DESCRIPTORES</w:t>
      </w:r>
    </w:p>
    <w:p>
      <w:pPr>
        <w:pStyle w:val="BodyText"/>
        <w:spacing w:before="38"/>
        <w:ind w:left="3829"/>
      </w:pPr>
      <w:r>
        <w:rPr/>
        <w:t>Hipertensión, eclampsia, preeclampsia, transtornos hipertensivos</w:t>
      </w:r>
    </w:p>
    <w:p>
      <w:pPr>
        <w:pStyle w:val="BodyText"/>
        <w:spacing w:before="4"/>
        <w:rPr>
          <w:sz w:val="28"/>
        </w:rPr>
      </w:pPr>
    </w:p>
    <w:p>
      <w:pPr>
        <w:pStyle w:val="BodyText"/>
        <w:ind w:left="3829"/>
      </w:pPr>
      <w:r>
        <w:rPr/>
        <w:t>SUMMARY</w:t>
      </w:r>
    </w:p>
    <w:p>
      <w:pPr>
        <w:pStyle w:val="BodyText"/>
        <w:spacing w:line="276" w:lineRule="auto" w:before="38"/>
        <w:ind w:left="3829" w:right="1387"/>
      </w:pPr>
      <w:r>
        <w:rPr/>
        <w:t>Hypertension is the most common medical problem encountered during pregnancy. Hypertensive disorders of pregnancy are associated with an increased risk of perinatal morbidity and mortality. The proper management of hypertension and complications can optimize the results.</w:t>
      </w:r>
    </w:p>
    <w:p>
      <w:pPr>
        <w:pStyle w:val="BodyText"/>
        <w:spacing w:line="273" w:lineRule="auto" w:before="1"/>
        <w:ind w:left="3829" w:right="1725"/>
      </w:pPr>
      <w:r>
        <w:rPr/>
        <w:t>Hypertension disorders during pregnancy are classified into 4 categories:</w:t>
      </w:r>
    </w:p>
    <w:p>
      <w:pPr>
        <w:pStyle w:val="ListParagraph"/>
        <w:numPr>
          <w:ilvl w:val="2"/>
          <w:numId w:val="6"/>
        </w:numPr>
        <w:tabs>
          <w:tab w:pos="4549" w:val="left" w:leader="none"/>
          <w:tab w:pos="4550" w:val="left" w:leader="none"/>
        </w:tabs>
        <w:spacing w:line="240" w:lineRule="auto" w:before="5" w:after="0"/>
        <w:ind w:left="4549" w:right="0" w:hanging="360"/>
        <w:jc w:val="left"/>
        <w:rPr>
          <w:sz w:val="22"/>
        </w:rPr>
      </w:pPr>
      <w:r>
        <w:rPr>
          <w:sz w:val="22"/>
        </w:rPr>
        <w:t>Chronic</w:t>
      </w:r>
      <w:r>
        <w:rPr>
          <w:spacing w:val="-1"/>
          <w:sz w:val="22"/>
        </w:rPr>
        <w:t> </w:t>
      </w:r>
      <w:r>
        <w:rPr>
          <w:sz w:val="22"/>
        </w:rPr>
        <w:t>hypertension</w:t>
      </w:r>
    </w:p>
    <w:p>
      <w:pPr>
        <w:pStyle w:val="ListParagraph"/>
        <w:numPr>
          <w:ilvl w:val="2"/>
          <w:numId w:val="6"/>
        </w:numPr>
        <w:tabs>
          <w:tab w:pos="4549" w:val="left" w:leader="none"/>
          <w:tab w:pos="4550" w:val="left" w:leader="none"/>
        </w:tabs>
        <w:spacing w:line="240" w:lineRule="auto" w:before="38" w:after="0"/>
        <w:ind w:left="4549" w:right="0" w:hanging="360"/>
        <w:jc w:val="left"/>
        <w:rPr>
          <w:sz w:val="22"/>
        </w:rPr>
      </w:pPr>
      <w:r>
        <w:rPr>
          <w:sz w:val="22"/>
        </w:rPr>
        <w:t>Preeclampsia-eclampsia</w:t>
      </w:r>
    </w:p>
    <w:p>
      <w:pPr>
        <w:pStyle w:val="ListParagraph"/>
        <w:numPr>
          <w:ilvl w:val="2"/>
          <w:numId w:val="6"/>
        </w:numPr>
        <w:tabs>
          <w:tab w:pos="4549" w:val="left" w:leader="none"/>
          <w:tab w:pos="4550" w:val="left" w:leader="none"/>
        </w:tabs>
        <w:spacing w:line="240" w:lineRule="auto" w:before="34" w:after="0"/>
        <w:ind w:left="4549" w:right="0" w:hanging="360"/>
        <w:jc w:val="left"/>
        <w:rPr>
          <w:sz w:val="22"/>
        </w:rPr>
      </w:pPr>
      <w:r>
        <w:rPr>
          <w:sz w:val="22"/>
        </w:rPr>
        <w:t>Preeclampsia superimposed on chronic</w:t>
      </w:r>
      <w:r>
        <w:rPr>
          <w:spacing w:val="-3"/>
          <w:sz w:val="22"/>
        </w:rPr>
        <w:t> </w:t>
      </w:r>
      <w:r>
        <w:rPr>
          <w:sz w:val="22"/>
        </w:rPr>
        <w:t>hypertension</w:t>
      </w:r>
    </w:p>
    <w:p>
      <w:pPr>
        <w:pStyle w:val="ListParagraph"/>
        <w:numPr>
          <w:ilvl w:val="2"/>
          <w:numId w:val="6"/>
        </w:numPr>
        <w:tabs>
          <w:tab w:pos="4549" w:val="left" w:leader="none"/>
          <w:tab w:pos="4550" w:val="left" w:leader="none"/>
        </w:tabs>
        <w:spacing w:line="240" w:lineRule="auto" w:before="34" w:after="0"/>
        <w:ind w:left="4549" w:right="0" w:hanging="360"/>
        <w:jc w:val="left"/>
        <w:rPr>
          <w:sz w:val="22"/>
        </w:rPr>
      </w:pPr>
      <w:r>
        <w:rPr>
          <w:sz w:val="22"/>
        </w:rPr>
        <w:t>Gestational</w:t>
      </w:r>
      <w:r>
        <w:rPr>
          <w:spacing w:val="-7"/>
          <w:sz w:val="22"/>
        </w:rPr>
        <w:t> </w:t>
      </w:r>
      <w:r>
        <w:rPr>
          <w:sz w:val="22"/>
        </w:rPr>
        <w:t>hypertension</w:t>
      </w:r>
    </w:p>
    <w:p>
      <w:pPr>
        <w:pStyle w:val="BodyText"/>
        <w:spacing w:before="37"/>
        <w:ind w:left="3829"/>
      </w:pPr>
      <w:r>
        <w:rPr/>
        <w:t>The treatment depends on the classification</w:t>
      </w:r>
    </w:p>
    <w:p>
      <w:pPr>
        <w:pStyle w:val="BodyText"/>
        <w:spacing w:before="4"/>
        <w:rPr>
          <w:sz w:val="28"/>
        </w:rPr>
      </w:pPr>
    </w:p>
    <w:p>
      <w:pPr>
        <w:pStyle w:val="BodyText"/>
        <w:spacing w:before="1"/>
        <w:ind w:left="3829"/>
      </w:pPr>
      <w:r>
        <w:rPr/>
        <w:t>KEYWORDS</w:t>
      </w:r>
    </w:p>
    <w:p>
      <w:pPr>
        <w:pStyle w:val="BodyText"/>
        <w:spacing w:before="43"/>
        <w:ind w:left="3829"/>
      </w:pPr>
      <w:r>
        <w:rPr/>
        <w:t>Hypertension, eclampsia, preeclampsia, hypertensive disorders</w:t>
      </w:r>
    </w:p>
    <w:p>
      <w:pPr>
        <w:pStyle w:val="BodyText"/>
        <w:rPr>
          <w:sz w:val="20"/>
        </w:rPr>
      </w:pPr>
    </w:p>
    <w:p>
      <w:pPr>
        <w:pStyle w:val="BodyText"/>
        <w:spacing w:before="6"/>
        <w:rPr>
          <w:sz w:val="16"/>
        </w:rPr>
      </w:pPr>
    </w:p>
    <w:p>
      <w:pPr>
        <w:spacing w:after="0"/>
        <w:rPr>
          <w:sz w:val="16"/>
        </w:rPr>
        <w:sectPr>
          <w:headerReference w:type="even" r:id="rId55"/>
          <w:pgSz w:w="12240" w:h="15840"/>
          <w:pgMar w:header="0" w:footer="872" w:top="1360" w:bottom="1060" w:left="0" w:right="0"/>
        </w:sectPr>
      </w:pPr>
    </w:p>
    <w:p>
      <w:pPr>
        <w:pStyle w:val="Heading4"/>
        <w:spacing w:before="92"/>
      </w:pPr>
      <w:r>
        <w:rPr/>
        <w:t>INTRODUCCION</w:t>
      </w:r>
    </w:p>
    <w:p>
      <w:pPr>
        <w:pStyle w:val="BodyText"/>
        <w:spacing w:before="5"/>
        <w:rPr>
          <w:b/>
          <w:sz w:val="21"/>
        </w:rPr>
      </w:pPr>
    </w:p>
    <w:p>
      <w:pPr>
        <w:pStyle w:val="BodyText"/>
        <w:spacing w:line="276" w:lineRule="auto"/>
        <w:ind w:left="1440"/>
        <w:jc w:val="both"/>
      </w:pPr>
      <w:r>
        <w:rPr/>
        <w:t>Los trastornos hipertensivos del embarazo están asociados con un mayor riesgo de morbilidad y mortalidad perinatal. El manejo</w:t>
      </w:r>
    </w:p>
    <w:p>
      <w:pPr>
        <w:pStyle w:val="BodyText"/>
        <w:spacing w:line="276" w:lineRule="auto" w:before="95"/>
        <w:ind w:left="683" w:right="1437"/>
        <w:jc w:val="both"/>
      </w:pPr>
      <w:r>
        <w:rPr/>
        <w:br w:type="column"/>
      </w:r>
      <w:r>
        <w:rPr/>
        <w:t>adecuado de la hipertensión y sus complicaciones asociadas pueden optimizar los resultados. Una mayor comprensión de la fisiopatología, la etiología y la historia</w:t>
      </w:r>
    </w:p>
    <w:p>
      <w:pPr>
        <w:spacing w:after="0" w:line="276" w:lineRule="auto"/>
        <w:jc w:val="both"/>
        <w:sectPr>
          <w:type w:val="continuous"/>
          <w:pgSz w:w="12240" w:h="15840"/>
          <w:pgMar w:top="1500" w:bottom="0" w:left="0" w:right="0"/>
          <w:cols w:num="2" w:equalWidth="0">
            <w:col w:w="5759" w:space="40"/>
            <w:col w:w="6441"/>
          </w:cols>
        </w:sectPr>
      </w:pPr>
    </w:p>
    <w:p>
      <w:pPr>
        <w:pStyle w:val="BodyText"/>
        <w:rPr>
          <w:sz w:val="20"/>
        </w:rPr>
      </w:pPr>
    </w:p>
    <w:p>
      <w:pPr>
        <w:spacing w:after="0"/>
        <w:rPr>
          <w:sz w:val="20"/>
        </w:rPr>
        <w:sectPr>
          <w:headerReference w:type="default" r:id="rId58"/>
          <w:footerReference w:type="default" r:id="rId59"/>
          <w:footerReference w:type="even" r:id="rId60"/>
          <w:pgSz w:w="12240" w:h="15840"/>
          <w:pgMar w:header="723" w:footer="882" w:top="940" w:bottom="1080" w:left="0" w:right="0"/>
          <w:pgNumType w:start="13"/>
        </w:sectPr>
      </w:pPr>
    </w:p>
    <w:p>
      <w:pPr>
        <w:pStyle w:val="BodyText"/>
        <w:spacing w:before="8"/>
      </w:pPr>
    </w:p>
    <w:p>
      <w:pPr>
        <w:pStyle w:val="BodyText"/>
        <w:spacing w:line="276" w:lineRule="auto"/>
        <w:ind w:left="1440" w:right="2"/>
        <w:jc w:val="both"/>
      </w:pPr>
      <w:r>
        <w:rPr/>
        <w:t>natural de los trastornos hipertensivos en el embarazo permitiría mejorar las estrategias de prevención y la eliminación definitiva de la morbilidad y mortalidad asociadas.</w:t>
      </w:r>
    </w:p>
    <w:p>
      <w:pPr>
        <w:pStyle w:val="Heading4"/>
        <w:spacing w:before="199"/>
      </w:pPr>
      <w:r>
        <w:rPr/>
        <w:t>DEFINICION</w:t>
      </w:r>
    </w:p>
    <w:p>
      <w:pPr>
        <w:pStyle w:val="BodyText"/>
        <w:spacing w:before="1"/>
        <w:rPr>
          <w:b/>
          <w:sz w:val="21"/>
        </w:rPr>
      </w:pPr>
    </w:p>
    <w:p>
      <w:pPr>
        <w:pStyle w:val="BodyText"/>
        <w:spacing w:line="276" w:lineRule="auto"/>
        <w:ind w:left="1440"/>
        <w:jc w:val="both"/>
      </w:pPr>
      <w:r>
        <w:rPr/>
        <w:t>Los trastornos hipertensivos del embarazo son la segunda causa más frecuente de muerte materna directa en el mundo. La hipertensión es también la complicación médica más común que se encuentra durante el embarazo, y complica 5-10% de los embarazos.</w:t>
      </w:r>
    </w:p>
    <w:p>
      <w:pPr>
        <w:pStyle w:val="BodyText"/>
        <w:spacing w:line="276" w:lineRule="auto" w:before="198"/>
        <w:ind w:left="1440"/>
        <w:jc w:val="both"/>
      </w:pPr>
      <w:r>
        <w:rPr/>
        <w:t>Las tasas más altas son en mujeres negras, mujeres mayores de 45 años y con diabetes. Hipertensión en el embarazo se asocia con un mayor riesgo de hemorragia intracerebral, desprendimiento de </w:t>
      </w:r>
      <w:r>
        <w:rPr>
          <w:spacing w:val="-3"/>
        </w:rPr>
        <w:t>la </w:t>
      </w:r>
      <w:r>
        <w:rPr/>
        <w:t>placenta, retraso del crecimiento intrauterino, prematuridad y muerte intrauterina.</w:t>
      </w:r>
    </w:p>
    <w:p>
      <w:pPr>
        <w:pStyle w:val="BodyText"/>
        <w:spacing w:line="276" w:lineRule="auto" w:before="198"/>
        <w:ind w:left="1440"/>
        <w:jc w:val="both"/>
      </w:pPr>
      <w:r>
        <w:rPr/>
        <w:t>Hay cuatro categorías de los trastornos hipertensivos del embarazo:</w:t>
      </w:r>
    </w:p>
    <w:p>
      <w:pPr>
        <w:pStyle w:val="Heading5"/>
        <w:numPr>
          <w:ilvl w:val="0"/>
          <w:numId w:val="7"/>
        </w:numPr>
        <w:tabs>
          <w:tab w:pos="1801" w:val="left" w:leader="none"/>
        </w:tabs>
        <w:spacing w:line="240" w:lineRule="auto" w:before="202" w:after="0"/>
        <w:ind w:left="1038" w:right="0" w:firstLine="402"/>
        <w:jc w:val="left"/>
        <w:rPr>
          <w:i/>
        </w:rPr>
      </w:pPr>
      <w:r>
        <w:rPr>
          <w:i/>
        </w:rPr>
        <w:t>Preeclampsia /</w:t>
      </w:r>
      <w:r>
        <w:rPr>
          <w:i/>
          <w:spacing w:val="-4"/>
        </w:rPr>
        <w:t> </w:t>
      </w:r>
      <w:r>
        <w:rPr>
          <w:i/>
        </w:rPr>
        <w:t>eclampsia</w:t>
      </w:r>
    </w:p>
    <w:p>
      <w:pPr>
        <w:pStyle w:val="BodyText"/>
        <w:spacing w:before="5"/>
        <w:rPr>
          <w:b/>
          <w:i/>
          <w:sz w:val="28"/>
        </w:rPr>
      </w:pPr>
    </w:p>
    <w:p>
      <w:pPr>
        <w:pStyle w:val="ListParagraph"/>
        <w:numPr>
          <w:ilvl w:val="1"/>
          <w:numId w:val="7"/>
        </w:numPr>
        <w:tabs>
          <w:tab w:pos="2161" w:val="left" w:leader="none"/>
        </w:tabs>
        <w:spacing w:line="276" w:lineRule="auto" w:before="0" w:after="0"/>
        <w:ind w:left="2160" w:right="2" w:hanging="360"/>
        <w:jc w:val="both"/>
        <w:rPr>
          <w:sz w:val="22"/>
        </w:rPr>
      </w:pPr>
      <w:r>
        <w:rPr>
          <w:sz w:val="22"/>
        </w:rPr>
        <w:t>Elevación de </w:t>
      </w:r>
      <w:r>
        <w:rPr>
          <w:spacing w:val="-3"/>
          <w:sz w:val="22"/>
        </w:rPr>
        <w:t>la </w:t>
      </w:r>
      <w:r>
        <w:rPr>
          <w:sz w:val="22"/>
        </w:rPr>
        <w:t>presión arterial sistólica (PAS) ≥140 mm Hg o presión arterial diastólica (PAD) ≥ 90 mm Hg materna en dos ocasiones con 6 horas de</w:t>
      </w:r>
      <w:r>
        <w:rPr>
          <w:spacing w:val="-6"/>
          <w:sz w:val="22"/>
        </w:rPr>
        <w:t> </w:t>
      </w:r>
      <w:r>
        <w:rPr>
          <w:sz w:val="22"/>
        </w:rPr>
        <w:t>diferencia.</w:t>
      </w:r>
    </w:p>
    <w:p>
      <w:pPr>
        <w:pStyle w:val="ListParagraph"/>
        <w:numPr>
          <w:ilvl w:val="1"/>
          <w:numId w:val="7"/>
        </w:numPr>
        <w:tabs>
          <w:tab w:pos="2161" w:val="left" w:leader="none"/>
        </w:tabs>
        <w:spacing w:line="268" w:lineRule="auto" w:before="3" w:after="0"/>
        <w:ind w:left="2160" w:right="0" w:hanging="360"/>
        <w:jc w:val="both"/>
        <w:rPr>
          <w:sz w:val="22"/>
        </w:rPr>
      </w:pPr>
      <w:r>
        <w:rPr>
          <w:sz w:val="22"/>
        </w:rPr>
        <w:t>Proteinuria ≥300 mg en muestra de orina de 24</w:t>
      </w:r>
      <w:r>
        <w:rPr>
          <w:spacing w:val="-1"/>
          <w:sz w:val="22"/>
        </w:rPr>
        <w:t> </w:t>
      </w:r>
      <w:r>
        <w:rPr>
          <w:sz w:val="22"/>
        </w:rPr>
        <w:t>horas.</w:t>
      </w:r>
    </w:p>
    <w:p>
      <w:pPr>
        <w:pStyle w:val="ListParagraph"/>
        <w:numPr>
          <w:ilvl w:val="1"/>
          <w:numId w:val="7"/>
        </w:numPr>
        <w:tabs>
          <w:tab w:pos="2161" w:val="left" w:leader="none"/>
        </w:tabs>
        <w:spacing w:line="273" w:lineRule="auto" w:before="10" w:after="0"/>
        <w:ind w:left="2160" w:right="2" w:hanging="360"/>
        <w:jc w:val="both"/>
        <w:rPr>
          <w:sz w:val="22"/>
        </w:rPr>
      </w:pPr>
      <w:r>
        <w:rPr>
          <w:sz w:val="22"/>
        </w:rPr>
        <w:t>La eclampsia se define como ≥1 convulsiones generalizadas en </w:t>
      </w:r>
      <w:r>
        <w:rPr>
          <w:spacing w:val="-3"/>
          <w:sz w:val="22"/>
        </w:rPr>
        <w:t>la </w:t>
      </w:r>
      <w:r>
        <w:rPr>
          <w:sz w:val="22"/>
        </w:rPr>
        <w:t>preeclampsia.</w:t>
      </w:r>
    </w:p>
    <w:p>
      <w:pPr>
        <w:pStyle w:val="Heading5"/>
        <w:spacing w:before="204"/>
        <w:jc w:val="left"/>
        <w:rPr>
          <w:i/>
        </w:rPr>
      </w:pPr>
      <w:r>
        <w:rPr>
          <w:i/>
        </w:rPr>
        <w:t>Preeclampsia leve</w:t>
      </w:r>
    </w:p>
    <w:p>
      <w:pPr>
        <w:pStyle w:val="BodyText"/>
        <w:spacing w:before="6"/>
        <w:rPr>
          <w:b/>
          <w:i/>
          <w:sz w:val="20"/>
        </w:rPr>
      </w:pPr>
    </w:p>
    <w:p>
      <w:pPr>
        <w:pStyle w:val="ListParagraph"/>
        <w:numPr>
          <w:ilvl w:val="1"/>
          <w:numId w:val="7"/>
        </w:numPr>
        <w:tabs>
          <w:tab w:pos="2161" w:val="left" w:leader="none"/>
        </w:tabs>
        <w:spacing w:line="273" w:lineRule="auto" w:before="0" w:after="0"/>
        <w:ind w:left="2160" w:right="1" w:hanging="360"/>
        <w:jc w:val="both"/>
        <w:rPr>
          <w:sz w:val="22"/>
        </w:rPr>
      </w:pPr>
      <w:r>
        <w:rPr>
          <w:sz w:val="22"/>
        </w:rPr>
        <w:t>PAS ≥140 mm Hg y PAD ≥90 mm Hg, pero &lt;160/110 mm</w:t>
      </w:r>
      <w:r>
        <w:rPr>
          <w:spacing w:val="-6"/>
          <w:sz w:val="22"/>
        </w:rPr>
        <w:t> </w:t>
      </w:r>
      <w:r>
        <w:rPr>
          <w:sz w:val="22"/>
        </w:rPr>
        <w:t>Hg</w:t>
      </w:r>
    </w:p>
    <w:p>
      <w:pPr>
        <w:pStyle w:val="ListParagraph"/>
        <w:numPr>
          <w:ilvl w:val="1"/>
          <w:numId w:val="7"/>
        </w:numPr>
        <w:tabs>
          <w:tab w:pos="2161" w:val="left" w:leader="none"/>
        </w:tabs>
        <w:spacing w:line="268" w:lineRule="auto" w:before="5" w:after="0"/>
        <w:ind w:left="2160" w:right="1" w:hanging="360"/>
        <w:jc w:val="both"/>
        <w:rPr>
          <w:sz w:val="22"/>
        </w:rPr>
      </w:pPr>
      <w:r>
        <w:rPr>
          <w:sz w:val="22"/>
        </w:rPr>
        <w:t>Proteinuria ≥300 mg/24 h, pero &lt;5 g/24 h.</w:t>
      </w:r>
    </w:p>
    <w:p>
      <w:pPr>
        <w:pStyle w:val="BodyText"/>
        <w:spacing w:before="10"/>
      </w:pPr>
      <w:r>
        <w:rPr/>
        <w:br w:type="column"/>
      </w:r>
      <w:r>
        <w:rPr/>
      </w:r>
    </w:p>
    <w:p>
      <w:pPr>
        <w:pStyle w:val="ListParagraph"/>
        <w:numPr>
          <w:ilvl w:val="0"/>
          <w:numId w:val="8"/>
        </w:numPr>
        <w:tabs>
          <w:tab w:pos="1399" w:val="left" w:leader="none"/>
          <w:tab w:pos="1400" w:val="left" w:leader="none"/>
        </w:tabs>
        <w:spacing w:line="240" w:lineRule="auto" w:before="0" w:after="0"/>
        <w:ind w:left="1399" w:right="0" w:hanging="361"/>
        <w:jc w:val="left"/>
        <w:rPr>
          <w:sz w:val="22"/>
        </w:rPr>
      </w:pPr>
      <w:r>
        <w:rPr>
          <w:sz w:val="22"/>
        </w:rPr>
        <w:t>Asintomática</w:t>
      </w:r>
    </w:p>
    <w:p>
      <w:pPr>
        <w:pStyle w:val="Heading5"/>
        <w:spacing w:before="233"/>
        <w:ind w:left="678"/>
        <w:jc w:val="left"/>
        <w:rPr>
          <w:i/>
        </w:rPr>
      </w:pPr>
      <w:r>
        <w:rPr>
          <w:i/>
        </w:rPr>
        <w:t>Preeclampsia grave</w:t>
      </w:r>
    </w:p>
    <w:p>
      <w:pPr>
        <w:pStyle w:val="BodyText"/>
        <w:spacing w:before="10"/>
        <w:rPr>
          <w:b/>
          <w:i/>
          <w:sz w:val="20"/>
        </w:rPr>
      </w:pPr>
    </w:p>
    <w:p>
      <w:pPr>
        <w:pStyle w:val="ListParagraph"/>
        <w:numPr>
          <w:ilvl w:val="0"/>
          <w:numId w:val="8"/>
        </w:numPr>
        <w:tabs>
          <w:tab w:pos="1400" w:val="left" w:leader="none"/>
        </w:tabs>
        <w:spacing w:line="276" w:lineRule="auto" w:before="0" w:after="0"/>
        <w:ind w:left="1399" w:right="1435" w:hanging="361"/>
        <w:jc w:val="both"/>
        <w:rPr>
          <w:sz w:val="22"/>
        </w:rPr>
      </w:pPr>
      <w:r>
        <w:rPr>
          <w:sz w:val="22"/>
        </w:rPr>
        <w:t>PAS ≥160 mm Hg y PAD ≥110 mm Hg en 2 ocasiones diferentes con cuando menos 6 horas de diferencia mientras </w:t>
      </w:r>
      <w:r>
        <w:rPr>
          <w:spacing w:val="-3"/>
          <w:sz w:val="22"/>
        </w:rPr>
        <w:t>la </w:t>
      </w:r>
      <w:r>
        <w:rPr>
          <w:sz w:val="22"/>
        </w:rPr>
        <w:t>paciente está en reposo en</w:t>
      </w:r>
      <w:r>
        <w:rPr>
          <w:spacing w:val="-1"/>
          <w:sz w:val="22"/>
        </w:rPr>
        <w:t> </w:t>
      </w:r>
      <w:r>
        <w:rPr>
          <w:sz w:val="22"/>
        </w:rPr>
        <w:t>cama.</w:t>
      </w:r>
    </w:p>
    <w:p>
      <w:pPr>
        <w:pStyle w:val="ListParagraph"/>
        <w:numPr>
          <w:ilvl w:val="0"/>
          <w:numId w:val="8"/>
        </w:numPr>
        <w:tabs>
          <w:tab w:pos="1400" w:val="left" w:leader="none"/>
        </w:tabs>
        <w:spacing w:line="273" w:lineRule="auto" w:before="3" w:after="0"/>
        <w:ind w:left="1399" w:right="1435" w:hanging="361"/>
        <w:jc w:val="both"/>
        <w:rPr>
          <w:sz w:val="22"/>
        </w:rPr>
      </w:pPr>
      <w:r>
        <w:rPr>
          <w:sz w:val="22"/>
        </w:rPr>
        <w:t>Proteinuria ≥5 g en muestra de  orina de 24 horas o ≥3+ en 2 muestras aleatorias de orina recolectadas en al menos 4 horas de</w:t>
      </w:r>
      <w:r>
        <w:rPr>
          <w:spacing w:val="-1"/>
          <w:sz w:val="22"/>
        </w:rPr>
        <w:t> </w:t>
      </w:r>
      <w:r>
        <w:rPr>
          <w:sz w:val="22"/>
        </w:rPr>
        <w:t>diferencia</w:t>
      </w:r>
    </w:p>
    <w:p>
      <w:pPr>
        <w:pStyle w:val="ListParagraph"/>
        <w:numPr>
          <w:ilvl w:val="0"/>
          <w:numId w:val="8"/>
        </w:numPr>
        <w:tabs>
          <w:tab w:pos="1399" w:val="left" w:leader="none"/>
          <w:tab w:pos="1400" w:val="left" w:leader="none"/>
        </w:tabs>
        <w:spacing w:line="240" w:lineRule="auto" w:before="6" w:after="0"/>
        <w:ind w:left="1399" w:right="0" w:hanging="361"/>
        <w:jc w:val="left"/>
        <w:rPr>
          <w:sz w:val="22"/>
        </w:rPr>
      </w:pPr>
      <w:r>
        <w:rPr>
          <w:sz w:val="22"/>
        </w:rPr>
        <w:t>Oliguria &lt;500 ml en 24</w:t>
      </w:r>
      <w:r>
        <w:rPr>
          <w:spacing w:val="-7"/>
          <w:sz w:val="22"/>
        </w:rPr>
        <w:t> </w:t>
      </w:r>
      <w:r>
        <w:rPr>
          <w:sz w:val="22"/>
        </w:rPr>
        <w:t>horas</w:t>
      </w:r>
    </w:p>
    <w:p>
      <w:pPr>
        <w:pStyle w:val="ListParagraph"/>
        <w:numPr>
          <w:ilvl w:val="0"/>
          <w:numId w:val="8"/>
        </w:numPr>
        <w:tabs>
          <w:tab w:pos="1400" w:val="left" w:leader="none"/>
        </w:tabs>
        <w:spacing w:line="273" w:lineRule="auto" w:before="35" w:after="0"/>
        <w:ind w:left="1399" w:right="1438" w:hanging="361"/>
        <w:jc w:val="both"/>
        <w:rPr>
          <w:sz w:val="22"/>
        </w:rPr>
      </w:pPr>
      <w:r>
        <w:rPr>
          <w:sz w:val="22"/>
        </w:rPr>
        <w:t>Alteraciones cerebrales o visuales, edema pulmonar o</w:t>
      </w:r>
      <w:r>
        <w:rPr>
          <w:spacing w:val="-5"/>
          <w:sz w:val="22"/>
        </w:rPr>
        <w:t> </w:t>
      </w:r>
      <w:r>
        <w:rPr>
          <w:sz w:val="22"/>
        </w:rPr>
        <w:t>cianosis.</w:t>
      </w:r>
    </w:p>
    <w:p>
      <w:pPr>
        <w:pStyle w:val="ListParagraph"/>
        <w:numPr>
          <w:ilvl w:val="0"/>
          <w:numId w:val="8"/>
        </w:numPr>
        <w:tabs>
          <w:tab w:pos="1400" w:val="left" w:leader="none"/>
        </w:tabs>
        <w:spacing w:line="268" w:lineRule="auto" w:before="6" w:after="0"/>
        <w:ind w:left="1399" w:right="1436" w:hanging="361"/>
        <w:jc w:val="both"/>
        <w:rPr>
          <w:sz w:val="22"/>
        </w:rPr>
      </w:pPr>
      <w:r>
        <w:rPr>
          <w:sz w:val="22"/>
        </w:rPr>
        <w:t>Síndrome de HELLP o Restricción del crecimiento</w:t>
      </w:r>
      <w:r>
        <w:rPr>
          <w:spacing w:val="-7"/>
          <w:sz w:val="22"/>
        </w:rPr>
        <w:t> </w:t>
      </w:r>
      <w:r>
        <w:rPr>
          <w:sz w:val="22"/>
        </w:rPr>
        <w:t>fetal.</w:t>
      </w:r>
    </w:p>
    <w:p>
      <w:pPr>
        <w:pStyle w:val="BodyText"/>
        <w:spacing w:before="10"/>
        <w:rPr>
          <w:sz w:val="25"/>
        </w:rPr>
      </w:pPr>
    </w:p>
    <w:p>
      <w:pPr>
        <w:pStyle w:val="Heading5"/>
        <w:numPr>
          <w:ilvl w:val="0"/>
          <w:numId w:val="7"/>
        </w:numPr>
        <w:tabs>
          <w:tab w:pos="1039" w:val="left" w:leader="none"/>
        </w:tabs>
        <w:spacing w:line="240" w:lineRule="auto" w:before="0" w:after="0"/>
        <w:ind w:left="1038" w:right="0" w:hanging="360"/>
        <w:jc w:val="left"/>
        <w:rPr>
          <w:i/>
        </w:rPr>
      </w:pPr>
      <w:r>
        <w:rPr>
          <w:i/>
        </w:rPr>
        <w:t>Hipertensión crónica</w:t>
      </w:r>
      <w:r>
        <w:rPr>
          <w:i/>
          <w:spacing w:val="-2"/>
        </w:rPr>
        <w:t> </w:t>
      </w:r>
      <w:r>
        <w:rPr>
          <w:i/>
        </w:rPr>
        <w:t>(preexistente)</w:t>
      </w:r>
    </w:p>
    <w:p>
      <w:pPr>
        <w:pStyle w:val="BodyText"/>
        <w:spacing w:before="9"/>
        <w:rPr>
          <w:b/>
          <w:i/>
          <w:sz w:val="28"/>
        </w:rPr>
      </w:pPr>
    </w:p>
    <w:p>
      <w:pPr>
        <w:pStyle w:val="ListParagraph"/>
        <w:numPr>
          <w:ilvl w:val="0"/>
          <w:numId w:val="8"/>
        </w:numPr>
        <w:tabs>
          <w:tab w:pos="1400" w:val="left" w:leader="none"/>
        </w:tabs>
        <w:spacing w:line="273" w:lineRule="auto" w:before="1" w:after="0"/>
        <w:ind w:left="1399" w:right="1434" w:hanging="361"/>
        <w:jc w:val="both"/>
        <w:rPr>
          <w:sz w:val="22"/>
        </w:rPr>
      </w:pPr>
      <w:r>
        <w:rPr>
          <w:sz w:val="22"/>
        </w:rPr>
        <w:t>Hipertensión que </w:t>
      </w:r>
      <w:r>
        <w:rPr>
          <w:spacing w:val="-3"/>
          <w:sz w:val="22"/>
        </w:rPr>
        <w:t>inicia </w:t>
      </w:r>
      <w:r>
        <w:rPr>
          <w:sz w:val="22"/>
        </w:rPr>
        <w:t>antes del embarazo o &lt;20 semanas de gestación.</w:t>
      </w:r>
    </w:p>
    <w:p>
      <w:pPr>
        <w:pStyle w:val="ListParagraph"/>
        <w:numPr>
          <w:ilvl w:val="0"/>
          <w:numId w:val="8"/>
        </w:numPr>
        <w:tabs>
          <w:tab w:pos="1400" w:val="left" w:leader="none"/>
        </w:tabs>
        <w:spacing w:line="271" w:lineRule="auto" w:before="6" w:after="0"/>
        <w:ind w:left="1399" w:right="1437" w:hanging="361"/>
        <w:jc w:val="both"/>
        <w:rPr>
          <w:sz w:val="22"/>
        </w:rPr>
      </w:pPr>
      <w:r>
        <w:rPr>
          <w:sz w:val="22"/>
        </w:rPr>
        <w:t>Persistencia de </w:t>
      </w:r>
      <w:r>
        <w:rPr>
          <w:spacing w:val="-3"/>
          <w:sz w:val="22"/>
        </w:rPr>
        <w:t>la </w:t>
      </w:r>
      <w:r>
        <w:rPr>
          <w:sz w:val="22"/>
        </w:rPr>
        <w:t>hipertensión más allá de las 12 semanas del</w:t>
      </w:r>
      <w:r>
        <w:rPr>
          <w:spacing w:val="-15"/>
          <w:sz w:val="22"/>
        </w:rPr>
        <w:t> </w:t>
      </w:r>
      <w:r>
        <w:rPr>
          <w:sz w:val="22"/>
        </w:rPr>
        <w:t>posparto.</w:t>
      </w:r>
    </w:p>
    <w:p>
      <w:pPr>
        <w:pStyle w:val="ListParagraph"/>
        <w:numPr>
          <w:ilvl w:val="0"/>
          <w:numId w:val="8"/>
        </w:numPr>
        <w:tabs>
          <w:tab w:pos="1400" w:val="left" w:leader="none"/>
        </w:tabs>
        <w:spacing w:line="268" w:lineRule="auto" w:before="8" w:after="0"/>
        <w:ind w:left="1399" w:right="1439" w:hanging="361"/>
        <w:jc w:val="both"/>
        <w:rPr>
          <w:sz w:val="22"/>
        </w:rPr>
      </w:pPr>
      <w:r>
        <w:rPr>
          <w:sz w:val="22"/>
        </w:rPr>
        <w:t>PAS ≥140 mm Hg o PAD ≥90 mm Hg.</w:t>
      </w:r>
    </w:p>
    <w:p>
      <w:pPr>
        <w:pStyle w:val="BodyText"/>
        <w:spacing w:before="2"/>
        <w:rPr>
          <w:sz w:val="26"/>
        </w:rPr>
      </w:pPr>
    </w:p>
    <w:p>
      <w:pPr>
        <w:pStyle w:val="Heading5"/>
        <w:numPr>
          <w:ilvl w:val="0"/>
          <w:numId w:val="7"/>
        </w:numPr>
        <w:tabs>
          <w:tab w:pos="1039" w:val="left" w:leader="none"/>
        </w:tabs>
        <w:spacing w:line="240" w:lineRule="auto" w:before="0" w:after="0"/>
        <w:ind w:left="1038" w:right="0" w:hanging="360"/>
        <w:jc w:val="left"/>
        <w:rPr>
          <w:i/>
        </w:rPr>
      </w:pPr>
      <w:r>
        <w:rPr>
          <w:i/>
        </w:rPr>
        <w:t>Hipertensión</w:t>
      </w:r>
      <w:r>
        <w:rPr>
          <w:i/>
          <w:spacing w:val="-1"/>
        </w:rPr>
        <w:t> </w:t>
      </w:r>
      <w:r>
        <w:rPr>
          <w:i/>
        </w:rPr>
        <w:t>gestacional</w:t>
      </w:r>
    </w:p>
    <w:p>
      <w:pPr>
        <w:pStyle w:val="BodyText"/>
        <w:spacing w:before="5"/>
        <w:rPr>
          <w:b/>
          <w:i/>
          <w:sz w:val="28"/>
        </w:rPr>
      </w:pPr>
    </w:p>
    <w:p>
      <w:pPr>
        <w:pStyle w:val="ListParagraph"/>
        <w:numPr>
          <w:ilvl w:val="0"/>
          <w:numId w:val="8"/>
        </w:numPr>
        <w:tabs>
          <w:tab w:pos="1400" w:val="left" w:leader="none"/>
        </w:tabs>
        <w:spacing w:line="276" w:lineRule="auto" w:before="0" w:after="0"/>
        <w:ind w:left="1399" w:right="1432" w:hanging="361"/>
        <w:jc w:val="both"/>
        <w:rPr>
          <w:sz w:val="22"/>
        </w:rPr>
      </w:pPr>
      <w:r>
        <w:rPr>
          <w:sz w:val="22"/>
        </w:rPr>
        <w:t>Elevación en </w:t>
      </w:r>
      <w:r>
        <w:rPr>
          <w:spacing w:val="-3"/>
          <w:sz w:val="22"/>
        </w:rPr>
        <w:t>la </w:t>
      </w:r>
      <w:r>
        <w:rPr>
          <w:sz w:val="22"/>
        </w:rPr>
        <w:t>PAS ≥140 mm Hg o PAD de ≥90 mm Hg en dos ocasiones, con seis horas de diferencia, en una mujer previamente normotensa ≥20 semanas de</w:t>
      </w:r>
      <w:r>
        <w:rPr>
          <w:spacing w:val="-5"/>
          <w:sz w:val="22"/>
        </w:rPr>
        <w:t> </w:t>
      </w:r>
      <w:r>
        <w:rPr>
          <w:sz w:val="22"/>
        </w:rPr>
        <w:t>gestación.</w:t>
      </w:r>
    </w:p>
    <w:p>
      <w:pPr>
        <w:pStyle w:val="ListParagraph"/>
        <w:numPr>
          <w:ilvl w:val="0"/>
          <w:numId w:val="8"/>
        </w:numPr>
        <w:tabs>
          <w:tab w:pos="1399" w:val="left" w:leader="none"/>
          <w:tab w:pos="1400" w:val="left" w:leader="none"/>
        </w:tabs>
        <w:spacing w:line="269" w:lineRule="exact" w:before="0" w:after="0"/>
        <w:ind w:left="1399" w:right="0" w:hanging="361"/>
        <w:jc w:val="left"/>
        <w:rPr>
          <w:sz w:val="22"/>
        </w:rPr>
      </w:pPr>
      <w:r>
        <w:rPr>
          <w:sz w:val="22"/>
        </w:rPr>
        <w:t>Sin evidencia de</w:t>
      </w:r>
      <w:r>
        <w:rPr>
          <w:spacing w:val="-2"/>
          <w:sz w:val="22"/>
        </w:rPr>
        <w:t> </w:t>
      </w:r>
      <w:r>
        <w:rPr>
          <w:sz w:val="22"/>
        </w:rPr>
        <w:t>proteinuria.</w:t>
      </w:r>
    </w:p>
    <w:p>
      <w:pPr>
        <w:pStyle w:val="BodyText"/>
        <w:spacing w:before="8"/>
        <w:rPr>
          <w:sz w:val="28"/>
        </w:rPr>
      </w:pPr>
    </w:p>
    <w:p>
      <w:pPr>
        <w:pStyle w:val="Heading5"/>
        <w:numPr>
          <w:ilvl w:val="0"/>
          <w:numId w:val="7"/>
        </w:numPr>
        <w:tabs>
          <w:tab w:pos="1039" w:val="left" w:leader="none"/>
          <w:tab w:pos="3013" w:val="left" w:leader="none"/>
          <w:tab w:pos="4875" w:val="left" w:leader="none"/>
        </w:tabs>
        <w:spacing w:line="273" w:lineRule="auto" w:before="0" w:after="0"/>
        <w:ind w:left="1038" w:right="1436" w:hanging="360"/>
        <w:jc w:val="left"/>
      </w:pPr>
      <w:r>
        <w:rPr>
          <w:i/>
        </w:rPr>
        <w:t>Preeclampsia</w:t>
        <w:tab/>
        <w:t>superpuesta</w:t>
        <w:tab/>
        <w:t>a </w:t>
      </w:r>
      <w:r>
        <w:rPr/>
        <w:t>hipertensión</w:t>
      </w:r>
      <w:r>
        <w:rPr>
          <w:spacing w:val="-1"/>
        </w:rPr>
        <w:t> </w:t>
      </w:r>
      <w:r>
        <w:rPr/>
        <w:t>crónica</w:t>
      </w:r>
    </w:p>
    <w:p>
      <w:pPr>
        <w:spacing w:after="0" w:line="273" w:lineRule="auto"/>
        <w:jc w:val="left"/>
        <w:sectPr>
          <w:type w:val="continuous"/>
          <w:pgSz w:w="12240" w:h="15840"/>
          <w:pgMar w:top="1500" w:bottom="0" w:left="0" w:right="0"/>
          <w:cols w:num="2" w:equalWidth="0">
            <w:col w:w="5764" w:space="40"/>
            <w:col w:w="6436"/>
          </w:cols>
        </w:sectPr>
      </w:pPr>
    </w:p>
    <w:p>
      <w:pPr>
        <w:spacing w:before="76"/>
        <w:ind w:left="4377" w:right="0" w:firstLine="0"/>
        <w:jc w:val="left"/>
        <w:rPr>
          <w:i/>
          <w:sz w:val="20"/>
        </w:rPr>
      </w:pPr>
      <w:r>
        <w:rPr>
          <w:i/>
          <w:color w:val="2D74B5"/>
          <w:sz w:val="20"/>
        </w:rPr>
        <w:t>ESTADOS HIPERTENSIVOS DEL EMBARAZO - Leidy Vásquez Valerio</w:t>
      </w:r>
    </w:p>
    <w:p>
      <w:pPr>
        <w:pStyle w:val="BodyText"/>
        <w:rPr>
          <w:i/>
          <w:sz w:val="20"/>
        </w:rPr>
      </w:pPr>
    </w:p>
    <w:p>
      <w:pPr>
        <w:spacing w:after="0"/>
        <w:rPr>
          <w:sz w:val="20"/>
        </w:rPr>
        <w:sectPr>
          <w:headerReference w:type="even" r:id="rId61"/>
          <w:pgSz w:w="12240" w:h="15840"/>
          <w:pgMar w:header="0" w:footer="872" w:top="640" w:bottom="1060" w:left="0" w:right="0"/>
        </w:sectPr>
      </w:pPr>
    </w:p>
    <w:p>
      <w:pPr>
        <w:pStyle w:val="BodyText"/>
        <w:spacing w:before="9"/>
        <w:rPr>
          <w:i/>
        </w:rPr>
      </w:pPr>
    </w:p>
    <w:p>
      <w:pPr>
        <w:pStyle w:val="ListParagraph"/>
        <w:numPr>
          <w:ilvl w:val="1"/>
          <w:numId w:val="7"/>
        </w:numPr>
        <w:tabs>
          <w:tab w:pos="2161" w:val="left" w:leader="none"/>
          <w:tab w:pos="4515" w:val="left" w:leader="none"/>
        </w:tabs>
        <w:spacing w:line="276" w:lineRule="auto" w:before="0" w:after="0"/>
        <w:ind w:left="2160" w:right="1" w:hanging="360"/>
        <w:jc w:val="both"/>
        <w:rPr>
          <w:sz w:val="22"/>
        </w:rPr>
      </w:pPr>
      <w:r>
        <w:rPr>
          <w:sz w:val="22"/>
        </w:rPr>
        <w:t>Es un aumento agudo no relacionado con el embarazo de </w:t>
      </w:r>
      <w:r>
        <w:rPr>
          <w:spacing w:val="-3"/>
          <w:sz w:val="22"/>
        </w:rPr>
        <w:t>la </w:t>
      </w:r>
      <w:r>
        <w:rPr>
          <w:sz w:val="22"/>
        </w:rPr>
        <w:t>PA conocida como hipertensión emergencia también puede ocurrir en pacientes embarazadas. Esta presentación es peligrosa para </w:t>
      </w:r>
      <w:r>
        <w:rPr>
          <w:spacing w:val="-3"/>
          <w:sz w:val="22"/>
        </w:rPr>
        <w:t>la </w:t>
      </w:r>
      <w:r>
        <w:rPr>
          <w:sz w:val="22"/>
        </w:rPr>
        <w:t>vida y requiere un tratamiento inmediato. Ejemplos de este escenario clínico incluyen encefalopatía</w:t>
        <w:tab/>
      </w:r>
      <w:r>
        <w:rPr>
          <w:spacing w:val="-1"/>
          <w:sz w:val="22"/>
        </w:rPr>
        <w:t>hipertensiva, </w:t>
      </w:r>
      <w:r>
        <w:rPr>
          <w:sz w:val="22"/>
        </w:rPr>
        <w:t>disección aórtica, insuficiencia ventricular izquierda</w:t>
      </w:r>
      <w:r>
        <w:rPr>
          <w:spacing w:val="1"/>
          <w:sz w:val="22"/>
        </w:rPr>
        <w:t> </w:t>
      </w:r>
      <w:r>
        <w:rPr>
          <w:sz w:val="22"/>
        </w:rPr>
        <w:t>.</w:t>
      </w:r>
    </w:p>
    <w:p>
      <w:pPr>
        <w:pStyle w:val="Heading4"/>
        <w:spacing w:before="195"/>
      </w:pPr>
      <w:r>
        <w:rPr/>
        <w:t>FISIOPATOLOGIA</w:t>
      </w:r>
    </w:p>
    <w:p>
      <w:pPr>
        <w:pStyle w:val="BodyText"/>
        <w:spacing w:before="4"/>
        <w:rPr>
          <w:b/>
          <w:sz w:val="21"/>
        </w:rPr>
      </w:pPr>
    </w:p>
    <w:p>
      <w:pPr>
        <w:pStyle w:val="BodyText"/>
        <w:spacing w:line="276" w:lineRule="auto" w:before="1"/>
        <w:ind w:left="1440"/>
        <w:jc w:val="both"/>
      </w:pPr>
      <w:r>
        <w:rPr/>
        <w:t>El sistema de </w:t>
      </w:r>
      <w:r>
        <w:rPr>
          <w:spacing w:val="-3"/>
        </w:rPr>
        <w:t>la </w:t>
      </w:r>
      <w:r>
        <w:rPr/>
        <w:t>hormona renina- angiotensina es regulada y sistemáticamente disminuye </w:t>
      </w:r>
      <w:r>
        <w:rPr>
          <w:spacing w:val="-3"/>
        </w:rPr>
        <w:t>la </w:t>
      </w:r>
      <w:r>
        <w:rPr/>
        <w:t>resistencia vascular. Como resultado, </w:t>
      </w:r>
      <w:r>
        <w:rPr>
          <w:spacing w:val="-3"/>
        </w:rPr>
        <w:t>la </w:t>
      </w:r>
      <w:r>
        <w:rPr/>
        <w:t>PA inicialmente disminuye tan temprano a las 7 semanas de gestación. La disminución de  </w:t>
      </w:r>
      <w:r>
        <w:rPr>
          <w:spacing w:val="-3"/>
        </w:rPr>
        <w:t>la </w:t>
      </w:r>
      <w:r>
        <w:rPr/>
        <w:t>PAD tiende a ser mayor que </w:t>
      </w:r>
      <w:r>
        <w:rPr>
          <w:spacing w:val="-3"/>
        </w:rPr>
        <w:t>la </w:t>
      </w:r>
      <w:r>
        <w:rPr/>
        <w:t>disminución de </w:t>
      </w:r>
      <w:r>
        <w:rPr>
          <w:spacing w:val="-3"/>
        </w:rPr>
        <w:t>la </w:t>
      </w:r>
      <w:r>
        <w:rPr/>
        <w:t>PAS. La PA materna comienza a aumentar nuevamente en el tercer trimestre. El evento de incitación en el desarrollo de los trastornos hipertensivos relacionados con el embarazo se considera como una invasión citotrofoblástica anormal de las arterias espirales, </w:t>
      </w:r>
      <w:r>
        <w:rPr>
          <w:spacing w:val="-3"/>
        </w:rPr>
        <w:t>lo </w:t>
      </w:r>
      <w:r>
        <w:rPr/>
        <w:t>que conduce a </w:t>
      </w:r>
      <w:r>
        <w:rPr>
          <w:spacing w:val="-3"/>
        </w:rPr>
        <w:t>la </w:t>
      </w:r>
      <w:r>
        <w:rPr/>
        <w:t>reducción de </w:t>
      </w:r>
      <w:r>
        <w:rPr>
          <w:spacing w:val="-3"/>
        </w:rPr>
        <w:t>la </w:t>
      </w:r>
      <w:r>
        <w:rPr/>
        <w:t>perfusión uteroplacentaria. Se supone que </w:t>
      </w:r>
      <w:r>
        <w:rPr>
          <w:spacing w:val="-3"/>
        </w:rPr>
        <w:t>la </w:t>
      </w:r>
      <w:r>
        <w:rPr/>
        <w:t>isquemia placentaria resultante provoca una activación anormal del endotelio vascular materno.</w:t>
      </w:r>
    </w:p>
    <w:p>
      <w:pPr>
        <w:pStyle w:val="BodyText"/>
        <w:spacing w:line="276" w:lineRule="auto" w:before="202"/>
        <w:ind w:left="1440" w:right="3"/>
        <w:jc w:val="both"/>
      </w:pPr>
      <w:r>
        <w:rPr/>
        <w:t>En general, la preeclampsia se asocia con un aumento de la resistencia de la presión vascular sistémica, aumento de la poscarga ventricular izquierda y disminución del gasto cardíaco.</w:t>
      </w:r>
    </w:p>
    <w:p>
      <w:pPr>
        <w:pStyle w:val="Heading4"/>
        <w:spacing w:before="195"/>
        <w:jc w:val="both"/>
      </w:pPr>
      <w:r>
        <w:rPr/>
        <w:t>TRATAMIENTO</w:t>
      </w:r>
    </w:p>
    <w:p>
      <w:pPr>
        <w:pStyle w:val="BodyText"/>
        <w:spacing w:before="4"/>
        <w:rPr>
          <w:b/>
          <w:sz w:val="21"/>
        </w:rPr>
      </w:pPr>
    </w:p>
    <w:p>
      <w:pPr>
        <w:pStyle w:val="Heading5"/>
        <w:spacing w:before="1"/>
        <w:rPr>
          <w:i/>
        </w:rPr>
      </w:pPr>
      <w:r>
        <w:rPr>
          <w:i/>
        </w:rPr>
        <w:t>Hipertensión gestacional</w:t>
      </w:r>
    </w:p>
    <w:p>
      <w:pPr>
        <w:pStyle w:val="BodyText"/>
        <w:spacing w:before="5"/>
        <w:rPr>
          <w:b/>
          <w:i/>
          <w:sz w:val="20"/>
        </w:rPr>
      </w:pPr>
    </w:p>
    <w:p>
      <w:pPr>
        <w:pStyle w:val="BodyText"/>
        <w:ind w:left="1440"/>
        <w:jc w:val="both"/>
      </w:pPr>
      <w:r>
        <w:rPr/>
        <w:t>La alfa-metildopa es el antihipertensivo</w:t>
      </w:r>
    </w:p>
    <w:p>
      <w:pPr>
        <w:pStyle w:val="BodyText"/>
        <w:spacing w:before="8"/>
      </w:pPr>
      <w:r>
        <w:rPr/>
        <w:br w:type="column"/>
      </w:r>
      <w:r>
        <w:rPr/>
      </w:r>
    </w:p>
    <w:p>
      <w:pPr>
        <w:pStyle w:val="BodyText"/>
        <w:spacing w:line="276" w:lineRule="auto"/>
        <w:ind w:left="674" w:right="1434"/>
        <w:jc w:val="both"/>
      </w:pPr>
      <w:r>
        <w:rPr/>
        <w:t>más estudiado y tiene el historial de seguridad más largo en el tratamiento hipertensión en el embarazo. El tratamiento redujo la PA materna y la frecuencia cardíaca, y además no tuvo efectos adversos uteroplacentarios y en la hemodinámica fetal. Actúa centralmente disminuyendo el tono simpático y por lo tanto puede tener muchos efectos secundarios. La alfa-metildopa es un fármaco antihipertensivo débil que debe administrarse tres o cuatro veces al día y frecuentemente requiere titulación.</w:t>
      </w:r>
    </w:p>
    <w:p>
      <w:pPr>
        <w:pStyle w:val="Heading5"/>
        <w:spacing w:before="202"/>
        <w:ind w:left="674"/>
        <w:rPr>
          <w:i/>
        </w:rPr>
      </w:pPr>
      <w:r>
        <w:rPr>
          <w:i/>
        </w:rPr>
        <w:t>Preeclampsia leve</w:t>
      </w:r>
    </w:p>
    <w:p>
      <w:pPr>
        <w:pStyle w:val="BodyText"/>
        <w:spacing w:before="4"/>
        <w:rPr>
          <w:b/>
          <w:i/>
          <w:sz w:val="20"/>
        </w:rPr>
      </w:pPr>
    </w:p>
    <w:p>
      <w:pPr>
        <w:pStyle w:val="BodyText"/>
        <w:spacing w:line="276" w:lineRule="auto"/>
        <w:ind w:left="674" w:right="1432"/>
        <w:jc w:val="both"/>
      </w:pPr>
      <w:r>
        <w:rPr/>
        <w:t>Edad gestacional ≥ 40 semanas, </w:t>
      </w:r>
      <w:r>
        <w:rPr>
          <w:spacing w:val="-3"/>
        </w:rPr>
        <w:t>lo </w:t>
      </w:r>
      <w:r>
        <w:rPr/>
        <w:t>indicado es inducir el parto. Entre las 37-40 semanas, se evalúa el estado del cuello uterino y, si es favorable, se inicia </w:t>
      </w:r>
      <w:r>
        <w:rPr>
          <w:spacing w:val="-3"/>
        </w:rPr>
        <w:t>la </w:t>
      </w:r>
      <w:r>
        <w:rPr/>
        <w:t>inducción. Si es desfavorable, antes de </w:t>
      </w:r>
      <w:r>
        <w:rPr>
          <w:spacing w:val="-3"/>
        </w:rPr>
        <w:t>la </w:t>
      </w:r>
      <w:r>
        <w:rPr/>
        <w:t>inducción se utilizan sustancias de maduración cervical según se necesite. Se indica el parto en el momento en que el estado cervical se vuelva favorable, cuando las pruebas prenatales sean anormales, cuando </w:t>
      </w:r>
      <w:r>
        <w:rPr>
          <w:spacing w:val="-3"/>
        </w:rPr>
        <w:t>la </w:t>
      </w:r>
      <w:r>
        <w:rPr/>
        <w:t>edad gestacional llegue a las 40 semanas o exista evidencia de empeoramiento de </w:t>
      </w:r>
      <w:r>
        <w:rPr>
          <w:spacing w:val="-3"/>
        </w:rPr>
        <w:t>la </w:t>
      </w:r>
      <w:r>
        <w:rPr/>
        <w:t>preeclampsia.</w:t>
      </w:r>
    </w:p>
    <w:p>
      <w:pPr>
        <w:pStyle w:val="BodyText"/>
        <w:spacing w:line="276" w:lineRule="auto" w:before="201"/>
        <w:ind w:left="674" w:right="1436"/>
        <w:jc w:val="both"/>
      </w:pPr>
      <w:r>
        <w:rPr/>
        <w:t>Antes de las 37 semanas de gestación se manejan de manera expectante con reposo en cama, pruebas prenatales dos veces por semana y con </w:t>
      </w:r>
      <w:r>
        <w:rPr>
          <w:spacing w:val="-3"/>
        </w:rPr>
        <w:t>la </w:t>
      </w:r>
      <w:r>
        <w:rPr/>
        <w:t>valoración materna. Si </w:t>
      </w:r>
      <w:r>
        <w:rPr>
          <w:spacing w:val="-3"/>
        </w:rPr>
        <w:t>la </w:t>
      </w:r>
      <w:r>
        <w:rPr/>
        <w:t>edad gestacional es &lt;34 semanas, se administran corticosteroides; se lleva a cabo amniocentesis según sea necesario para evaluar </w:t>
      </w:r>
      <w:r>
        <w:rPr>
          <w:spacing w:val="-3"/>
        </w:rPr>
        <w:t>la </w:t>
      </w:r>
      <w:r>
        <w:rPr/>
        <w:t>madurez pulmonar del</w:t>
      </w:r>
      <w:r>
        <w:rPr>
          <w:spacing w:val="-12"/>
        </w:rPr>
        <w:t> </w:t>
      </w:r>
      <w:r>
        <w:rPr/>
        <w:t>feto.</w:t>
      </w:r>
    </w:p>
    <w:p>
      <w:pPr>
        <w:pStyle w:val="Heading5"/>
        <w:spacing w:before="201"/>
        <w:ind w:left="674"/>
        <w:rPr>
          <w:i/>
        </w:rPr>
      </w:pPr>
      <w:r>
        <w:rPr>
          <w:i/>
        </w:rPr>
        <w:t>Preeclampsia grave</w:t>
      </w:r>
    </w:p>
    <w:p>
      <w:pPr>
        <w:pStyle w:val="BodyText"/>
        <w:spacing w:before="4"/>
        <w:rPr>
          <w:b/>
          <w:i/>
          <w:sz w:val="20"/>
        </w:rPr>
      </w:pPr>
    </w:p>
    <w:p>
      <w:pPr>
        <w:pStyle w:val="BodyText"/>
        <w:spacing w:line="278" w:lineRule="auto"/>
        <w:ind w:left="674" w:right="1437"/>
        <w:jc w:val="both"/>
      </w:pPr>
      <w:r>
        <w:rPr/>
        <w:t>Es indicación obligatoria de la hospitalización. Si la edad gestacional es de</w:t>
      </w:r>
    </w:p>
    <w:p>
      <w:pPr>
        <w:pStyle w:val="BodyText"/>
        <w:spacing w:line="276" w:lineRule="auto"/>
        <w:ind w:left="674" w:right="1437"/>
        <w:jc w:val="both"/>
      </w:pPr>
      <w:r>
        <w:rPr/>
        <w:t>≥34 semanas, se confirma la madurez pulmonar del feto o se observa evidencia de deterioro en el estado de la madre o el feto,</w:t>
      </w:r>
    </w:p>
    <w:p>
      <w:pPr>
        <w:spacing w:after="0" w:line="276" w:lineRule="auto"/>
        <w:jc w:val="both"/>
        <w:sectPr>
          <w:type w:val="continuous"/>
          <w:pgSz w:w="12240" w:h="15840"/>
          <w:pgMar w:top="1500" w:bottom="0" w:left="0" w:right="0"/>
          <w:cols w:num="2" w:equalWidth="0">
            <w:col w:w="5768" w:space="40"/>
            <w:col w:w="6432"/>
          </w:cols>
        </w:sectPr>
      </w:pPr>
    </w:p>
    <w:p>
      <w:pPr>
        <w:pStyle w:val="BodyText"/>
        <w:rPr>
          <w:sz w:val="20"/>
        </w:rPr>
      </w:pPr>
    </w:p>
    <w:p>
      <w:pPr>
        <w:spacing w:after="0"/>
        <w:rPr>
          <w:sz w:val="20"/>
        </w:rPr>
        <w:sectPr>
          <w:headerReference w:type="default" r:id="rId62"/>
          <w:footerReference w:type="default" r:id="rId63"/>
          <w:footerReference w:type="even" r:id="rId64"/>
          <w:pgSz w:w="12240" w:h="15840"/>
          <w:pgMar w:header="723" w:footer="882" w:top="940" w:bottom="1080" w:left="0" w:right="0"/>
          <w:pgNumType w:start="15"/>
        </w:sectPr>
      </w:pPr>
    </w:p>
    <w:p>
      <w:pPr>
        <w:pStyle w:val="BodyText"/>
        <w:spacing w:before="8"/>
      </w:pPr>
    </w:p>
    <w:p>
      <w:pPr>
        <w:pStyle w:val="BodyText"/>
        <w:spacing w:line="276" w:lineRule="auto"/>
        <w:ind w:left="1440" w:right="5"/>
        <w:jc w:val="both"/>
      </w:pPr>
      <w:r>
        <w:rPr>
          <w:spacing w:val="-3"/>
        </w:rPr>
        <w:t>lo </w:t>
      </w:r>
      <w:r>
        <w:rPr/>
        <w:t>indicado es inducir el parto. Se puede obtener un control agudo de </w:t>
      </w:r>
      <w:r>
        <w:rPr>
          <w:spacing w:val="-3"/>
        </w:rPr>
        <w:t>la </w:t>
      </w:r>
      <w:r>
        <w:rPr/>
        <w:t>presión arterial con hidralazina, labetalol o nifedipina. La meta del tratamiento antihipertensivo es lograr una PAS &lt;160 mm Hg y PAD &lt;105 mm</w:t>
      </w:r>
      <w:r>
        <w:rPr>
          <w:spacing w:val="-7"/>
        </w:rPr>
        <w:t> </w:t>
      </w:r>
      <w:r>
        <w:rPr/>
        <w:t>Hg.</w:t>
      </w:r>
    </w:p>
    <w:p>
      <w:pPr>
        <w:pStyle w:val="BodyText"/>
        <w:spacing w:line="276" w:lineRule="auto" w:before="157"/>
        <w:ind w:left="1440"/>
        <w:jc w:val="both"/>
      </w:pPr>
      <w:r>
        <w:rPr/>
        <w:t>La hidralazina se puede administrar en dosis de 5-10 mg IV. El inicio de </w:t>
      </w:r>
      <w:r>
        <w:rPr>
          <w:spacing w:val="-3"/>
        </w:rPr>
        <w:t>la </w:t>
      </w:r>
      <w:r>
        <w:rPr/>
        <w:t>acción ocurre en 10-20 minutos y </w:t>
      </w:r>
      <w:r>
        <w:rPr>
          <w:spacing w:val="-3"/>
        </w:rPr>
        <w:t>la </w:t>
      </w:r>
      <w:r>
        <w:rPr/>
        <w:t>dosis puede repetirse en 20-30 minutos, si es necesario. El labetalol se puede administrar en dosis de 5-20 mg mediante bolo intravenoso lento. La dosis puede repetirse en 10-20 minutos. La nifedipina se puede utilizar en dosis de 5-10 mg por vía oral. Es posible repetir </w:t>
      </w:r>
      <w:r>
        <w:rPr>
          <w:spacing w:val="-3"/>
        </w:rPr>
        <w:t>la </w:t>
      </w:r>
      <w:r>
        <w:rPr/>
        <w:t>dosis en 20-30 minutos según se necesite.</w:t>
      </w:r>
    </w:p>
    <w:p>
      <w:pPr>
        <w:pStyle w:val="BodyText"/>
        <w:spacing w:line="276" w:lineRule="auto" w:before="197"/>
        <w:ind w:left="1440"/>
        <w:jc w:val="both"/>
      </w:pPr>
      <w:r>
        <w:rPr/>
        <w:t>El manejo de </w:t>
      </w:r>
      <w:r>
        <w:rPr>
          <w:spacing w:val="-3"/>
        </w:rPr>
        <w:t>la </w:t>
      </w:r>
      <w:r>
        <w:rPr/>
        <w:t>preeclampsia grave antes de las 34 semanas es motivo de polémica. En algunas instituciones, se induce el parto independientemente de </w:t>
      </w:r>
      <w:r>
        <w:rPr>
          <w:spacing w:val="-3"/>
        </w:rPr>
        <w:t>la </w:t>
      </w:r>
      <w:r>
        <w:rPr/>
        <w:t>madurez fetal. En otros, se demora durante un periodo limitado para permitir que se administren corticosteroides. Entre las 33 y 35 semanas, debe considerarse</w:t>
      </w:r>
      <w:r>
        <w:rPr>
          <w:spacing w:val="10"/>
        </w:rPr>
        <w:t> </w:t>
      </w:r>
      <w:r>
        <w:rPr/>
        <w:t>una</w:t>
      </w:r>
    </w:p>
    <w:p>
      <w:pPr>
        <w:pStyle w:val="BodyText"/>
        <w:spacing w:before="8"/>
      </w:pPr>
      <w:r>
        <w:rPr/>
        <w:br w:type="column"/>
      </w:r>
      <w:r>
        <w:rPr/>
      </w:r>
    </w:p>
    <w:p>
      <w:pPr>
        <w:pStyle w:val="BodyText"/>
        <w:spacing w:line="276" w:lineRule="auto"/>
        <w:ind w:left="675" w:right="1434"/>
        <w:jc w:val="both"/>
      </w:pPr>
      <w:r>
        <w:rPr/>
        <w:t>amniocentesis para estudiar la madurez pulmonar. Si ya se alcanzó la madurez, lo indicado es realizar un parto inmediato. Si los pulmones no están maduros, se administran corticosteroides y, de ser posible, el parto se demora 24-48 horas.</w:t>
      </w:r>
    </w:p>
    <w:p>
      <w:pPr>
        <w:pStyle w:val="Heading5"/>
        <w:spacing w:before="197"/>
        <w:ind w:left="675"/>
        <w:jc w:val="left"/>
        <w:rPr>
          <w:i/>
        </w:rPr>
      </w:pPr>
      <w:r>
        <w:rPr>
          <w:i/>
        </w:rPr>
        <w:t>Eclampsia</w:t>
      </w:r>
    </w:p>
    <w:p>
      <w:pPr>
        <w:pStyle w:val="BodyText"/>
        <w:spacing w:before="8"/>
        <w:rPr>
          <w:b/>
          <w:i/>
          <w:sz w:val="20"/>
        </w:rPr>
      </w:pPr>
    </w:p>
    <w:p>
      <w:pPr>
        <w:pStyle w:val="BodyText"/>
        <w:spacing w:line="276" w:lineRule="auto"/>
        <w:ind w:left="675" w:right="1432"/>
        <w:jc w:val="both"/>
      </w:pPr>
      <w:r>
        <w:rPr/>
        <w:t>En </w:t>
      </w:r>
      <w:r>
        <w:rPr>
          <w:spacing w:val="-3"/>
        </w:rPr>
        <w:t>la </w:t>
      </w:r>
      <w:r>
        <w:rPr/>
        <w:t>mayoría de los casos, las convulsiones por eclampsia son autolimitadas y tienen una duración de 1-2 minutos. El diazepam y el lorazepam  deben utilizarse solo si las convulsiones se extienden. Una vez que se haya estabilizado a </w:t>
      </w:r>
      <w:r>
        <w:rPr>
          <w:spacing w:val="-3"/>
        </w:rPr>
        <w:t>la </w:t>
      </w:r>
      <w:r>
        <w:rPr/>
        <w:t>paciente, </w:t>
      </w:r>
      <w:r>
        <w:rPr>
          <w:spacing w:val="-3"/>
        </w:rPr>
        <w:t>lo </w:t>
      </w:r>
      <w:r>
        <w:rPr/>
        <w:t>indicado es realizar </w:t>
      </w:r>
      <w:r>
        <w:rPr>
          <w:spacing w:val="1"/>
        </w:rPr>
        <w:t>el </w:t>
      </w:r>
      <w:r>
        <w:rPr/>
        <w:t>parto. De ser posible, debe permitirse un periodo de 10 a 20 minutos de reanimación intrauterina antes del parto. Las convulsiones por si solas no constituyen indicación para </w:t>
      </w:r>
      <w:r>
        <w:rPr>
          <w:spacing w:val="-3"/>
        </w:rPr>
        <w:t>la </w:t>
      </w:r>
      <w:r>
        <w:rPr/>
        <w:t>cesárea. No obstante, si no es posible el parto vaginal dentro de un periodo razonable, en </w:t>
      </w:r>
      <w:r>
        <w:rPr>
          <w:spacing w:val="-3"/>
        </w:rPr>
        <w:t>la </w:t>
      </w:r>
      <w:r>
        <w:rPr/>
        <w:t>mayoría de los casos se lleva a cabo </w:t>
      </w:r>
      <w:r>
        <w:rPr>
          <w:spacing w:val="-3"/>
        </w:rPr>
        <w:t>la </w:t>
      </w:r>
      <w:r>
        <w:rPr/>
        <w:t>cesárea.</w:t>
      </w:r>
    </w:p>
    <w:p>
      <w:pPr>
        <w:pStyle w:val="BodyText"/>
        <w:spacing w:before="201"/>
        <w:ind w:left="675"/>
        <w:jc w:val="both"/>
      </w:pPr>
      <w:r>
        <w:rPr>
          <w:w w:val="100"/>
        </w:rPr>
        <w:t>.</w:t>
      </w:r>
    </w:p>
    <w:p>
      <w:pPr>
        <w:spacing w:after="0"/>
        <w:jc w:val="both"/>
        <w:sectPr>
          <w:type w:val="continuous"/>
          <w:pgSz w:w="12240" w:h="15840"/>
          <w:pgMar w:top="1500" w:bottom="0" w:left="0" w:right="0"/>
          <w:cols w:num="2" w:equalWidth="0">
            <w:col w:w="5767" w:space="40"/>
            <w:col w:w="6433"/>
          </w:cols>
        </w:sectPr>
      </w:pPr>
    </w:p>
    <w:p>
      <w:pPr>
        <w:pStyle w:val="BodyText"/>
        <w:rPr>
          <w:sz w:val="20"/>
        </w:rPr>
      </w:pPr>
    </w:p>
    <w:p>
      <w:pPr>
        <w:pStyle w:val="BodyText"/>
        <w:spacing w:before="6"/>
        <w:rPr>
          <w:sz w:val="19"/>
        </w:rPr>
      </w:pPr>
    </w:p>
    <w:p>
      <w:pPr>
        <w:pStyle w:val="Heading4"/>
        <w:spacing w:before="92"/>
      </w:pPr>
      <w:r>
        <w:rPr/>
        <w:t>BIBLIOGRAFIA</w:t>
      </w:r>
    </w:p>
    <w:p>
      <w:pPr>
        <w:pStyle w:val="BodyText"/>
        <w:spacing w:before="9"/>
        <w:rPr>
          <w:b/>
          <w:sz w:val="20"/>
        </w:rPr>
      </w:pPr>
    </w:p>
    <w:p>
      <w:pPr>
        <w:pStyle w:val="ListParagraph"/>
        <w:numPr>
          <w:ilvl w:val="1"/>
          <w:numId w:val="8"/>
        </w:numPr>
        <w:tabs>
          <w:tab w:pos="1800" w:val="left" w:leader="none"/>
          <w:tab w:pos="1801" w:val="left" w:leader="none"/>
        </w:tabs>
        <w:spacing w:line="276" w:lineRule="auto" w:before="0" w:after="0"/>
        <w:ind w:left="1800" w:right="1524" w:hanging="360"/>
        <w:jc w:val="left"/>
        <w:rPr>
          <w:sz w:val="20"/>
        </w:rPr>
      </w:pPr>
      <w:r>
        <w:rPr>
          <w:sz w:val="20"/>
        </w:rPr>
        <w:t>Alan H. DeCherney, Lauren Nathan, Neri Laufer,Ashley S. Roman. (2013). Diagnóstico y</w:t>
      </w:r>
      <w:r>
        <w:rPr>
          <w:spacing w:val="-35"/>
          <w:sz w:val="20"/>
        </w:rPr>
        <w:t> </w:t>
      </w:r>
      <w:r>
        <w:rPr>
          <w:sz w:val="20"/>
        </w:rPr>
        <w:t>tratamiento ginecoobstétricos. México: McGraw-Hill Iinteramericana Editores, S.A. de</w:t>
      </w:r>
      <w:r>
        <w:rPr>
          <w:spacing w:val="-5"/>
          <w:sz w:val="20"/>
        </w:rPr>
        <w:t> </w:t>
      </w:r>
      <w:r>
        <w:rPr>
          <w:sz w:val="20"/>
        </w:rPr>
        <w:t>C.V.</w:t>
      </w:r>
    </w:p>
    <w:p>
      <w:pPr>
        <w:pStyle w:val="ListParagraph"/>
        <w:numPr>
          <w:ilvl w:val="1"/>
          <w:numId w:val="8"/>
        </w:numPr>
        <w:tabs>
          <w:tab w:pos="1800" w:val="left" w:leader="none"/>
          <w:tab w:pos="1801" w:val="left" w:leader="none"/>
        </w:tabs>
        <w:spacing w:line="271" w:lineRule="auto" w:before="0" w:after="0"/>
        <w:ind w:left="1800" w:right="1794" w:hanging="360"/>
        <w:jc w:val="left"/>
        <w:rPr>
          <w:sz w:val="20"/>
        </w:rPr>
      </w:pPr>
      <w:r>
        <w:rPr>
          <w:sz w:val="20"/>
        </w:rPr>
        <w:t>Courtney Olson-Chen, Neil S. Seligman. (2016). Hypertensive Emergencies in pregnancy. Critical care clinics,</w:t>
      </w:r>
      <w:r>
        <w:rPr>
          <w:spacing w:val="-1"/>
          <w:sz w:val="20"/>
        </w:rPr>
        <w:t> </w:t>
      </w:r>
      <w:r>
        <w:rPr>
          <w:sz w:val="20"/>
        </w:rPr>
        <w:t>29,31,39.</w:t>
      </w:r>
    </w:p>
    <w:p>
      <w:pPr>
        <w:pStyle w:val="ListParagraph"/>
        <w:numPr>
          <w:ilvl w:val="1"/>
          <w:numId w:val="8"/>
        </w:numPr>
        <w:tabs>
          <w:tab w:pos="1800" w:val="left" w:leader="none"/>
          <w:tab w:pos="1801" w:val="left" w:leader="none"/>
        </w:tabs>
        <w:spacing w:line="276" w:lineRule="auto" w:before="5" w:after="0"/>
        <w:ind w:left="1800" w:right="1647" w:hanging="360"/>
        <w:jc w:val="left"/>
        <w:rPr>
          <w:sz w:val="20"/>
        </w:rPr>
      </w:pPr>
      <w:r>
        <w:rPr>
          <w:sz w:val="20"/>
        </w:rPr>
        <w:t>Dietmar Schlembach, Volker Homuth &amp; Ralf Dechend. (2015). Treating Hypertension in</w:t>
      </w:r>
      <w:r>
        <w:rPr>
          <w:spacing w:val="-34"/>
          <w:sz w:val="20"/>
        </w:rPr>
        <w:t> </w:t>
      </w:r>
      <w:r>
        <w:rPr>
          <w:sz w:val="20"/>
        </w:rPr>
        <w:t>Pregnancy. ProQuest, 3.</w:t>
      </w:r>
    </w:p>
    <w:p>
      <w:pPr>
        <w:pStyle w:val="BodyText"/>
        <w:spacing w:before="11"/>
      </w:pPr>
    </w:p>
    <w:p>
      <w:pPr>
        <w:tabs>
          <w:tab w:pos="7262" w:val="left" w:leader="none"/>
        </w:tabs>
        <w:spacing w:before="0"/>
        <w:ind w:left="1440" w:right="0" w:firstLine="0"/>
        <w:jc w:val="left"/>
        <w:rPr>
          <w:sz w:val="20"/>
        </w:rPr>
      </w:pPr>
      <w:r>
        <w:rPr>
          <w:sz w:val="20"/>
        </w:rPr>
        <w:t>Recepción: 28  Enero</w:t>
      </w:r>
      <w:r>
        <w:rPr>
          <w:spacing w:val="-4"/>
          <w:sz w:val="20"/>
        </w:rPr>
        <w:t> </w:t>
      </w:r>
      <w:r>
        <w:rPr>
          <w:sz w:val="20"/>
        </w:rPr>
        <w:t>de</w:t>
      </w:r>
      <w:r>
        <w:rPr>
          <w:spacing w:val="-1"/>
          <w:sz w:val="20"/>
        </w:rPr>
        <w:t> </w:t>
      </w:r>
      <w:r>
        <w:rPr>
          <w:sz w:val="20"/>
        </w:rPr>
        <w:t>2016</w:t>
        <w:tab/>
        <w:t>Aprobación: 10 Febrero de</w:t>
      </w:r>
      <w:r>
        <w:rPr>
          <w:spacing w:val="-1"/>
          <w:sz w:val="20"/>
        </w:rPr>
        <w:t> </w:t>
      </w:r>
      <w:r>
        <w:rPr>
          <w:sz w:val="20"/>
        </w:rPr>
        <w:t>2017</w:t>
      </w:r>
    </w:p>
    <w:p>
      <w:pPr>
        <w:spacing w:after="0"/>
        <w:jc w:val="left"/>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515.8pt;mso-position-horizontal-relative:page;mso-position-vertical-relative:paragraph;z-index:-40168" coordorigin="1444,84" coordsize="9446,10316">
            <v:shape style="position:absolute;left:3375;top:1369;width:7515;height:9030" type="#_x0000_t75" stroked="false">
              <v:imagedata r:id="rId66" o:title=""/>
            </v:shape>
            <v:shape style="position:absolute;left:1444;top:83;width:1928;height:10312" type="#_x0000_t75" stroked="false">
              <v:imagedata r:id="rId67"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556" w:right="0" w:firstLine="408"/>
        <w:jc w:val="left"/>
        <w:rPr>
          <w:sz w:val="16"/>
        </w:rPr>
      </w:pPr>
      <w:r>
        <w:rPr>
          <w:sz w:val="16"/>
        </w:rPr>
        <w:t>Vol.2 Num:3 Marzo 2017 pp:16 - 21</w:t>
      </w:r>
    </w:p>
    <w:p>
      <w:pPr>
        <w:pStyle w:val="Heading3"/>
        <w:ind w:left="1522" w:right="3249"/>
      </w:pPr>
      <w:r>
        <w:rPr>
          <w:b w:val="0"/>
        </w:rPr>
        <w:br w:type="column"/>
      </w:r>
      <w:r>
        <w:rPr/>
        <w:t>ANTICONCEPTIVOS ORAL</w:t>
      </w:r>
    </w:p>
    <w:p>
      <w:pPr>
        <w:spacing w:before="53"/>
        <w:ind w:left="1521" w:right="3249" w:firstLine="0"/>
        <w:jc w:val="center"/>
        <w:rPr>
          <w:sz w:val="20"/>
        </w:rPr>
      </w:pPr>
      <w:r>
        <w:rPr>
          <w:sz w:val="20"/>
        </w:rPr>
        <w:t>(ORAL CONTRACEPTION)</w:t>
      </w:r>
    </w:p>
    <w:p>
      <w:pPr>
        <w:pStyle w:val="BodyText"/>
        <w:spacing w:before="10"/>
        <w:rPr>
          <w:sz w:val="23"/>
        </w:rPr>
      </w:pPr>
    </w:p>
    <w:p>
      <w:pPr>
        <w:pStyle w:val="BodyText"/>
        <w:ind w:left="4304"/>
      </w:pPr>
      <w:r>
        <w:rPr/>
        <w:t>* Andrés Calderón Obando</w:t>
      </w:r>
    </w:p>
    <w:p>
      <w:pPr>
        <w:spacing w:after="0"/>
        <w:sectPr>
          <w:headerReference w:type="even" r:id="rId65"/>
          <w:pgSz w:w="12240" w:h="15840"/>
          <w:pgMar w:header="0" w:footer="872" w:top="1360" w:bottom="1060" w:left="0" w:right="0"/>
          <w:cols w:num="2" w:equalWidth="0">
            <w:col w:w="3265" w:space="601"/>
            <w:col w:w="8374"/>
          </w:cols>
        </w:sectPr>
      </w:pPr>
    </w:p>
    <w:p>
      <w:pPr>
        <w:pStyle w:val="BodyText"/>
        <w:spacing w:before="7"/>
        <w:rPr>
          <w:sz w:val="12"/>
        </w:rPr>
      </w:pPr>
    </w:p>
    <w:p>
      <w:pPr>
        <w:pStyle w:val="BodyText"/>
        <w:spacing w:before="93"/>
        <w:ind w:left="3529"/>
      </w:pPr>
      <w:r>
        <w:rPr/>
        <w:t>RESUMEN</w:t>
      </w:r>
    </w:p>
    <w:p>
      <w:pPr>
        <w:pStyle w:val="BodyText"/>
        <w:spacing w:line="276" w:lineRule="auto" w:before="38"/>
        <w:ind w:left="3529" w:right="1387"/>
      </w:pPr>
      <w:r>
        <w:rPr/>
        <w:t>Los anticonceptivos orales proporcionan un estrógeno, etinilestradiol y un progestágeno.</w:t>
      </w:r>
    </w:p>
    <w:p>
      <w:pPr>
        <w:pStyle w:val="BodyText"/>
        <w:spacing w:line="276" w:lineRule="auto"/>
        <w:ind w:left="3529" w:right="2035"/>
        <w:jc w:val="both"/>
      </w:pPr>
      <w:r>
        <w:rPr/>
        <w:t>El régimen combinado comienza a tomarse el primer día del</w:t>
      </w:r>
      <w:r>
        <w:rPr>
          <w:spacing w:val="-31"/>
        </w:rPr>
        <w:t> </w:t>
      </w:r>
      <w:r>
        <w:rPr/>
        <w:t>período menstrual (inicio del día 1) o </w:t>
      </w:r>
      <w:r>
        <w:rPr>
          <w:spacing w:val="1"/>
        </w:rPr>
        <w:t>el </w:t>
      </w:r>
      <w:r>
        <w:rPr/>
        <w:t>primer domingo posterior al inicio del período menstrual (inicio del</w:t>
      </w:r>
      <w:r>
        <w:rPr>
          <w:spacing w:val="-15"/>
        </w:rPr>
        <w:t> </w:t>
      </w:r>
      <w:r>
        <w:rPr/>
        <w:t>domingo).</w:t>
      </w:r>
    </w:p>
    <w:p>
      <w:pPr>
        <w:pStyle w:val="BodyText"/>
        <w:spacing w:line="276" w:lineRule="auto" w:before="4"/>
        <w:ind w:left="3529" w:right="1387"/>
      </w:pPr>
      <w:r>
        <w:rPr/>
        <w:t>El primer objetivo para usar un anticonceptivo oral combinado es prevenir el embarazo. Dentro de los beneficios se conoce que protegen contra la enfermedad pélvica inflamatoria (EIP) y el embarazo ectópico, reduce la pérdida de minerales óseos y es eficaz en el tratamiento del acné leve y moderado. Además, disminuye la incidencia de cáncer de ovario y cáncer de endometrio.</w:t>
      </w:r>
    </w:p>
    <w:p>
      <w:pPr>
        <w:pStyle w:val="BodyText"/>
        <w:spacing w:before="6"/>
        <w:rPr>
          <w:sz w:val="25"/>
        </w:rPr>
      </w:pPr>
    </w:p>
    <w:p>
      <w:pPr>
        <w:pStyle w:val="BodyText"/>
        <w:ind w:left="3529"/>
      </w:pPr>
      <w:r>
        <w:rPr/>
        <w:t>DESCRIPTORES</w:t>
      </w:r>
    </w:p>
    <w:p>
      <w:pPr>
        <w:pStyle w:val="BodyText"/>
        <w:spacing w:before="35"/>
        <w:ind w:left="3529"/>
      </w:pPr>
      <w:r>
        <w:rPr/>
        <w:t>Anticonceptivo oral, embarazo, estrógeno, estradiol, hormona luteinizante</w:t>
      </w:r>
    </w:p>
    <w:p>
      <w:pPr>
        <w:pStyle w:val="BodyText"/>
        <w:spacing w:before="8"/>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3"/>
        </w:rPr>
      </w:pPr>
    </w:p>
    <w:p>
      <w:pPr>
        <w:spacing w:line="256" w:lineRule="auto" w:before="0"/>
        <w:ind w:left="1444" w:right="-19" w:firstLine="0"/>
        <w:jc w:val="left"/>
        <w:rPr>
          <w:sz w:val="16"/>
        </w:rPr>
      </w:pPr>
      <w:r>
        <w:rPr>
          <w:sz w:val="16"/>
        </w:rPr>
        <w:t>*Médico General. Universidad de Iberoamérica.(UNIBE) San José -Costa Rica</w:t>
      </w:r>
    </w:p>
    <w:p>
      <w:pPr>
        <w:pStyle w:val="BodyText"/>
        <w:spacing w:before="93"/>
        <w:ind w:left="141"/>
      </w:pPr>
      <w:r>
        <w:rPr/>
        <w:br w:type="column"/>
      </w:r>
      <w:r>
        <w:rPr/>
        <w:t>SUMMARY</w:t>
      </w:r>
    </w:p>
    <w:p>
      <w:pPr>
        <w:pStyle w:val="BodyText"/>
        <w:spacing w:line="276" w:lineRule="auto" w:before="39"/>
        <w:ind w:left="141" w:right="1512"/>
      </w:pPr>
      <w:r>
        <w:rPr/>
        <w:t>Oral contraceptives provide an estrogen, ethinylestradiol and a progestin. The combined regimen begins taking either on the first day of the menstrual period (Day 1 Start) or on the first Sunday after the onset of the menstrual period (Sunday Start).</w:t>
      </w:r>
    </w:p>
    <w:p>
      <w:pPr>
        <w:pStyle w:val="BodyText"/>
        <w:spacing w:line="273" w:lineRule="auto" w:before="2"/>
        <w:ind w:left="141" w:right="2050"/>
      </w:pPr>
      <w:r>
        <w:rPr/>
        <w:t>The first objective to use a combined oral contraceptive is to prevent pregnancy.</w:t>
      </w:r>
    </w:p>
    <w:p>
      <w:pPr>
        <w:pStyle w:val="BodyText"/>
        <w:spacing w:line="276" w:lineRule="auto" w:before="4"/>
        <w:ind w:left="141" w:right="1512"/>
      </w:pPr>
      <w:r>
        <w:rPr/>
        <w:t>Within the benefits are known to protect against pelvic inflammatory disease (PID) and ectopic pregnancy, reduces bone mineral loss and is effective in the treatment of mild and moderate acne. In addition, it decreases the incidence of ovarian cancer and endometrial cancer.</w:t>
      </w:r>
    </w:p>
    <w:p>
      <w:pPr>
        <w:pStyle w:val="BodyText"/>
        <w:spacing w:before="7"/>
        <w:rPr>
          <w:sz w:val="25"/>
        </w:rPr>
      </w:pPr>
    </w:p>
    <w:p>
      <w:pPr>
        <w:pStyle w:val="BodyText"/>
        <w:ind w:left="141"/>
      </w:pPr>
      <w:r>
        <w:rPr/>
        <w:t>KEYWORDS</w:t>
      </w:r>
    </w:p>
    <w:p>
      <w:pPr>
        <w:pStyle w:val="BodyText"/>
        <w:spacing w:before="38"/>
        <w:ind w:left="141"/>
      </w:pPr>
      <w:r>
        <w:rPr/>
        <w:t>Oral contraceptive, pregnancy, estrogen, estradiol, luteinizing hormone</w:t>
      </w:r>
    </w:p>
    <w:p>
      <w:pPr>
        <w:spacing w:after="0"/>
        <w:sectPr>
          <w:type w:val="continuous"/>
          <w:pgSz w:w="12240" w:h="15840"/>
          <w:pgMar w:top="1500" w:bottom="0" w:left="0" w:right="0"/>
          <w:cols w:num="2" w:equalWidth="0">
            <w:col w:w="3348" w:space="40"/>
            <w:col w:w="8852"/>
          </w:cols>
        </w:sectPr>
      </w:pPr>
    </w:p>
    <w:p>
      <w:pPr>
        <w:pStyle w:val="BodyText"/>
        <w:spacing w:before="6"/>
        <w:rPr>
          <w:sz w:val="17"/>
        </w:rPr>
      </w:pPr>
    </w:p>
    <w:p>
      <w:pPr>
        <w:spacing w:after="0"/>
        <w:rPr>
          <w:sz w:val="17"/>
        </w:rPr>
        <w:sectPr>
          <w:type w:val="continuous"/>
          <w:pgSz w:w="12240" w:h="15840"/>
          <w:pgMar w:top="1500" w:bottom="0" w:left="0" w:right="0"/>
        </w:sectPr>
      </w:pPr>
    </w:p>
    <w:p>
      <w:pPr>
        <w:pStyle w:val="BodyText"/>
        <w:rPr>
          <w:sz w:val="26"/>
        </w:rPr>
      </w:pPr>
    </w:p>
    <w:p>
      <w:pPr>
        <w:pStyle w:val="BodyText"/>
        <w:spacing w:before="4"/>
        <w:rPr>
          <w:sz w:val="25"/>
        </w:rPr>
      </w:pPr>
    </w:p>
    <w:p>
      <w:pPr>
        <w:pStyle w:val="Heading4"/>
      </w:pPr>
      <w:r>
        <w:rPr/>
        <w:t>ASPECTOS HISTORICOS</w:t>
      </w:r>
    </w:p>
    <w:p>
      <w:pPr>
        <w:pStyle w:val="BodyText"/>
        <w:spacing w:before="1"/>
        <w:rPr>
          <w:b/>
          <w:sz w:val="21"/>
        </w:rPr>
      </w:pPr>
    </w:p>
    <w:p>
      <w:pPr>
        <w:pStyle w:val="BodyText"/>
        <w:spacing w:line="276" w:lineRule="auto"/>
        <w:ind w:left="1440"/>
        <w:jc w:val="both"/>
      </w:pPr>
      <w:r>
        <w:rPr/>
        <w:t>El nacimiento de </w:t>
      </w:r>
      <w:r>
        <w:rPr>
          <w:spacing w:val="-3"/>
        </w:rPr>
        <w:t>la </w:t>
      </w:r>
      <w:r>
        <w:rPr/>
        <w:t>píldora anticonceptiva se remonta hace más de 50 años atrás, siendo uno de los acontecimientos en </w:t>
      </w:r>
      <w:r>
        <w:rPr>
          <w:spacing w:val="-3"/>
        </w:rPr>
        <w:t>la </w:t>
      </w:r>
      <w:r>
        <w:rPr/>
        <w:t>investigación farmacológica-medica con efectos</w:t>
      </w:r>
      <w:r>
        <w:rPr>
          <w:spacing w:val="32"/>
        </w:rPr>
        <w:t> </w:t>
      </w:r>
      <w:r>
        <w:rPr/>
        <w:t>profundos y variados en </w:t>
      </w:r>
      <w:r>
        <w:rPr>
          <w:spacing w:val="-3"/>
        </w:rPr>
        <w:t>la</w:t>
      </w:r>
    </w:p>
    <w:p>
      <w:pPr>
        <w:pStyle w:val="BodyText"/>
        <w:spacing w:line="276" w:lineRule="auto" w:before="93"/>
        <w:ind w:left="679" w:right="1434"/>
        <w:jc w:val="both"/>
      </w:pPr>
      <w:r>
        <w:rPr/>
        <w:br w:type="column"/>
      </w:r>
      <w:r>
        <w:rPr/>
        <w:t>sexualidad y reproducción. Como en tantos descubrimientos, el origen se remonta de un hecho </w:t>
      </w:r>
      <w:r>
        <w:rPr>
          <w:spacing w:val="-3"/>
        </w:rPr>
        <w:t>fortuito </w:t>
      </w:r>
      <w:r>
        <w:rPr/>
        <w:t>ocurrido en las selvas tropicales de México en los años treinta del siglo pasado. Russell Marker, profesor de química (State College of Pennsylvania) se encontraba de vacaciones y estaba experimentando con un grupo de</w:t>
      </w:r>
      <w:r>
        <w:rPr>
          <w:spacing w:val="-1"/>
        </w:rPr>
        <w:t> </w:t>
      </w:r>
      <w:r>
        <w:rPr/>
        <w:t>esteroides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headerReference w:type="default" r:id="rId68"/>
          <w:headerReference w:type="even" r:id="rId69"/>
          <w:footerReference w:type="default" r:id="rId70"/>
          <w:footerReference w:type="even" r:id="rId71"/>
          <w:pgSz w:w="12240" w:h="15840"/>
          <w:pgMar w:header="723" w:footer="882" w:top="940" w:bottom="1080" w:left="0" w:right="0"/>
          <w:pgNumType w:start="17"/>
        </w:sectPr>
      </w:pPr>
    </w:p>
    <w:p>
      <w:pPr>
        <w:pStyle w:val="BodyText"/>
        <w:spacing w:before="8"/>
      </w:pPr>
    </w:p>
    <w:p>
      <w:pPr>
        <w:pStyle w:val="BodyText"/>
        <w:spacing w:line="276" w:lineRule="auto"/>
        <w:ind w:left="1440"/>
        <w:jc w:val="both"/>
      </w:pPr>
      <w:r>
        <w:rPr/>
        <w:t>vegetales (sapogeninas), cuando descubrió un proceso químico que transformaba </w:t>
      </w:r>
      <w:r>
        <w:rPr>
          <w:spacing w:val="-3"/>
        </w:rPr>
        <w:t>la </w:t>
      </w:r>
      <w:r>
        <w:rPr/>
        <w:t>sapogenina diosgenina (extraída de una raíz encontrada en el trópico) en progesterona, </w:t>
      </w:r>
      <w:r>
        <w:rPr>
          <w:spacing w:val="-3"/>
        </w:rPr>
        <w:t>la </w:t>
      </w:r>
      <w:r>
        <w:rPr/>
        <w:t>hormona sexual femenina intensamente buscada, naciendo así </w:t>
      </w:r>
      <w:r>
        <w:rPr>
          <w:spacing w:val="-3"/>
        </w:rPr>
        <w:t>la </w:t>
      </w:r>
      <w:r>
        <w:rPr/>
        <w:t>posibilidad de desarrollar una sustancia sintética con actividades similares a </w:t>
      </w:r>
      <w:r>
        <w:rPr>
          <w:spacing w:val="-3"/>
        </w:rPr>
        <w:t>la </w:t>
      </w:r>
      <w:r>
        <w:rPr/>
        <w:t>progesterona que pudiera administrarse por vía oral y que fuera capaz, en dosis adecuadas de interferir con el proceso cíclico de </w:t>
      </w:r>
      <w:r>
        <w:rPr>
          <w:spacing w:val="-3"/>
        </w:rPr>
        <w:t>la </w:t>
      </w:r>
      <w:r>
        <w:rPr/>
        <w:t>ovulación y </w:t>
      </w:r>
      <w:r>
        <w:rPr>
          <w:spacing w:val="-3"/>
        </w:rPr>
        <w:t>la </w:t>
      </w:r>
      <w:r>
        <w:rPr/>
        <w:t>fecundación. Es en el año de 1960 </w:t>
      </w:r>
      <w:r>
        <w:rPr>
          <w:spacing w:val="1"/>
        </w:rPr>
        <w:t>se </w:t>
      </w:r>
      <w:r>
        <w:rPr/>
        <w:t>obtuvo el permiso para ser dispensada y vendida explícitamente como anticonceptivo oral en los Estados Unidos de Norteamérica, iniciando así una revolución que </w:t>
      </w:r>
      <w:r>
        <w:rPr>
          <w:spacing w:val="-3"/>
        </w:rPr>
        <w:t>incidió </w:t>
      </w:r>
      <w:r>
        <w:rPr/>
        <w:t>y ha incidido en </w:t>
      </w:r>
      <w:r>
        <w:rPr>
          <w:spacing w:val="-3"/>
        </w:rPr>
        <w:t>la </w:t>
      </w:r>
      <w:r>
        <w:rPr/>
        <w:t>vida de millones de mujeres, hombres familias y sociedades alrededor del mundo</w:t>
      </w:r>
      <w:r>
        <w:rPr>
          <w:spacing w:val="-6"/>
        </w:rPr>
        <w:t> </w:t>
      </w:r>
      <w:r>
        <w:rPr/>
        <w:t>.</w:t>
      </w:r>
    </w:p>
    <w:p>
      <w:pPr>
        <w:pStyle w:val="BodyText"/>
        <w:spacing w:before="8"/>
        <w:rPr>
          <w:sz w:val="20"/>
        </w:rPr>
      </w:pPr>
    </w:p>
    <w:p>
      <w:pPr>
        <w:pStyle w:val="Heading4"/>
        <w:spacing w:line="276" w:lineRule="auto"/>
        <w:ind w:right="7"/>
        <w:jc w:val="both"/>
      </w:pPr>
      <w:r>
        <w:rPr/>
        <w:t>MECANISMO DE ACCION Y EFICACIA</w:t>
      </w:r>
    </w:p>
    <w:p>
      <w:pPr>
        <w:pStyle w:val="BodyText"/>
        <w:rPr>
          <w:b/>
          <w:sz w:val="21"/>
        </w:rPr>
      </w:pPr>
    </w:p>
    <w:p>
      <w:pPr>
        <w:pStyle w:val="BodyText"/>
        <w:spacing w:line="276" w:lineRule="auto"/>
        <w:ind w:left="1440" w:right="3"/>
        <w:jc w:val="both"/>
      </w:pPr>
      <w:r>
        <w:rPr/>
        <w:t>Los anticonceptivos orales proporcionan un estrógeno, etinilestradiol y una progestina. Las progesteronas de uso más común en los Estados Unidos Americanos, son los estranos: norentidrona y acetato de norentridona, los gonanos: levonogestrel, desogestrel y norgestimato, y el análogo de espirinolactona, drosperidona. El método más usado es el combinado de estrógenos y progestina y se toman diarios durante 21 días más siete días de placebo, tiempo en que </w:t>
      </w:r>
      <w:r>
        <w:rPr>
          <w:spacing w:val="-3"/>
        </w:rPr>
        <w:t>la </w:t>
      </w:r>
      <w:r>
        <w:rPr/>
        <w:t>mayoría de mujeres presenta hemorragia por privación. En las últimas décadas el contenido de estrógeno se ha reducido de tres a cuatro veces, siendo </w:t>
      </w:r>
      <w:r>
        <w:rPr>
          <w:spacing w:val="-3"/>
        </w:rPr>
        <w:t>la </w:t>
      </w:r>
      <w:r>
        <w:rPr/>
        <w:t>dosis actual de etinilestradiol de 15-35 µg. De igual manera, se ha ido reduciendo el uso de progestina. En el uso general, el régimen combinado inicia ya sea al</w:t>
      </w:r>
      <w:r>
        <w:rPr>
          <w:spacing w:val="-18"/>
        </w:rPr>
        <w:t> </w:t>
      </w:r>
      <w:r>
        <w:rPr/>
        <w:t>principio</w:t>
      </w:r>
    </w:p>
    <w:p>
      <w:pPr>
        <w:pStyle w:val="BodyText"/>
        <w:spacing w:before="8"/>
      </w:pPr>
      <w:r>
        <w:rPr/>
        <w:br w:type="column"/>
      </w:r>
      <w:r>
        <w:rPr/>
      </w:r>
    </w:p>
    <w:p>
      <w:pPr>
        <w:pStyle w:val="BodyText"/>
        <w:spacing w:line="278" w:lineRule="auto"/>
        <w:ind w:left="675" w:right="1433"/>
        <w:jc w:val="both"/>
      </w:pPr>
      <w:r>
        <w:rPr/>
        <w:t>del ciclo menstrual o el domingo posterior al inicio de la menstruación.</w:t>
      </w:r>
    </w:p>
    <w:p>
      <w:pPr>
        <w:pStyle w:val="BodyText"/>
        <w:spacing w:before="4"/>
        <w:rPr>
          <w:sz w:val="20"/>
        </w:rPr>
      </w:pPr>
    </w:p>
    <w:p>
      <w:pPr>
        <w:pStyle w:val="BodyText"/>
        <w:spacing w:line="276" w:lineRule="auto" w:before="1"/>
        <w:ind w:left="675" w:right="1429"/>
        <w:jc w:val="both"/>
      </w:pPr>
      <w:r>
        <w:rPr/>
        <w:t>Con respecto al papel del estrógeno se sabe que: suprime </w:t>
      </w:r>
      <w:r>
        <w:rPr>
          <w:spacing w:val="-3"/>
        </w:rPr>
        <w:t>la </w:t>
      </w:r>
      <w:r>
        <w:rPr/>
        <w:t>actividad de </w:t>
      </w:r>
      <w:r>
        <w:rPr>
          <w:spacing w:val="-3"/>
        </w:rPr>
        <w:t>la </w:t>
      </w:r>
      <w:r>
        <w:rPr/>
        <w:t>FSH (hormona folículo estimulante), suprime </w:t>
      </w:r>
      <w:r>
        <w:rPr>
          <w:spacing w:val="-3"/>
        </w:rPr>
        <w:t>la </w:t>
      </w:r>
      <w:r>
        <w:rPr/>
        <w:t>actividad de </w:t>
      </w:r>
      <w:r>
        <w:rPr>
          <w:spacing w:val="-3"/>
        </w:rPr>
        <w:t>la </w:t>
      </w:r>
      <w:r>
        <w:rPr/>
        <w:t>LH (hormona luteinizante) y evita el crecimiento de los folículos y </w:t>
      </w:r>
      <w:r>
        <w:rPr>
          <w:spacing w:val="-3"/>
        </w:rPr>
        <w:t>la </w:t>
      </w:r>
      <w:r>
        <w:rPr/>
        <w:t>aparición del folículo dominante. Sin embargo, el efecto más importante de estrógeno en los AOC no es el contraceptivo sino el de controlar </w:t>
      </w:r>
      <w:r>
        <w:rPr>
          <w:spacing w:val="1"/>
        </w:rPr>
        <w:t>el </w:t>
      </w:r>
      <w:r>
        <w:rPr/>
        <w:t>ciclo y el papel del progestágeno consiste en: ejerce el efecto anovulatorio predominante, inhibe el desarrollo folicular, produce atresia por acción ovárica directa, modifica el moco cervical, modifica el endometrio. Si bien es cierto, </w:t>
      </w:r>
      <w:r>
        <w:rPr>
          <w:spacing w:val="1"/>
        </w:rPr>
        <w:t>el </w:t>
      </w:r>
      <w:r>
        <w:rPr/>
        <w:t>efecto anovulatorio principal se debe a </w:t>
      </w:r>
      <w:r>
        <w:rPr>
          <w:spacing w:val="-3"/>
        </w:rPr>
        <w:t>la </w:t>
      </w:r>
      <w:r>
        <w:rPr/>
        <w:t>progestina y el control del ciclo se debe al estrógeno, se requiere un sinergismo de los dos compuestos ya que con ninguno de los dos por separado se obtendría efecto anticonceptivo y control del ciclo a las dosis</w:t>
      </w:r>
      <w:r>
        <w:rPr>
          <w:spacing w:val="2"/>
        </w:rPr>
        <w:t> </w:t>
      </w:r>
      <w:r>
        <w:rPr/>
        <w:t>usadas.</w:t>
      </w:r>
    </w:p>
    <w:p>
      <w:pPr>
        <w:pStyle w:val="BodyText"/>
        <w:spacing w:line="276" w:lineRule="auto" w:before="202"/>
        <w:ind w:left="675" w:right="1432"/>
        <w:jc w:val="both"/>
      </w:pPr>
      <w:r>
        <w:rPr/>
        <w:t>La píldora mixta o combinada, compuesta de estrógeno y gestágenos, evita </w:t>
      </w:r>
      <w:r>
        <w:rPr>
          <w:spacing w:val="-3"/>
        </w:rPr>
        <w:t>la </w:t>
      </w:r>
      <w:r>
        <w:rPr/>
        <w:t>ovulación al inhibir </w:t>
      </w:r>
      <w:r>
        <w:rPr>
          <w:spacing w:val="-3"/>
        </w:rPr>
        <w:t>la </w:t>
      </w:r>
      <w:r>
        <w:rPr/>
        <w:t>secreción de gonadotropinas. El progestágeno de </w:t>
      </w:r>
      <w:r>
        <w:rPr>
          <w:spacing w:val="-3"/>
        </w:rPr>
        <w:t>la </w:t>
      </w:r>
      <w:r>
        <w:rPr/>
        <w:t>píldora inhibe primordialmente </w:t>
      </w:r>
      <w:r>
        <w:rPr>
          <w:spacing w:val="-3"/>
        </w:rPr>
        <w:t>la </w:t>
      </w:r>
      <w:r>
        <w:rPr/>
        <w:t>secreción de </w:t>
      </w:r>
      <w:r>
        <w:rPr>
          <w:spacing w:val="-3"/>
        </w:rPr>
        <w:t>la </w:t>
      </w:r>
      <w:r>
        <w:rPr/>
        <w:t>hormona luteinizante (LH), y por tanto impide </w:t>
      </w:r>
      <w:r>
        <w:rPr>
          <w:spacing w:val="-3"/>
        </w:rPr>
        <w:t>la </w:t>
      </w:r>
      <w:r>
        <w:rPr/>
        <w:t>ovulación, mientras que los estrógenos inhiben </w:t>
      </w:r>
      <w:r>
        <w:rPr>
          <w:spacing w:val="-3"/>
        </w:rPr>
        <w:t>la </w:t>
      </w:r>
      <w:r>
        <w:rPr/>
        <w:t>secreción de </w:t>
      </w:r>
      <w:r>
        <w:rPr>
          <w:spacing w:val="-3"/>
        </w:rPr>
        <w:t>la </w:t>
      </w:r>
      <w:r>
        <w:rPr/>
        <w:t>hormona folículo estimulante (FSH) y en consecuencia impiden </w:t>
      </w:r>
      <w:r>
        <w:rPr>
          <w:spacing w:val="-3"/>
        </w:rPr>
        <w:t>la </w:t>
      </w:r>
      <w:r>
        <w:rPr/>
        <w:t>aparición de un folículo dominante. Por esto,  los estrógenos contribuyen significativamente a </w:t>
      </w:r>
      <w:r>
        <w:rPr>
          <w:spacing w:val="-3"/>
        </w:rPr>
        <w:t>la </w:t>
      </w:r>
      <w:r>
        <w:rPr/>
        <w:t>eficacia anticonceptiva. Además, los estrógenos cumplen otros dos objetivos: proporcionan estabilidad </w:t>
      </w:r>
      <w:r>
        <w:rPr>
          <w:spacing w:val="1"/>
        </w:rPr>
        <w:t>al </w:t>
      </w:r>
      <w:r>
        <w:rPr/>
        <w:t>endometrio pues se reduce al mínimo </w:t>
      </w:r>
      <w:r>
        <w:rPr>
          <w:spacing w:val="-3"/>
        </w:rPr>
        <w:t>la </w:t>
      </w:r>
      <w:r>
        <w:rPr/>
        <w:t>menstruación irregular y hemorragia intermenstrual, y </w:t>
      </w:r>
      <w:r>
        <w:rPr>
          <w:spacing w:val="-3"/>
        </w:rPr>
        <w:t>la </w:t>
      </w:r>
      <w:r>
        <w:rPr/>
        <w:t>presencia es necesaria para potenciar </w:t>
      </w:r>
      <w:r>
        <w:rPr>
          <w:spacing w:val="-3"/>
        </w:rPr>
        <w:t>la </w:t>
      </w:r>
      <w:r>
        <w:rPr/>
        <w:t>acción de los progestágenos, </w:t>
      </w:r>
      <w:r>
        <w:rPr>
          <w:spacing w:val="-3"/>
        </w:rPr>
        <w:t>lo </w:t>
      </w:r>
      <w:r>
        <w:rPr/>
        <w:t>cual ha permitido </w:t>
      </w:r>
      <w:r>
        <w:rPr>
          <w:spacing w:val="-3"/>
        </w:rPr>
        <w:t>la </w:t>
      </w:r>
      <w:r>
        <w:rPr/>
        <w:t>reducción de</w:t>
      </w:r>
      <w:r>
        <w:rPr>
          <w:spacing w:val="0"/>
        </w:rPr>
        <w:t> </w:t>
      </w:r>
      <w:r>
        <w:rPr/>
        <w:t>dosis</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5"/>
        <w:jc w:val="both"/>
      </w:pPr>
      <w:r>
        <w:rPr/>
        <w:t>progestágeno. El mecanismo de acción es probablemente el efecto estrogénico de aumentar la concentración de receptores progestágenos intracelulares, siendo necesaria una concentración farmacológica mínima de estrógenos para mantener la eficacia de la píldora combinada.</w:t>
      </w:r>
    </w:p>
    <w:p>
      <w:pPr>
        <w:pStyle w:val="BodyText"/>
        <w:spacing w:line="276" w:lineRule="auto" w:before="161"/>
        <w:ind w:left="1440" w:right="1"/>
        <w:jc w:val="both"/>
      </w:pPr>
      <w:r>
        <w:rPr/>
        <w:t>Como prevalece el efecto progestágeno sobre el de los estrógenos, el endometrio, moco cervical y quizás </w:t>
      </w:r>
      <w:r>
        <w:rPr>
          <w:spacing w:val="-3"/>
        </w:rPr>
        <w:t>la </w:t>
      </w:r>
      <w:r>
        <w:rPr/>
        <w:t>función tubárica reflejan </w:t>
      </w:r>
      <w:r>
        <w:rPr>
          <w:spacing w:val="-3"/>
        </w:rPr>
        <w:t>la </w:t>
      </w:r>
      <w:r>
        <w:rPr/>
        <w:t>estimulación progestágena. En </w:t>
      </w:r>
      <w:r>
        <w:rPr>
          <w:spacing w:val="-3"/>
        </w:rPr>
        <w:t>la </w:t>
      </w:r>
      <w:r>
        <w:rPr/>
        <w:t>píldora combinada el progestágeno da lugar a un endometrio no receptivo a </w:t>
      </w:r>
      <w:r>
        <w:rPr>
          <w:spacing w:val="-3"/>
        </w:rPr>
        <w:t>la </w:t>
      </w:r>
      <w:r>
        <w:rPr/>
        <w:t>implantación del ovulo y alteran el transporte tanto del esperma como el de los ovocitos en las trompas, lecho decidualizado con glándulas exhaustas y atróficas. El moco cervical se vuelve espeso e impermeable al transporte de espermatozoides. Es posible que las influencias del progestágeno sobre </w:t>
      </w:r>
      <w:r>
        <w:rPr>
          <w:spacing w:val="-3"/>
        </w:rPr>
        <w:t>la </w:t>
      </w:r>
      <w:r>
        <w:rPr/>
        <w:t>secreción y el peristaltismo dentro de las trompas de Falopio ejerzan efectos anticonceptivos</w:t>
      </w:r>
      <w:r>
        <w:rPr>
          <w:spacing w:val="-1"/>
        </w:rPr>
        <w:t> </w:t>
      </w:r>
      <w:r>
        <w:rPr/>
        <w:t>adicionales.</w:t>
      </w:r>
    </w:p>
    <w:p>
      <w:pPr>
        <w:pStyle w:val="BodyText"/>
        <w:tabs>
          <w:tab w:pos="3639" w:val="left" w:leader="none"/>
          <w:tab w:pos="5634" w:val="left" w:leader="none"/>
        </w:tabs>
        <w:spacing w:line="276" w:lineRule="auto" w:before="202"/>
        <w:ind w:left="1440"/>
        <w:jc w:val="both"/>
      </w:pPr>
      <w:r>
        <w:rPr/>
        <w:t>En cuanto a </w:t>
      </w:r>
      <w:r>
        <w:rPr>
          <w:spacing w:val="-3"/>
        </w:rPr>
        <w:t>la </w:t>
      </w:r>
      <w:r>
        <w:rPr/>
        <w:t>eficacia, resulta difícil entender de qué manera </w:t>
      </w:r>
      <w:r>
        <w:rPr>
          <w:spacing w:val="-3"/>
        </w:rPr>
        <w:t>la </w:t>
      </w:r>
      <w:r>
        <w:rPr/>
        <w:t>omisión de una o dos píldoras pueden originar un embarazo. Una revisión de los fracasos indica que los embarazos ocurren porque el inicio del ciclo se retrasa, </w:t>
      </w:r>
      <w:r>
        <w:rPr>
          <w:spacing w:val="-3"/>
        </w:rPr>
        <w:t>lo </w:t>
      </w:r>
      <w:r>
        <w:rPr/>
        <w:t>cual provoca </w:t>
      </w:r>
      <w:r>
        <w:rPr>
          <w:spacing w:val="-3"/>
        </w:rPr>
        <w:t>la </w:t>
      </w:r>
      <w:r>
        <w:rPr/>
        <w:t>pérdida de </w:t>
      </w:r>
      <w:r>
        <w:rPr>
          <w:spacing w:val="-3"/>
        </w:rPr>
        <w:t>la </w:t>
      </w:r>
      <w:r>
        <w:rPr/>
        <w:t>inhibición ovárica. Es fundamental atenerse estrictamente a los siete días sin comprimido para poder obtener una anticoncepción fiable y eficaz, por esto, se envasan para 28 días, en el que siete de estos no contienen esteroides, útiles para asegurar el cumplimiento del programa. Aun mejor, el uso de pautas de administración</w:t>
        <w:tab/>
        <w:t>prolongadas</w:t>
        <w:tab/>
        <w:t>o administración continua ofrecen </w:t>
      </w:r>
      <w:r>
        <w:rPr>
          <w:spacing w:val="-3"/>
        </w:rPr>
        <w:t>la </w:t>
      </w:r>
      <w:r>
        <w:rPr/>
        <w:t>posibilidad de reducir al mínimo los fracasos. Los problemas prevalentes asociados a fracasos son vómitos y</w:t>
      </w:r>
      <w:r>
        <w:rPr>
          <w:spacing w:val="20"/>
        </w:rPr>
        <w:t> </w:t>
      </w:r>
      <w:r>
        <w:rPr/>
        <w:t>diarrea,</w:t>
      </w:r>
    </w:p>
    <w:p>
      <w:pPr>
        <w:pStyle w:val="BodyText"/>
        <w:spacing w:before="8"/>
      </w:pPr>
      <w:r>
        <w:rPr/>
        <w:br w:type="column"/>
      </w:r>
      <w:r>
        <w:rPr/>
      </w:r>
    </w:p>
    <w:p>
      <w:pPr>
        <w:pStyle w:val="BodyText"/>
        <w:spacing w:line="276" w:lineRule="auto"/>
        <w:ind w:left="676" w:right="1432"/>
        <w:jc w:val="both"/>
      </w:pPr>
      <w:r>
        <w:rPr/>
        <w:t>incluso si no se ha omitido la toma de comprimidos se inculca a las pacientes que usen método de reserva durante al menos siete días después de un episodio de gastroenteritis. La eficacia de los nuevos anticonceptivos orales con gestagénos, formulas multifásicas y de productos con dosis más bajas de estrógenos es semejante a la de las antiguas píldoras en dosis bajas y en combinación monofásica con dosis más elevadas.</w:t>
      </w:r>
    </w:p>
    <w:p>
      <w:pPr>
        <w:pStyle w:val="Heading4"/>
        <w:spacing w:before="199"/>
        <w:ind w:left="676"/>
        <w:jc w:val="both"/>
      </w:pPr>
      <w:r>
        <w:rPr/>
        <w:t>EFECTOS SECUNDARIOS</w:t>
      </w:r>
    </w:p>
    <w:p>
      <w:pPr>
        <w:pStyle w:val="BodyText"/>
        <w:spacing w:before="1"/>
        <w:rPr>
          <w:b/>
          <w:sz w:val="21"/>
        </w:rPr>
      </w:pPr>
    </w:p>
    <w:p>
      <w:pPr>
        <w:pStyle w:val="BodyText"/>
        <w:spacing w:line="276" w:lineRule="auto"/>
        <w:ind w:left="676" w:right="1432"/>
        <w:jc w:val="both"/>
      </w:pPr>
      <w:r>
        <w:rPr/>
        <w:t>El accidente cerebro vascular es un padecimiento raro, siendo el accidente hemorrágico un poco más común que el isquémico en mujeres en edad reproductiva. El infarto al miocardio es un trastorno raro que ocurre entre las usuarias de anticonceptivos orales y se presenta solo si hay factores de riesgo como hipertensión, diabetes, dislipidemia grave, y en particular tabaquismo. La edad mayor a 35 años y el tabaquismo actúan de forma sinérgica incrementando el</w:t>
      </w:r>
      <w:r>
        <w:rPr>
          <w:spacing w:val="-4"/>
        </w:rPr>
        <w:t> </w:t>
      </w:r>
      <w:r>
        <w:rPr/>
        <w:t>riesgo.</w:t>
      </w:r>
    </w:p>
    <w:p>
      <w:pPr>
        <w:pStyle w:val="BodyText"/>
        <w:spacing w:line="276" w:lineRule="auto" w:before="202"/>
        <w:ind w:left="676" w:right="1434"/>
        <w:jc w:val="both"/>
      </w:pPr>
      <w:r>
        <w:rPr/>
        <w:t>A pesar de </w:t>
      </w:r>
      <w:r>
        <w:rPr>
          <w:spacing w:val="-3"/>
        </w:rPr>
        <w:t>la </w:t>
      </w:r>
      <w:r>
        <w:rPr/>
        <w:t>amplia publicidad del tabaquismo como contraindicación cuando se usan ACO después de los 35 años de edad, las mujeres de mayor edad fuman y más que las jóvenes, esto significa menor franqueza cuando solicitan a los médicos los</w:t>
      </w:r>
      <w:r>
        <w:rPr>
          <w:spacing w:val="-1"/>
        </w:rPr>
        <w:t> </w:t>
      </w:r>
      <w:r>
        <w:rPr/>
        <w:t>fármacos.</w:t>
      </w:r>
    </w:p>
    <w:p>
      <w:pPr>
        <w:pStyle w:val="BodyText"/>
        <w:spacing w:line="276" w:lineRule="auto" w:before="197"/>
        <w:ind w:left="676" w:right="1430"/>
        <w:jc w:val="both"/>
      </w:pPr>
      <w:r>
        <w:rPr/>
        <w:t>Existe relación entre uso de anticonceptivos orales y enfermedad tromboembólica. El uso de ACO combinados que se usan en </w:t>
      </w:r>
      <w:r>
        <w:rPr>
          <w:spacing w:val="-3"/>
        </w:rPr>
        <w:t>la </w:t>
      </w:r>
      <w:r>
        <w:rPr/>
        <w:t>actualidad triplican el riesgo de tromboembolia venosa de 3 a 9 sucesos por cada 100 000 usuarias y aumenta por factores como traumatismo reciente en piernas, cirugía pélvica, estasis, y mutación conocida como factor V de Leiden, que es un problema de</w:t>
      </w:r>
      <w:r>
        <w:rPr>
          <w:spacing w:val="-2"/>
        </w:rPr>
        <w:t> </w:t>
      </w:r>
      <w:r>
        <w:rPr/>
        <w:t>coagulación.</w:t>
      </w:r>
    </w:p>
    <w:p>
      <w:pPr>
        <w:spacing w:after="0" w:line="276" w:lineRule="auto"/>
        <w:jc w:val="both"/>
        <w:sectPr>
          <w:type w:val="continuous"/>
          <w:pgSz w:w="12240" w:h="15840"/>
          <w:pgMar w:top="1500" w:bottom="0" w:left="0" w:right="0"/>
          <w:cols w:num="2" w:equalWidth="0">
            <w:col w:w="5766" w:space="40"/>
            <w:col w:w="6434"/>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jc w:val="both"/>
      </w:pPr>
      <w:r>
        <w:rPr/>
        <w:t>Estudios epidemiológicos refuerzan la creencia que riesgos de trombosis arterial y venosa son consecuencia del componente estrogénico, ya que se sugiere que aumentan la producción de factores de coagulación. Todos los ACO de dosis baja aumentan el riesgo de tromboembolia venosa, concentrado en primeros 1-2 años de uso. Se da un aumento del riesgo con la edad y peso corporal.</w:t>
      </w:r>
    </w:p>
    <w:p>
      <w:pPr>
        <w:pStyle w:val="BodyText"/>
        <w:spacing w:line="276" w:lineRule="auto" w:before="157"/>
        <w:ind w:left="1440"/>
        <w:jc w:val="both"/>
      </w:pPr>
      <w:r>
        <w:rPr/>
        <w:t>Existe efecto aditivo sobre trombosis arterial con tabaquismo y estrógenos. La hipertensión es factor de riesgo importante para el ictus. Los ACO de dosis bajas (menos de 50µg etinilestradiol) no aumentan el riesgo de infarto al miocardio e ictus en mujeres sanas no fumadoras, sin importar edad. La trombosis arterial (infarto al miocardio e ictus) tienen relación dosis respuesta con dosis de estrógenos, pero no hay datos suficientes para demostrar </w:t>
      </w:r>
      <w:r>
        <w:rPr>
          <w:spacing w:val="-3"/>
        </w:rPr>
        <w:t>la </w:t>
      </w:r>
      <w:r>
        <w:rPr/>
        <w:t>diferencia según concentraciones de los productos con 20, 30 o 35</w:t>
      </w:r>
      <w:r>
        <w:rPr>
          <w:spacing w:val="-11"/>
        </w:rPr>
        <w:t> </w:t>
      </w:r>
      <w:r>
        <w:rPr/>
        <w:t>µg.</w:t>
      </w:r>
    </w:p>
    <w:p>
      <w:pPr>
        <w:pStyle w:val="BodyText"/>
        <w:spacing w:line="276" w:lineRule="auto" w:before="161"/>
        <w:ind w:left="1440" w:right="1"/>
        <w:jc w:val="both"/>
      </w:pPr>
      <w:r>
        <w:rPr/>
        <w:t>Datos recientes indican que puede observarse pequeños aumentos de la presión arterial incluso con 30 µg de estrógenos en comprimidos monofásicos, incluidos los que contienen los nuevos progestágenos, no obstante no hay descrito un aumento clínicamente significativo en la incidencia de hipertensión.</w:t>
      </w:r>
    </w:p>
    <w:p>
      <w:pPr>
        <w:pStyle w:val="Heading4"/>
        <w:spacing w:before="159"/>
        <w:jc w:val="both"/>
      </w:pPr>
      <w:r>
        <w:rPr/>
        <w:t>CONTRAINDICACIONES</w:t>
      </w:r>
    </w:p>
    <w:p>
      <w:pPr>
        <w:pStyle w:val="BodyText"/>
        <w:spacing w:before="8"/>
        <w:rPr>
          <w:b/>
          <w:sz w:val="20"/>
        </w:rPr>
      </w:pPr>
    </w:p>
    <w:p>
      <w:pPr>
        <w:pStyle w:val="BodyText"/>
        <w:spacing w:line="276" w:lineRule="auto"/>
        <w:ind w:left="1440" w:right="1"/>
        <w:jc w:val="both"/>
      </w:pPr>
      <w:r>
        <w:rPr/>
        <w:t>El </w:t>
      </w:r>
      <w:r>
        <w:rPr>
          <w:i/>
        </w:rPr>
        <w:t>Cuadro1 </w:t>
      </w:r>
      <w:r>
        <w:rPr/>
        <w:t>se detalla las contraindicaciones absolutas y relativas en el uso de los</w:t>
      </w:r>
      <w:r>
        <w:rPr>
          <w:spacing w:val="-6"/>
        </w:rPr>
        <w:t> </w:t>
      </w:r>
      <w:r>
        <w:rPr/>
        <w:t>ACO</w:t>
      </w:r>
    </w:p>
    <w:p>
      <w:pPr>
        <w:pStyle w:val="Heading4"/>
        <w:spacing w:line="278" w:lineRule="auto" w:before="199"/>
        <w:ind w:right="4"/>
        <w:jc w:val="both"/>
      </w:pPr>
      <w:r>
        <w:rPr/>
        <w:t>EFECTOS BENEFICIOSOS NO ANTICONCEPTIVOS</w:t>
      </w:r>
    </w:p>
    <w:p>
      <w:pPr>
        <w:pStyle w:val="BodyText"/>
        <w:spacing w:line="276" w:lineRule="auto" w:before="200"/>
        <w:ind w:left="1440"/>
        <w:jc w:val="both"/>
      </w:pPr>
      <w:r>
        <w:rPr/>
        <w:t>El primer objetivo del uso de un anticonceptivo oral combinado es el de evitar un embarazo. En ocasiones se asocia</w:t>
      </w:r>
    </w:p>
    <w:p>
      <w:pPr>
        <w:pStyle w:val="BodyText"/>
        <w:spacing w:before="8"/>
      </w:pPr>
      <w:r>
        <w:rPr/>
        <w:br w:type="column"/>
      </w:r>
      <w:r>
        <w:rPr/>
      </w:r>
    </w:p>
    <w:p>
      <w:pPr>
        <w:pStyle w:val="BodyText"/>
        <w:spacing w:line="276" w:lineRule="auto"/>
        <w:ind w:left="679" w:right="1434"/>
        <w:jc w:val="both"/>
      </w:pPr>
      <w:r>
        <w:rPr/>
        <w:t>a efectos secundarios, pero cada día se conocen mejor los efectos beneficiosos no anticonceptivos del mismo. Existe evidencia de una buena calidad que asocia el uso con </w:t>
      </w:r>
      <w:r>
        <w:rPr>
          <w:spacing w:val="-3"/>
        </w:rPr>
        <w:t>la </w:t>
      </w:r>
      <w:r>
        <w:rPr/>
        <w:t>mejoría de </w:t>
      </w:r>
      <w:r>
        <w:rPr>
          <w:spacing w:val="-3"/>
        </w:rPr>
        <w:t>la </w:t>
      </w:r>
      <w:r>
        <w:rPr/>
        <w:t>dismenorrea, </w:t>
      </w:r>
      <w:r>
        <w:rPr>
          <w:spacing w:val="-3"/>
        </w:rPr>
        <w:t>la </w:t>
      </w:r>
      <w:r>
        <w:rPr/>
        <w:t>disminución del sangrado menstrual y </w:t>
      </w:r>
      <w:r>
        <w:rPr>
          <w:spacing w:val="-3"/>
        </w:rPr>
        <w:t>la </w:t>
      </w:r>
      <w:r>
        <w:rPr/>
        <w:t>mejoría del síndrome premenstrual. También se sabe protegen frente a </w:t>
      </w:r>
      <w:r>
        <w:rPr>
          <w:spacing w:val="-3"/>
        </w:rPr>
        <w:t>la </w:t>
      </w:r>
      <w:r>
        <w:rPr/>
        <w:t>enfermedad inflamatoria pélvica (EIP) y el embarazo ectópico, reduce </w:t>
      </w:r>
      <w:r>
        <w:rPr>
          <w:spacing w:val="-3"/>
        </w:rPr>
        <w:t>la </w:t>
      </w:r>
      <w:r>
        <w:rPr/>
        <w:t>pérdida mineral ósea y es eficaz en el tratamiento del acné leve y moderado. Además, disminuye </w:t>
      </w:r>
      <w:r>
        <w:rPr>
          <w:spacing w:val="-3"/>
        </w:rPr>
        <w:t>la </w:t>
      </w:r>
      <w:r>
        <w:rPr/>
        <w:t>incidencia de cáncer de ovario y cáncer de endometrio.</w:t>
      </w:r>
    </w:p>
    <w:p>
      <w:pPr>
        <w:pStyle w:val="BodyText"/>
        <w:spacing w:line="276" w:lineRule="auto" w:before="197"/>
        <w:ind w:left="679" w:right="1434"/>
        <w:jc w:val="both"/>
      </w:pPr>
      <w:r>
        <w:rPr/>
        <w:t>En cuanto al cáncer, respecto al cáncer endometrial </w:t>
      </w:r>
      <w:r>
        <w:rPr>
          <w:spacing w:val="1"/>
        </w:rPr>
        <w:t>el </w:t>
      </w:r>
      <w:r>
        <w:rPr/>
        <w:t>empleo de ACO otorga un efecto.protector, ya que el uso durante al menos 12 meses reduce el riesgo de cáncer de endometrio en un 50%, y el mayor efecto protector se alcanza con el uso durante más de tres años. Esta protección persiste 20 años o más después de </w:t>
      </w:r>
      <w:r>
        <w:rPr>
          <w:spacing w:val="-3"/>
        </w:rPr>
        <w:t>la </w:t>
      </w:r>
      <w:r>
        <w:rPr/>
        <w:t>interrupción y es mayor en mujeres de alto riesgo: nulíparas y con pocos partos. La protección contra el cáncer de ovario es uno de los efectos más beneficiosos, dada </w:t>
      </w:r>
      <w:r>
        <w:rPr>
          <w:spacing w:val="-3"/>
        </w:rPr>
        <w:t>la </w:t>
      </w:r>
      <w:r>
        <w:rPr/>
        <w:t>tardía detección y pronostico sombrío. Este efecto protector aumenta con </w:t>
      </w:r>
      <w:r>
        <w:rPr>
          <w:spacing w:val="-3"/>
        </w:rPr>
        <w:t>la </w:t>
      </w:r>
      <w:r>
        <w:rPr/>
        <w:t>duración del uso y se mantiene durante al menos 20 años después de</w:t>
      </w:r>
      <w:r>
        <w:rPr>
          <w:spacing w:val="-9"/>
        </w:rPr>
        <w:t> </w:t>
      </w:r>
      <w:r>
        <w:rPr/>
        <w:t>interrupción.</w:t>
      </w:r>
    </w:p>
    <w:p>
      <w:pPr>
        <w:pStyle w:val="BodyText"/>
        <w:spacing w:line="276" w:lineRule="auto" w:before="201"/>
        <w:ind w:left="679" w:right="1438"/>
        <w:jc w:val="both"/>
      </w:pPr>
      <w:r>
        <w:rPr/>
        <w:t>Los efectos beneficiosos no anticonceptivos de los ACO de dosis bajas pueden agruparse en dos categorías:</w:t>
      </w:r>
    </w:p>
    <w:p>
      <w:pPr>
        <w:pStyle w:val="ListParagraph"/>
        <w:numPr>
          <w:ilvl w:val="0"/>
          <w:numId w:val="9"/>
        </w:numPr>
        <w:tabs>
          <w:tab w:pos="1400" w:val="left" w:leader="none"/>
        </w:tabs>
        <w:spacing w:line="276" w:lineRule="auto" w:before="201" w:after="0"/>
        <w:ind w:left="1399" w:right="1434" w:hanging="360"/>
        <w:jc w:val="both"/>
        <w:rPr>
          <w:sz w:val="22"/>
        </w:rPr>
      </w:pPr>
      <w:r>
        <w:rPr>
          <w:sz w:val="22"/>
        </w:rPr>
        <w:t>Efectos adicionales cuando </w:t>
      </w:r>
      <w:r>
        <w:rPr>
          <w:spacing w:val="-3"/>
          <w:sz w:val="22"/>
        </w:rPr>
        <w:t>la </w:t>
      </w:r>
      <w:r>
        <w:rPr>
          <w:sz w:val="22"/>
        </w:rPr>
        <w:t>anticoncepción oral se usa específicamente por motivos anticonceptivos</w:t>
      </w:r>
    </w:p>
    <w:p>
      <w:pPr>
        <w:pStyle w:val="ListParagraph"/>
        <w:numPr>
          <w:ilvl w:val="0"/>
          <w:numId w:val="9"/>
        </w:numPr>
        <w:tabs>
          <w:tab w:pos="1400" w:val="left" w:leader="none"/>
        </w:tabs>
        <w:spacing w:line="276" w:lineRule="auto" w:before="2" w:after="0"/>
        <w:ind w:left="1399" w:right="1436" w:hanging="360"/>
        <w:jc w:val="both"/>
        <w:rPr>
          <w:sz w:val="22"/>
        </w:rPr>
      </w:pPr>
      <w:r>
        <w:rPr>
          <w:sz w:val="22"/>
        </w:rPr>
        <w:t>Efectos resultantes del uso para tratar problemas y</w:t>
      </w:r>
      <w:r>
        <w:rPr>
          <w:spacing w:val="-9"/>
          <w:sz w:val="22"/>
        </w:rPr>
        <w:t> </w:t>
      </w:r>
      <w:r>
        <w:rPr>
          <w:sz w:val="22"/>
        </w:rPr>
        <w:t>trastornos.</w:t>
      </w:r>
    </w:p>
    <w:p>
      <w:pPr>
        <w:pStyle w:val="BodyText"/>
        <w:spacing w:line="273" w:lineRule="auto" w:before="202"/>
        <w:ind w:left="679" w:right="1435"/>
        <w:jc w:val="both"/>
      </w:pPr>
      <w:r>
        <w:rPr/>
        <w:t>En la primera categoría se tiene menos: necesidad de abortos provocados, de</w:t>
      </w:r>
    </w:p>
    <w:p>
      <w:pPr>
        <w:spacing w:after="0" w:line="273" w:lineRule="auto"/>
        <w:jc w:val="both"/>
        <w:sectPr>
          <w:type w:val="continuous"/>
          <w:pgSz w:w="12240" w:h="15840"/>
          <w:pgMar w:top="1500" w:bottom="0" w:left="0" w:right="0"/>
          <w:cols w:num="2" w:equalWidth="0">
            <w:col w:w="5763" w:space="40"/>
            <w:col w:w="6437"/>
          </w:cols>
        </w:sectPr>
      </w:pPr>
    </w:p>
    <w:p>
      <w:pPr>
        <w:pStyle w:val="BodyText"/>
        <w:rPr>
          <w:sz w:val="20"/>
        </w:rPr>
      </w:pPr>
    </w:p>
    <w:p>
      <w:pPr>
        <w:pStyle w:val="BodyText"/>
        <w:spacing w:before="11"/>
      </w:pPr>
    </w:p>
    <w:tbl>
      <w:tblPr>
        <w:tblW w:w="0" w:type="auto"/>
        <w:jc w:val="left"/>
        <w:tblInd w:w="1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2"/>
        <w:gridCol w:w="7798"/>
      </w:tblGrid>
      <w:tr>
        <w:trPr>
          <w:trHeight w:val="421" w:hRule="atLeast"/>
        </w:trPr>
        <w:tc>
          <w:tcPr>
            <w:tcW w:w="9890" w:type="dxa"/>
            <w:gridSpan w:val="2"/>
          </w:tcPr>
          <w:p>
            <w:pPr>
              <w:pStyle w:val="TableParagraph"/>
              <w:spacing w:line="225" w:lineRule="exact"/>
              <w:ind w:left="70"/>
              <w:rPr>
                <w:sz w:val="20"/>
              </w:rPr>
            </w:pPr>
            <w:r>
              <w:rPr>
                <w:b/>
                <w:sz w:val="20"/>
              </w:rPr>
              <w:t>Cuadro 1. </w:t>
            </w:r>
            <w:r>
              <w:rPr>
                <w:sz w:val="20"/>
              </w:rPr>
              <w:t>Contraindicaciones absolutas y relativas del uso de anticonceptivos orales.</w:t>
            </w:r>
          </w:p>
        </w:tc>
      </w:tr>
      <w:tr>
        <w:trPr>
          <w:trHeight w:val="3973" w:hRule="atLeast"/>
        </w:trPr>
        <w:tc>
          <w:tcPr>
            <w:tcW w:w="2092" w:type="dxa"/>
            <w:tcBorders>
              <w:bottom w:val="single" w:sz="8" w:space="0" w:color="000000"/>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80" w:lineRule="auto" w:before="174"/>
              <w:ind w:left="615" w:right="170" w:hanging="424"/>
              <w:rPr>
                <w:sz w:val="20"/>
              </w:rPr>
            </w:pPr>
            <w:r>
              <w:rPr>
                <w:sz w:val="20"/>
              </w:rPr>
              <w:t>Contraindicaciones absolutas</w:t>
            </w:r>
          </w:p>
        </w:tc>
        <w:tc>
          <w:tcPr>
            <w:tcW w:w="7798" w:type="dxa"/>
            <w:tcBorders>
              <w:bottom w:val="single" w:sz="8" w:space="0" w:color="000000"/>
            </w:tcBorders>
          </w:tcPr>
          <w:p>
            <w:pPr>
              <w:pStyle w:val="TableParagraph"/>
              <w:spacing w:before="3"/>
              <w:ind w:left="0"/>
              <w:rPr>
                <w:sz w:val="20"/>
              </w:rPr>
            </w:pPr>
          </w:p>
          <w:p>
            <w:pPr>
              <w:pStyle w:val="TableParagraph"/>
              <w:numPr>
                <w:ilvl w:val="0"/>
                <w:numId w:val="10"/>
              </w:numPr>
              <w:tabs>
                <w:tab w:pos="829" w:val="left" w:leader="none"/>
              </w:tabs>
              <w:spacing w:line="276" w:lineRule="auto" w:before="1" w:after="0"/>
              <w:ind w:left="828" w:right="92" w:hanging="360"/>
              <w:jc w:val="both"/>
              <w:rPr>
                <w:sz w:val="20"/>
              </w:rPr>
            </w:pPr>
            <w:r>
              <w:rPr>
                <w:sz w:val="20"/>
              </w:rPr>
              <w:t>Tromboflebitis , trastornos tromboembólicos incluidos antecedentes familiares , enfermedad cerebrovascular, oclusión coronaria o antecedentes de estos o enfermedades que los predispongan, antecedentes de arteriopatía</w:t>
            </w:r>
            <w:r>
              <w:rPr>
                <w:spacing w:val="-1"/>
                <w:sz w:val="20"/>
              </w:rPr>
              <w:t> </w:t>
            </w:r>
            <w:r>
              <w:rPr>
                <w:sz w:val="20"/>
              </w:rPr>
              <w:t>coronaria</w:t>
            </w:r>
          </w:p>
          <w:p>
            <w:pPr>
              <w:pStyle w:val="TableParagraph"/>
              <w:numPr>
                <w:ilvl w:val="0"/>
                <w:numId w:val="10"/>
              </w:numPr>
              <w:tabs>
                <w:tab w:pos="828" w:val="left" w:leader="none"/>
                <w:tab w:pos="829" w:val="left" w:leader="none"/>
              </w:tabs>
              <w:spacing w:line="244" w:lineRule="exact" w:before="0" w:after="0"/>
              <w:ind w:left="828" w:right="0" w:hanging="360"/>
              <w:jc w:val="left"/>
              <w:rPr>
                <w:sz w:val="20"/>
              </w:rPr>
            </w:pPr>
            <w:r>
              <w:rPr>
                <w:sz w:val="20"/>
              </w:rPr>
              <w:t>Jaquecas con</w:t>
            </w:r>
            <w:r>
              <w:rPr>
                <w:spacing w:val="-4"/>
                <w:sz w:val="20"/>
              </w:rPr>
              <w:t> </w:t>
            </w:r>
            <w:r>
              <w:rPr>
                <w:sz w:val="20"/>
              </w:rPr>
              <w:t>aura</w:t>
            </w:r>
          </w:p>
          <w:p>
            <w:pPr>
              <w:pStyle w:val="TableParagraph"/>
              <w:numPr>
                <w:ilvl w:val="0"/>
                <w:numId w:val="10"/>
              </w:numPr>
              <w:tabs>
                <w:tab w:pos="828" w:val="left" w:leader="none"/>
                <w:tab w:pos="829" w:val="left" w:leader="none"/>
              </w:tabs>
              <w:spacing w:line="240" w:lineRule="auto" w:before="31" w:after="0"/>
              <w:ind w:left="828" w:right="0" w:hanging="360"/>
              <w:jc w:val="left"/>
              <w:rPr>
                <w:sz w:val="20"/>
              </w:rPr>
            </w:pPr>
            <w:r>
              <w:rPr>
                <w:sz w:val="20"/>
              </w:rPr>
              <w:t>Insuficiencia hepática grave</w:t>
            </w:r>
          </w:p>
          <w:p>
            <w:pPr>
              <w:pStyle w:val="TableParagraph"/>
              <w:numPr>
                <w:ilvl w:val="0"/>
                <w:numId w:val="10"/>
              </w:numPr>
              <w:tabs>
                <w:tab w:pos="828" w:val="left" w:leader="none"/>
                <w:tab w:pos="829" w:val="left" w:leader="none"/>
              </w:tabs>
              <w:spacing w:line="240" w:lineRule="auto" w:before="35" w:after="0"/>
              <w:ind w:left="828" w:right="0" w:hanging="360"/>
              <w:jc w:val="left"/>
              <w:rPr>
                <w:sz w:val="20"/>
              </w:rPr>
            </w:pPr>
            <w:r>
              <w:rPr>
                <w:sz w:val="20"/>
              </w:rPr>
              <w:t>Diabetes mellitus con enfermedad</w:t>
            </w:r>
            <w:r>
              <w:rPr>
                <w:spacing w:val="-14"/>
                <w:sz w:val="20"/>
              </w:rPr>
              <w:t> </w:t>
            </w:r>
            <w:r>
              <w:rPr>
                <w:sz w:val="20"/>
              </w:rPr>
              <w:t>vascular</w:t>
            </w:r>
          </w:p>
          <w:p>
            <w:pPr>
              <w:pStyle w:val="TableParagraph"/>
              <w:numPr>
                <w:ilvl w:val="0"/>
                <w:numId w:val="10"/>
              </w:numPr>
              <w:tabs>
                <w:tab w:pos="828" w:val="left" w:leader="none"/>
                <w:tab w:pos="829" w:val="left" w:leader="none"/>
              </w:tabs>
              <w:spacing w:line="240" w:lineRule="auto" w:before="31" w:after="0"/>
              <w:ind w:left="828" w:right="0" w:hanging="360"/>
              <w:jc w:val="left"/>
              <w:rPr>
                <w:sz w:val="20"/>
              </w:rPr>
            </w:pPr>
            <w:r>
              <w:rPr>
                <w:sz w:val="20"/>
              </w:rPr>
              <w:t>Cáncer de </w:t>
            </w:r>
            <w:r>
              <w:rPr>
                <w:spacing w:val="-3"/>
                <w:sz w:val="20"/>
              </w:rPr>
              <w:t>mamá </w:t>
            </w:r>
            <w:r>
              <w:rPr>
                <w:sz w:val="20"/>
              </w:rPr>
              <w:t>diagnosticado o presunto</w:t>
            </w:r>
          </w:p>
          <w:p>
            <w:pPr>
              <w:pStyle w:val="TableParagraph"/>
              <w:numPr>
                <w:ilvl w:val="0"/>
                <w:numId w:val="10"/>
              </w:numPr>
              <w:tabs>
                <w:tab w:pos="828" w:val="left" w:leader="none"/>
                <w:tab w:pos="829" w:val="left" w:leader="none"/>
              </w:tabs>
              <w:spacing w:line="240" w:lineRule="auto" w:before="35" w:after="0"/>
              <w:ind w:left="828" w:right="0" w:hanging="360"/>
              <w:jc w:val="left"/>
              <w:rPr>
                <w:sz w:val="20"/>
              </w:rPr>
            </w:pPr>
            <w:r>
              <w:rPr>
                <w:sz w:val="20"/>
              </w:rPr>
              <w:t>Hemorragia vaginal anormal no</w:t>
            </w:r>
            <w:r>
              <w:rPr>
                <w:spacing w:val="-1"/>
                <w:sz w:val="20"/>
              </w:rPr>
              <w:t> </w:t>
            </w:r>
            <w:r>
              <w:rPr>
                <w:sz w:val="20"/>
              </w:rPr>
              <w:t>diagnosticada</w:t>
            </w:r>
          </w:p>
          <w:p>
            <w:pPr>
              <w:pStyle w:val="TableParagraph"/>
              <w:numPr>
                <w:ilvl w:val="0"/>
                <w:numId w:val="10"/>
              </w:numPr>
              <w:tabs>
                <w:tab w:pos="828" w:val="left" w:leader="none"/>
                <w:tab w:pos="829" w:val="left" w:leader="none"/>
              </w:tabs>
              <w:spacing w:line="240" w:lineRule="auto" w:before="31" w:after="0"/>
              <w:ind w:left="828" w:right="0" w:hanging="360"/>
              <w:jc w:val="left"/>
              <w:rPr>
                <w:sz w:val="20"/>
              </w:rPr>
            </w:pPr>
            <w:r>
              <w:rPr>
                <w:sz w:val="20"/>
              </w:rPr>
              <w:t>Embarazo conocido o</w:t>
            </w:r>
            <w:r>
              <w:rPr>
                <w:spacing w:val="-11"/>
                <w:sz w:val="20"/>
              </w:rPr>
              <w:t> </w:t>
            </w:r>
            <w:r>
              <w:rPr>
                <w:sz w:val="20"/>
              </w:rPr>
              <w:t>presunto</w:t>
            </w:r>
          </w:p>
          <w:p>
            <w:pPr>
              <w:pStyle w:val="TableParagraph"/>
              <w:numPr>
                <w:ilvl w:val="0"/>
                <w:numId w:val="10"/>
              </w:numPr>
              <w:tabs>
                <w:tab w:pos="828" w:val="left" w:leader="none"/>
                <w:tab w:pos="829" w:val="left" w:leader="none"/>
              </w:tabs>
              <w:spacing w:line="240" w:lineRule="auto" w:before="35" w:after="0"/>
              <w:ind w:left="828" w:right="0" w:hanging="360"/>
              <w:jc w:val="left"/>
              <w:rPr>
                <w:sz w:val="20"/>
              </w:rPr>
            </w:pPr>
            <w:r>
              <w:rPr>
                <w:sz w:val="20"/>
              </w:rPr>
              <w:t>Fumadoras de </w:t>
            </w:r>
            <w:r>
              <w:rPr>
                <w:spacing w:val="-3"/>
                <w:sz w:val="20"/>
              </w:rPr>
              <w:t>más </w:t>
            </w:r>
            <w:r>
              <w:rPr>
                <w:sz w:val="20"/>
              </w:rPr>
              <w:t>de 35</w:t>
            </w:r>
            <w:r>
              <w:rPr>
                <w:spacing w:val="2"/>
                <w:sz w:val="20"/>
              </w:rPr>
              <w:t> </w:t>
            </w:r>
            <w:r>
              <w:rPr>
                <w:sz w:val="20"/>
              </w:rPr>
              <w:t>años</w:t>
            </w:r>
          </w:p>
          <w:p>
            <w:pPr>
              <w:pStyle w:val="TableParagraph"/>
              <w:numPr>
                <w:ilvl w:val="0"/>
                <w:numId w:val="10"/>
              </w:numPr>
              <w:tabs>
                <w:tab w:pos="828" w:val="left" w:leader="none"/>
                <w:tab w:pos="829" w:val="left" w:leader="none"/>
              </w:tabs>
              <w:spacing w:line="240" w:lineRule="auto" w:before="30" w:after="0"/>
              <w:ind w:left="828" w:right="0" w:hanging="360"/>
              <w:jc w:val="left"/>
              <w:rPr>
                <w:sz w:val="20"/>
              </w:rPr>
            </w:pPr>
            <w:r>
              <w:rPr>
                <w:sz w:val="20"/>
              </w:rPr>
              <w:t>Hipercolesterolemia o hipertrigliceridemia</w:t>
            </w:r>
            <w:r>
              <w:rPr>
                <w:spacing w:val="-1"/>
                <w:sz w:val="20"/>
              </w:rPr>
              <w:t> </w:t>
            </w:r>
            <w:r>
              <w:rPr>
                <w:sz w:val="20"/>
              </w:rPr>
              <w:t>graves</w:t>
            </w:r>
          </w:p>
          <w:p>
            <w:pPr>
              <w:pStyle w:val="TableParagraph"/>
              <w:numPr>
                <w:ilvl w:val="0"/>
                <w:numId w:val="10"/>
              </w:numPr>
              <w:tabs>
                <w:tab w:pos="828" w:val="left" w:leader="none"/>
                <w:tab w:pos="829" w:val="left" w:leader="none"/>
              </w:tabs>
              <w:spacing w:line="240" w:lineRule="auto" w:before="34" w:after="0"/>
              <w:ind w:left="828" w:right="0" w:hanging="360"/>
              <w:jc w:val="left"/>
              <w:rPr>
                <w:sz w:val="20"/>
              </w:rPr>
            </w:pPr>
            <w:r>
              <w:rPr>
                <w:sz w:val="20"/>
              </w:rPr>
              <w:t>Hipertensión arterial no</w:t>
            </w:r>
            <w:r>
              <w:rPr>
                <w:spacing w:val="-1"/>
                <w:sz w:val="20"/>
              </w:rPr>
              <w:t> </w:t>
            </w:r>
            <w:r>
              <w:rPr>
                <w:sz w:val="20"/>
              </w:rPr>
              <w:t>controllable</w:t>
            </w:r>
          </w:p>
        </w:tc>
      </w:tr>
      <w:tr>
        <w:trPr>
          <w:trHeight w:val="4410" w:hRule="atLeast"/>
        </w:trPr>
        <w:tc>
          <w:tcPr>
            <w:tcW w:w="2092" w:type="dxa"/>
            <w:tcBorders>
              <w:top w:val="single" w:sz="8" w:space="0" w:color="000000"/>
            </w:tcBorders>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tabs>
                <w:tab w:pos="1662" w:val="left" w:leader="none"/>
              </w:tabs>
              <w:spacing w:line="276" w:lineRule="auto" w:before="177"/>
              <w:ind w:left="107" w:right="94"/>
              <w:rPr>
                <w:sz w:val="20"/>
              </w:rPr>
            </w:pPr>
            <w:r>
              <w:rPr>
                <w:sz w:val="20"/>
              </w:rPr>
              <w:t>Contraindicaciones relativas</w:t>
              <w:tab/>
              <w:t>con</w:t>
            </w:r>
          </w:p>
          <w:p>
            <w:pPr>
              <w:pStyle w:val="TableParagraph"/>
              <w:tabs>
                <w:tab w:pos="1760" w:val="left" w:leader="none"/>
              </w:tabs>
              <w:ind w:left="107"/>
              <w:rPr>
                <w:sz w:val="20"/>
              </w:rPr>
            </w:pPr>
            <w:r>
              <w:rPr>
                <w:sz w:val="20"/>
              </w:rPr>
              <w:t>requerimiento</w:t>
              <w:tab/>
              <w:t>de</w:t>
            </w:r>
          </w:p>
          <w:p>
            <w:pPr>
              <w:pStyle w:val="TableParagraph"/>
              <w:tabs>
                <w:tab w:pos="941" w:val="left" w:leader="none"/>
                <w:tab w:pos="1886" w:val="left" w:leader="none"/>
              </w:tabs>
              <w:spacing w:line="276" w:lineRule="auto" w:before="33"/>
              <w:ind w:left="107" w:right="93"/>
              <w:rPr>
                <w:sz w:val="20"/>
              </w:rPr>
            </w:pPr>
            <w:r>
              <w:rPr>
                <w:sz w:val="20"/>
              </w:rPr>
              <w:t>juicio</w:t>
              <w:tab/>
              <w:t>clínico</w:t>
              <w:tab/>
              <w:t>y consentimiento informado</w:t>
            </w:r>
          </w:p>
        </w:tc>
        <w:tc>
          <w:tcPr>
            <w:tcW w:w="7798" w:type="dxa"/>
            <w:vMerge w:val="restart"/>
            <w:tcBorders>
              <w:top w:val="single" w:sz="8" w:space="0" w:color="000000"/>
            </w:tcBorders>
          </w:tcPr>
          <w:p>
            <w:pPr>
              <w:pStyle w:val="TableParagraph"/>
              <w:spacing w:before="3"/>
              <w:ind w:left="0"/>
              <w:rPr>
                <w:sz w:val="20"/>
              </w:rPr>
            </w:pPr>
          </w:p>
          <w:p>
            <w:pPr>
              <w:pStyle w:val="TableParagraph"/>
              <w:numPr>
                <w:ilvl w:val="0"/>
                <w:numId w:val="11"/>
              </w:numPr>
              <w:tabs>
                <w:tab w:pos="828" w:val="left" w:leader="none"/>
                <w:tab w:pos="829" w:val="left" w:leader="none"/>
              </w:tabs>
              <w:spacing w:line="240" w:lineRule="auto" w:before="0" w:after="0"/>
              <w:ind w:left="828" w:right="0" w:hanging="360"/>
              <w:jc w:val="left"/>
              <w:rPr>
                <w:sz w:val="20"/>
              </w:rPr>
            </w:pPr>
            <w:r>
              <w:rPr>
                <w:sz w:val="20"/>
              </w:rPr>
              <w:t>Jaquecas sin</w:t>
            </w:r>
            <w:r>
              <w:rPr>
                <w:spacing w:val="-1"/>
                <w:sz w:val="20"/>
              </w:rPr>
              <w:t> </w:t>
            </w:r>
            <w:r>
              <w:rPr>
                <w:sz w:val="20"/>
              </w:rPr>
              <w:t>aura</w:t>
            </w:r>
          </w:p>
          <w:p>
            <w:pPr>
              <w:pStyle w:val="TableParagraph"/>
              <w:numPr>
                <w:ilvl w:val="0"/>
                <w:numId w:val="11"/>
              </w:numPr>
              <w:tabs>
                <w:tab w:pos="828" w:val="left" w:leader="none"/>
                <w:tab w:pos="829" w:val="left" w:leader="none"/>
              </w:tabs>
              <w:spacing w:line="240" w:lineRule="auto" w:before="35" w:after="0"/>
              <w:ind w:left="828" w:right="0" w:hanging="360"/>
              <w:jc w:val="left"/>
              <w:rPr>
                <w:sz w:val="20"/>
              </w:rPr>
            </w:pPr>
            <w:r>
              <w:rPr>
                <w:sz w:val="20"/>
              </w:rPr>
              <w:t>Hipertensión arterial</w:t>
            </w:r>
            <w:r>
              <w:rPr>
                <w:spacing w:val="-1"/>
                <w:sz w:val="20"/>
              </w:rPr>
              <w:t> </w:t>
            </w:r>
            <w:r>
              <w:rPr>
                <w:sz w:val="20"/>
              </w:rPr>
              <w:t>controlada</w:t>
            </w:r>
          </w:p>
          <w:p>
            <w:pPr>
              <w:pStyle w:val="TableParagraph"/>
              <w:numPr>
                <w:ilvl w:val="0"/>
                <w:numId w:val="11"/>
              </w:numPr>
              <w:tabs>
                <w:tab w:pos="828" w:val="left" w:leader="none"/>
                <w:tab w:pos="829" w:val="left" w:leader="none"/>
              </w:tabs>
              <w:spacing w:line="240" w:lineRule="auto" w:before="31" w:after="0"/>
              <w:ind w:left="828" w:right="0" w:hanging="360"/>
              <w:jc w:val="left"/>
              <w:rPr>
                <w:sz w:val="20"/>
              </w:rPr>
            </w:pPr>
            <w:r>
              <w:rPr>
                <w:sz w:val="20"/>
              </w:rPr>
              <w:t>Leiomioma</w:t>
            </w:r>
            <w:r>
              <w:rPr>
                <w:spacing w:val="-7"/>
                <w:sz w:val="20"/>
              </w:rPr>
              <w:t> </w:t>
            </w:r>
            <w:r>
              <w:rPr>
                <w:sz w:val="20"/>
              </w:rPr>
              <w:t>uterino</w:t>
            </w:r>
          </w:p>
          <w:p>
            <w:pPr>
              <w:pStyle w:val="TableParagraph"/>
              <w:numPr>
                <w:ilvl w:val="0"/>
                <w:numId w:val="11"/>
              </w:numPr>
              <w:tabs>
                <w:tab w:pos="828" w:val="left" w:leader="none"/>
                <w:tab w:pos="829" w:val="left" w:leader="none"/>
              </w:tabs>
              <w:spacing w:line="240" w:lineRule="auto" w:before="35" w:after="0"/>
              <w:ind w:left="828" w:right="0" w:hanging="360"/>
              <w:jc w:val="left"/>
              <w:rPr>
                <w:sz w:val="20"/>
              </w:rPr>
            </w:pPr>
            <w:r>
              <w:rPr>
                <w:sz w:val="20"/>
              </w:rPr>
              <w:t>Diabetes</w:t>
            </w:r>
            <w:r>
              <w:rPr>
                <w:spacing w:val="-4"/>
                <w:sz w:val="20"/>
              </w:rPr>
              <w:t> </w:t>
            </w:r>
            <w:r>
              <w:rPr>
                <w:sz w:val="20"/>
              </w:rPr>
              <w:t>gravídica</w:t>
            </w:r>
          </w:p>
          <w:p>
            <w:pPr>
              <w:pStyle w:val="TableParagraph"/>
              <w:numPr>
                <w:ilvl w:val="0"/>
                <w:numId w:val="11"/>
              </w:numPr>
              <w:tabs>
                <w:tab w:pos="828" w:val="left" w:leader="none"/>
                <w:tab w:pos="829" w:val="left" w:leader="none"/>
              </w:tabs>
              <w:spacing w:line="240" w:lineRule="auto" w:before="30" w:after="0"/>
              <w:ind w:left="828" w:right="0" w:hanging="360"/>
              <w:jc w:val="left"/>
              <w:rPr>
                <w:sz w:val="20"/>
              </w:rPr>
            </w:pPr>
            <w:r>
              <w:rPr>
                <w:sz w:val="20"/>
              </w:rPr>
              <w:t>Diabetes</w:t>
            </w:r>
            <w:r>
              <w:rPr>
                <w:spacing w:val="-1"/>
                <w:sz w:val="20"/>
              </w:rPr>
              <w:t> </w:t>
            </w:r>
            <w:r>
              <w:rPr>
                <w:sz w:val="20"/>
              </w:rPr>
              <w:t>mellitus</w:t>
            </w:r>
          </w:p>
          <w:p>
            <w:pPr>
              <w:pStyle w:val="TableParagraph"/>
              <w:numPr>
                <w:ilvl w:val="0"/>
                <w:numId w:val="11"/>
              </w:numPr>
              <w:tabs>
                <w:tab w:pos="828" w:val="left" w:leader="none"/>
                <w:tab w:pos="829" w:val="left" w:leader="none"/>
              </w:tabs>
              <w:spacing w:line="240" w:lineRule="auto" w:before="34" w:after="0"/>
              <w:ind w:left="828" w:right="0" w:hanging="360"/>
              <w:jc w:val="left"/>
              <w:rPr>
                <w:sz w:val="20"/>
              </w:rPr>
            </w:pPr>
            <w:r>
              <w:rPr>
                <w:sz w:val="20"/>
              </w:rPr>
              <w:t>Cirugía programada</w:t>
            </w:r>
          </w:p>
          <w:p>
            <w:pPr>
              <w:pStyle w:val="TableParagraph"/>
              <w:numPr>
                <w:ilvl w:val="0"/>
                <w:numId w:val="11"/>
              </w:numPr>
              <w:tabs>
                <w:tab w:pos="828" w:val="left" w:leader="none"/>
                <w:tab w:pos="829" w:val="left" w:leader="none"/>
              </w:tabs>
              <w:spacing w:line="240" w:lineRule="auto" w:before="30" w:after="0"/>
              <w:ind w:left="828" w:right="0" w:hanging="360"/>
              <w:jc w:val="left"/>
              <w:rPr>
                <w:sz w:val="20"/>
              </w:rPr>
            </w:pPr>
            <w:r>
              <w:rPr>
                <w:sz w:val="20"/>
              </w:rPr>
              <w:t>Trastornos</w:t>
            </w:r>
            <w:r>
              <w:rPr>
                <w:spacing w:val="-1"/>
                <w:sz w:val="20"/>
              </w:rPr>
              <w:t> </w:t>
            </w:r>
            <w:r>
              <w:rPr>
                <w:sz w:val="20"/>
              </w:rPr>
              <w:t>comiciales</w:t>
            </w:r>
          </w:p>
          <w:p>
            <w:pPr>
              <w:pStyle w:val="TableParagraph"/>
              <w:numPr>
                <w:ilvl w:val="0"/>
                <w:numId w:val="11"/>
              </w:numPr>
              <w:tabs>
                <w:tab w:pos="828" w:val="left" w:leader="none"/>
                <w:tab w:pos="829" w:val="left" w:leader="none"/>
              </w:tabs>
              <w:spacing w:line="240" w:lineRule="auto" w:before="34" w:after="0"/>
              <w:ind w:left="828" w:right="0" w:hanging="360"/>
              <w:jc w:val="left"/>
              <w:rPr>
                <w:sz w:val="20"/>
              </w:rPr>
            </w:pPr>
            <w:r>
              <w:rPr>
                <w:sz w:val="20"/>
              </w:rPr>
              <w:t>Ictericia obstructiva durante el</w:t>
            </w:r>
            <w:r>
              <w:rPr>
                <w:spacing w:val="0"/>
                <w:sz w:val="20"/>
              </w:rPr>
              <w:t> </w:t>
            </w:r>
            <w:r>
              <w:rPr>
                <w:sz w:val="20"/>
              </w:rPr>
              <w:t>embarazo</w:t>
            </w:r>
          </w:p>
          <w:p>
            <w:pPr>
              <w:pStyle w:val="TableParagraph"/>
              <w:numPr>
                <w:ilvl w:val="0"/>
                <w:numId w:val="11"/>
              </w:numPr>
              <w:tabs>
                <w:tab w:pos="828" w:val="left" w:leader="none"/>
                <w:tab w:pos="829" w:val="left" w:leader="none"/>
              </w:tabs>
              <w:spacing w:line="240" w:lineRule="auto" w:before="30" w:after="0"/>
              <w:ind w:left="828" w:right="0" w:hanging="360"/>
              <w:jc w:val="left"/>
              <w:rPr>
                <w:sz w:val="20"/>
              </w:rPr>
            </w:pPr>
            <w:r>
              <w:rPr>
                <w:sz w:val="20"/>
              </w:rPr>
              <w:t>Tabaquismo</w:t>
            </w:r>
          </w:p>
          <w:p>
            <w:pPr>
              <w:pStyle w:val="TableParagraph"/>
              <w:numPr>
                <w:ilvl w:val="0"/>
                <w:numId w:val="11"/>
              </w:numPr>
              <w:tabs>
                <w:tab w:pos="828" w:val="left" w:leader="none"/>
                <w:tab w:pos="829" w:val="left" w:leader="none"/>
              </w:tabs>
              <w:spacing w:line="240" w:lineRule="auto" w:before="34" w:after="0"/>
              <w:ind w:left="828" w:right="0" w:hanging="360"/>
              <w:jc w:val="left"/>
              <w:rPr>
                <w:sz w:val="20"/>
              </w:rPr>
            </w:pPr>
            <w:r>
              <w:rPr>
                <w:sz w:val="20"/>
              </w:rPr>
              <w:t>Hepatopatía</w:t>
            </w:r>
          </w:p>
          <w:p>
            <w:pPr>
              <w:pStyle w:val="TableParagraph"/>
              <w:numPr>
                <w:ilvl w:val="0"/>
                <w:numId w:val="11"/>
              </w:numPr>
              <w:tabs>
                <w:tab w:pos="828" w:val="left" w:leader="none"/>
                <w:tab w:pos="829" w:val="left" w:leader="none"/>
              </w:tabs>
              <w:spacing w:line="240" w:lineRule="auto" w:before="30" w:after="0"/>
              <w:ind w:left="828" w:right="0" w:hanging="360"/>
              <w:jc w:val="left"/>
              <w:rPr>
                <w:sz w:val="20"/>
              </w:rPr>
            </w:pPr>
            <w:r>
              <w:rPr>
                <w:sz w:val="20"/>
              </w:rPr>
              <w:t>Hiperlipidemia</w:t>
            </w:r>
          </w:p>
          <w:p>
            <w:pPr>
              <w:pStyle w:val="TableParagraph"/>
              <w:numPr>
                <w:ilvl w:val="0"/>
                <w:numId w:val="11"/>
              </w:numPr>
              <w:tabs>
                <w:tab w:pos="828" w:val="left" w:leader="none"/>
                <w:tab w:pos="829" w:val="left" w:leader="none"/>
              </w:tabs>
              <w:spacing w:line="240" w:lineRule="auto" w:before="34" w:after="0"/>
              <w:ind w:left="828" w:right="0" w:hanging="360"/>
              <w:jc w:val="left"/>
              <w:rPr>
                <w:sz w:val="20"/>
              </w:rPr>
            </w:pPr>
            <w:r>
              <w:rPr>
                <w:sz w:val="20"/>
              </w:rPr>
              <w:t>Prolapso</w:t>
            </w:r>
            <w:r>
              <w:rPr>
                <w:spacing w:val="-1"/>
                <w:sz w:val="20"/>
              </w:rPr>
              <w:t> </w:t>
            </w:r>
            <w:r>
              <w:rPr>
                <w:sz w:val="20"/>
              </w:rPr>
              <w:t>mitral</w:t>
            </w:r>
          </w:p>
          <w:p>
            <w:pPr>
              <w:pStyle w:val="TableParagraph"/>
              <w:numPr>
                <w:ilvl w:val="0"/>
                <w:numId w:val="11"/>
              </w:numPr>
              <w:tabs>
                <w:tab w:pos="828" w:val="left" w:leader="none"/>
                <w:tab w:pos="829" w:val="left" w:leader="none"/>
              </w:tabs>
              <w:spacing w:line="240" w:lineRule="auto" w:before="31" w:after="0"/>
              <w:ind w:left="828" w:right="0" w:hanging="360"/>
              <w:jc w:val="left"/>
              <w:rPr>
                <w:sz w:val="20"/>
              </w:rPr>
            </w:pPr>
            <w:r>
              <w:rPr>
                <w:sz w:val="20"/>
              </w:rPr>
              <w:t>Lupus eritrematoso</w:t>
            </w:r>
            <w:r>
              <w:rPr>
                <w:spacing w:val="-1"/>
                <w:sz w:val="20"/>
              </w:rPr>
              <w:t> </w:t>
            </w:r>
            <w:r>
              <w:rPr>
                <w:sz w:val="20"/>
              </w:rPr>
              <w:t>diseminado</w:t>
            </w:r>
          </w:p>
          <w:p>
            <w:pPr>
              <w:pStyle w:val="TableParagraph"/>
              <w:numPr>
                <w:ilvl w:val="0"/>
                <w:numId w:val="11"/>
              </w:numPr>
              <w:tabs>
                <w:tab w:pos="828" w:val="left" w:leader="none"/>
                <w:tab w:pos="829" w:val="left" w:leader="none"/>
              </w:tabs>
              <w:spacing w:line="240" w:lineRule="auto" w:before="35" w:after="0"/>
              <w:ind w:left="828" w:right="0" w:hanging="360"/>
              <w:jc w:val="left"/>
              <w:rPr>
                <w:sz w:val="20"/>
              </w:rPr>
            </w:pPr>
            <w:r>
              <w:rPr>
                <w:sz w:val="20"/>
              </w:rPr>
              <w:t>Enfermedades de la vesícula</w:t>
            </w:r>
            <w:r>
              <w:rPr>
                <w:spacing w:val="-12"/>
                <w:sz w:val="20"/>
              </w:rPr>
              <w:t> </w:t>
            </w:r>
            <w:r>
              <w:rPr>
                <w:sz w:val="20"/>
              </w:rPr>
              <w:t>biliar</w:t>
            </w:r>
          </w:p>
          <w:p>
            <w:pPr>
              <w:pStyle w:val="TableParagraph"/>
              <w:numPr>
                <w:ilvl w:val="0"/>
                <w:numId w:val="11"/>
              </w:numPr>
              <w:tabs>
                <w:tab w:pos="828" w:val="left" w:leader="none"/>
                <w:tab w:pos="829" w:val="left" w:leader="none"/>
              </w:tabs>
              <w:spacing w:line="240" w:lineRule="auto" w:before="30" w:after="0"/>
              <w:ind w:left="828" w:right="0" w:hanging="360"/>
              <w:jc w:val="left"/>
              <w:rPr>
                <w:sz w:val="20"/>
              </w:rPr>
            </w:pPr>
            <w:r>
              <w:rPr>
                <w:sz w:val="20"/>
              </w:rPr>
              <w:t>Drepanocitosis o drepanocitosis</w:t>
            </w:r>
            <w:r>
              <w:rPr>
                <w:spacing w:val="-9"/>
                <w:sz w:val="20"/>
              </w:rPr>
              <w:t> </w:t>
            </w:r>
            <w:r>
              <w:rPr>
                <w:sz w:val="20"/>
              </w:rPr>
              <w:t>C</w:t>
            </w:r>
          </w:p>
        </w:tc>
      </w:tr>
      <w:tr>
        <w:trPr>
          <w:trHeight w:val="422" w:hRule="atLeast"/>
        </w:trPr>
        <w:tc>
          <w:tcPr>
            <w:tcW w:w="2092" w:type="dxa"/>
          </w:tcPr>
          <w:p>
            <w:pPr>
              <w:pStyle w:val="TableParagraph"/>
              <w:spacing w:line="177" w:lineRule="exact"/>
              <w:ind w:left="107"/>
              <w:rPr>
                <w:sz w:val="16"/>
              </w:rPr>
            </w:pPr>
            <w:r>
              <w:rPr>
                <w:sz w:val="16"/>
              </w:rPr>
              <w:t>Fuente: Fritz &amp; Speroff</w:t>
            </w:r>
          </w:p>
          <w:p>
            <w:pPr>
              <w:pStyle w:val="TableParagraph"/>
              <w:spacing w:before="28"/>
              <w:ind w:left="107"/>
              <w:rPr>
                <w:sz w:val="16"/>
              </w:rPr>
            </w:pPr>
            <w:r>
              <w:rPr>
                <w:sz w:val="16"/>
              </w:rPr>
              <w:t>(2013).</w:t>
            </w:r>
          </w:p>
        </w:tc>
        <w:tc>
          <w:tcPr>
            <w:tcW w:w="7798" w:type="dxa"/>
            <w:vMerge/>
            <w:tcBorders>
              <w:top w:val="nil"/>
            </w:tcBorders>
          </w:tcPr>
          <w:p>
            <w:pPr>
              <w:rPr>
                <w:sz w:val="2"/>
                <w:szCs w:val="2"/>
              </w:rPr>
            </w:pPr>
          </w:p>
        </w:tc>
      </w:tr>
    </w:tbl>
    <w:p>
      <w:pPr>
        <w:pStyle w:val="BodyText"/>
        <w:spacing w:before="7"/>
        <w:rPr>
          <w:sz w:val="29"/>
        </w:rPr>
      </w:pPr>
    </w:p>
    <w:p>
      <w:pPr>
        <w:spacing w:after="0"/>
        <w:rPr>
          <w:sz w:val="29"/>
        </w:rPr>
        <w:sectPr>
          <w:footerReference w:type="even" r:id="rId72"/>
          <w:footerReference w:type="default" r:id="rId73"/>
          <w:pgSz w:w="12240" w:h="15840"/>
          <w:pgMar w:footer="872" w:header="723" w:top="940" w:bottom="1060" w:left="0" w:right="0"/>
          <w:pgNumType w:start="20"/>
        </w:sectPr>
      </w:pPr>
    </w:p>
    <w:p>
      <w:pPr>
        <w:pStyle w:val="BodyText"/>
        <w:spacing w:line="276" w:lineRule="auto" w:before="93"/>
        <w:ind w:left="1440"/>
        <w:jc w:val="both"/>
      </w:pPr>
      <w:r>
        <w:rPr/>
        <w:t>esterilizaciones quirúrgicas, cáncer de endometrio, cáncer de ovario, cáncer colorrectal, embarazos ectópicos, salpingitis, patología mamaria benigna; ciclos menstruales más regulares: menos perdida sanguínea, menos dismenorrea, menos anemia; aumento de </w:t>
      </w:r>
      <w:r>
        <w:rPr>
          <w:spacing w:val="-3"/>
        </w:rPr>
        <w:t>la </w:t>
      </w:r>
      <w:r>
        <w:rPr/>
        <w:t>densidad ósea y posiblemente: menos artritis reumatoide, protección contra </w:t>
      </w:r>
      <w:r>
        <w:rPr>
          <w:spacing w:val="-3"/>
        </w:rPr>
        <w:t>la </w:t>
      </w:r>
      <w:r>
        <w:rPr/>
        <w:t>aterosclerosis, menos fibromas, menos quistes de</w:t>
      </w:r>
      <w:r>
        <w:rPr>
          <w:spacing w:val="-1"/>
        </w:rPr>
        <w:t> </w:t>
      </w:r>
      <w:r>
        <w:rPr/>
        <w:t>ovario.</w:t>
      </w:r>
    </w:p>
    <w:p>
      <w:pPr>
        <w:pStyle w:val="BodyText"/>
        <w:tabs>
          <w:tab w:pos="2462" w:val="left" w:leader="none"/>
          <w:tab w:pos="4010" w:val="left" w:leader="none"/>
        </w:tabs>
        <w:spacing w:line="276" w:lineRule="auto" w:before="93"/>
        <w:ind w:left="678" w:right="1435"/>
        <w:jc w:val="both"/>
      </w:pPr>
      <w:r>
        <w:rPr/>
        <w:br w:type="column"/>
      </w:r>
      <w:r>
        <w:rPr/>
        <w:t>En </w:t>
      </w:r>
      <w:r>
        <w:rPr>
          <w:spacing w:val="-3"/>
        </w:rPr>
        <w:t>la </w:t>
      </w:r>
      <w:r>
        <w:rPr/>
        <w:t>segunda categoría los ACO usados para tratar los siguientes problemas y trastornos</w:t>
        <w:tab/>
        <w:t>otorgan</w:t>
        <w:tab/>
      </w:r>
      <w:r>
        <w:rPr>
          <w:spacing w:val="-1"/>
        </w:rPr>
        <w:t>beneficios </w:t>
      </w:r>
      <w:r>
        <w:rPr/>
        <w:t>incuestionables: hemorragia uterina disfuncional, dismenorrea, dolor pélvico intermenstrual, prevención de </w:t>
      </w:r>
      <w:r>
        <w:rPr>
          <w:spacing w:val="-3"/>
        </w:rPr>
        <w:t>la </w:t>
      </w:r>
      <w:r>
        <w:rPr/>
        <w:t>endometriosis, acné e hirsutismo, tratamiento de </w:t>
      </w:r>
      <w:r>
        <w:rPr>
          <w:spacing w:val="-3"/>
        </w:rPr>
        <w:t>la </w:t>
      </w:r>
      <w:r>
        <w:rPr/>
        <w:t>amenorrea hipotalámica, prevención de </w:t>
      </w:r>
      <w:r>
        <w:rPr>
          <w:spacing w:val="-3"/>
        </w:rPr>
        <w:t>la </w:t>
      </w:r>
      <w:r>
        <w:rPr/>
        <w:t>porfiria menstrual, control de </w:t>
      </w:r>
      <w:r>
        <w:rPr>
          <w:spacing w:val="-3"/>
        </w:rPr>
        <w:t>la </w:t>
      </w:r>
      <w:r>
        <w:rPr/>
        <w:t>hemorragia y posibles: quistes funcionales de ovario y</w:t>
      </w:r>
      <w:r>
        <w:rPr>
          <w:spacing w:val="-6"/>
        </w:rPr>
        <w:t> </w:t>
      </w:r>
      <w:r>
        <w:rPr/>
        <w:t>síndrome</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8"/>
      </w:pPr>
    </w:p>
    <w:p>
      <w:pPr>
        <w:pStyle w:val="BodyText"/>
        <w:tabs>
          <w:tab w:pos="6481" w:val="left" w:leader="none"/>
        </w:tabs>
        <w:ind w:left="1440"/>
      </w:pPr>
      <w:r>
        <w:rPr/>
        <w:t>premenstrual.</w:t>
        <w:tab/>
        <w:t>.</w:t>
      </w:r>
    </w:p>
    <w:p>
      <w:pPr>
        <w:pStyle w:val="BodyText"/>
        <w:rPr>
          <w:sz w:val="24"/>
        </w:rPr>
      </w:pPr>
    </w:p>
    <w:p>
      <w:pPr>
        <w:pStyle w:val="BodyText"/>
        <w:spacing w:before="11"/>
        <w:rPr>
          <w:sz w:val="23"/>
        </w:rPr>
      </w:pPr>
    </w:p>
    <w:p>
      <w:pPr>
        <w:pStyle w:val="Heading4"/>
      </w:pPr>
      <w:r>
        <w:rPr/>
        <w:t>BIBLIOGRAFIA</w:t>
      </w:r>
    </w:p>
    <w:p>
      <w:pPr>
        <w:pStyle w:val="BodyText"/>
        <w:spacing w:before="10"/>
        <w:rPr>
          <w:b/>
          <w:sz w:val="28"/>
        </w:rPr>
      </w:pPr>
    </w:p>
    <w:p>
      <w:pPr>
        <w:pStyle w:val="ListParagraph"/>
        <w:numPr>
          <w:ilvl w:val="1"/>
          <w:numId w:val="9"/>
        </w:numPr>
        <w:tabs>
          <w:tab w:pos="1800" w:val="left" w:leader="none"/>
          <w:tab w:pos="1801" w:val="left" w:leader="none"/>
        </w:tabs>
        <w:spacing w:line="240" w:lineRule="auto" w:before="0" w:after="0"/>
        <w:ind w:left="1800" w:right="0" w:hanging="360"/>
        <w:jc w:val="left"/>
        <w:rPr>
          <w:sz w:val="20"/>
        </w:rPr>
      </w:pPr>
      <w:r>
        <w:rPr>
          <w:sz w:val="20"/>
        </w:rPr>
        <w:t>DeCherney, A. H. (2014). Diagnóstico y tratamiento ginecoobstétricos (11a. McGraw Hill</w:t>
      </w:r>
      <w:r>
        <w:rPr>
          <w:spacing w:val="-12"/>
          <w:sz w:val="20"/>
        </w:rPr>
        <w:t> </w:t>
      </w:r>
      <w:r>
        <w:rPr>
          <w:sz w:val="20"/>
        </w:rPr>
        <w:t>México.</w:t>
      </w:r>
    </w:p>
    <w:p>
      <w:pPr>
        <w:pStyle w:val="ListParagraph"/>
        <w:numPr>
          <w:ilvl w:val="1"/>
          <w:numId w:val="9"/>
        </w:numPr>
        <w:tabs>
          <w:tab w:pos="1800" w:val="left" w:leader="none"/>
          <w:tab w:pos="1801" w:val="left" w:leader="none"/>
        </w:tabs>
        <w:spacing w:line="271" w:lineRule="auto" w:before="34" w:after="0"/>
        <w:ind w:left="1800" w:right="1546" w:hanging="360"/>
        <w:jc w:val="left"/>
        <w:rPr>
          <w:sz w:val="20"/>
        </w:rPr>
      </w:pPr>
      <w:r>
        <w:rPr>
          <w:sz w:val="20"/>
        </w:rPr>
        <w:t>De Arenas, J. L., Vargas, M. A., &amp; Valles, J. (2002). La píldora anticonceptiva en América Latina y</w:t>
      </w:r>
      <w:r>
        <w:rPr>
          <w:spacing w:val="-37"/>
          <w:sz w:val="20"/>
        </w:rPr>
        <w:t> </w:t>
      </w:r>
      <w:r>
        <w:rPr>
          <w:sz w:val="20"/>
        </w:rPr>
        <w:t>El Caribe. Un estudio bibliométrico. In Anales de documentación (Vol. 5, pp.</w:t>
      </w:r>
      <w:r>
        <w:rPr>
          <w:spacing w:val="-19"/>
          <w:sz w:val="20"/>
        </w:rPr>
        <w:t> </w:t>
      </w:r>
      <w:r>
        <w:rPr>
          <w:sz w:val="20"/>
        </w:rPr>
        <w:t>213-222).</w:t>
      </w:r>
    </w:p>
    <w:p>
      <w:pPr>
        <w:pStyle w:val="ListParagraph"/>
        <w:numPr>
          <w:ilvl w:val="1"/>
          <w:numId w:val="9"/>
        </w:numPr>
        <w:tabs>
          <w:tab w:pos="1800" w:val="left" w:leader="none"/>
          <w:tab w:pos="1801" w:val="left" w:leader="none"/>
        </w:tabs>
        <w:spacing w:line="276" w:lineRule="auto" w:before="3" w:after="0"/>
        <w:ind w:left="1800" w:right="2022" w:hanging="360"/>
        <w:jc w:val="left"/>
        <w:rPr>
          <w:sz w:val="20"/>
        </w:rPr>
      </w:pPr>
      <w:r>
        <w:rPr>
          <w:sz w:val="20"/>
        </w:rPr>
        <w:t>Fritz, M. A., &amp; Speroff, L. (2013). Endocrinología Ginecológica Clínica y Esterilidad (Edición: 8). Lippincott Williams &amp;</w:t>
      </w:r>
      <w:r>
        <w:rPr>
          <w:spacing w:val="-12"/>
          <w:sz w:val="20"/>
        </w:rPr>
        <w:t> </w:t>
      </w:r>
      <w:r>
        <w:rPr>
          <w:sz w:val="20"/>
        </w:rPr>
        <w:t>Wilkins.</w:t>
      </w:r>
    </w:p>
    <w:p>
      <w:pPr>
        <w:pStyle w:val="ListParagraph"/>
        <w:numPr>
          <w:ilvl w:val="1"/>
          <w:numId w:val="9"/>
        </w:numPr>
        <w:tabs>
          <w:tab w:pos="1800" w:val="left" w:leader="none"/>
          <w:tab w:pos="1801" w:val="left" w:leader="none"/>
        </w:tabs>
        <w:spacing w:line="271" w:lineRule="auto" w:before="0" w:after="0"/>
        <w:ind w:left="1800" w:right="2458" w:hanging="360"/>
        <w:jc w:val="left"/>
        <w:rPr>
          <w:sz w:val="20"/>
        </w:rPr>
      </w:pPr>
      <w:r>
        <w:rPr>
          <w:sz w:val="20"/>
        </w:rPr>
        <w:t>Galán Ch, G. (2010). 50 años de la píldora anticonceptiva. Revista chilena de obstetricia</w:t>
      </w:r>
      <w:r>
        <w:rPr>
          <w:spacing w:val="-30"/>
          <w:sz w:val="20"/>
        </w:rPr>
        <w:t> </w:t>
      </w:r>
      <w:r>
        <w:rPr>
          <w:sz w:val="20"/>
        </w:rPr>
        <w:t>y ginecología, 75(4),</w:t>
      </w:r>
      <w:r>
        <w:rPr>
          <w:spacing w:val="-5"/>
          <w:sz w:val="20"/>
        </w:rPr>
        <w:t> </w:t>
      </w:r>
      <w:r>
        <w:rPr>
          <w:sz w:val="20"/>
        </w:rPr>
        <w:t>217-220.</w:t>
      </w:r>
    </w:p>
    <w:p>
      <w:pPr>
        <w:pStyle w:val="ListParagraph"/>
        <w:numPr>
          <w:ilvl w:val="1"/>
          <w:numId w:val="9"/>
        </w:numPr>
        <w:tabs>
          <w:tab w:pos="1800" w:val="left" w:leader="none"/>
          <w:tab w:pos="1801" w:val="left" w:leader="none"/>
        </w:tabs>
        <w:spacing w:line="276" w:lineRule="auto" w:before="4" w:after="0"/>
        <w:ind w:left="1800" w:right="1584" w:hanging="360"/>
        <w:jc w:val="left"/>
        <w:rPr>
          <w:sz w:val="20"/>
        </w:rPr>
      </w:pPr>
      <w:r>
        <w:rPr>
          <w:sz w:val="20"/>
        </w:rPr>
        <w:t>Lete, I., Dueñas, J. L., Serrano, I., Doval, J. L., Pérez-Campos, E., Martínez-Salmeán, J., &amp; Coll, C. (2009). Efectos beneficiosos no anticonceptivos de la píldora anticonceptiva. SEMERGEN-Medicina de Familia, 35(10),</w:t>
      </w:r>
      <w:r>
        <w:rPr>
          <w:spacing w:val="-5"/>
          <w:sz w:val="20"/>
        </w:rPr>
        <w:t> </w:t>
      </w:r>
      <w:r>
        <w:rPr>
          <w:sz w:val="20"/>
        </w:rPr>
        <w:t>505-510.</w:t>
      </w:r>
    </w:p>
    <w:p>
      <w:pPr>
        <w:pStyle w:val="ListParagraph"/>
        <w:numPr>
          <w:ilvl w:val="1"/>
          <w:numId w:val="9"/>
        </w:numPr>
        <w:tabs>
          <w:tab w:pos="1800" w:val="left" w:leader="none"/>
          <w:tab w:pos="1801" w:val="left" w:leader="none"/>
        </w:tabs>
        <w:spacing w:line="276" w:lineRule="auto" w:before="0" w:after="0"/>
        <w:ind w:left="1800" w:right="2076" w:hanging="360"/>
        <w:jc w:val="left"/>
        <w:rPr>
          <w:sz w:val="20"/>
        </w:rPr>
      </w:pPr>
      <w:r>
        <w:rPr>
          <w:sz w:val="20"/>
        </w:rPr>
        <w:t>Vásquez-Awad, D., Palacios, S., De Melo, N. R., Gómez-Tabares, G., &amp; de Mola, R. L. (2014). Anticonceptivos orales combinados: Guías Latinoamericanas. Medicina, 36(2),</w:t>
      </w:r>
      <w:r>
        <w:rPr>
          <w:spacing w:val="-13"/>
          <w:sz w:val="20"/>
        </w:rPr>
        <w:t> </w:t>
      </w:r>
      <w:r>
        <w:rPr>
          <w:sz w:val="20"/>
        </w:rPr>
        <w:t>136-149</w:t>
      </w:r>
    </w:p>
    <w:p>
      <w:pPr>
        <w:pStyle w:val="BodyText"/>
        <w:spacing w:before="6"/>
        <w:rPr>
          <w:sz w:val="17"/>
        </w:rPr>
      </w:pPr>
    </w:p>
    <w:p>
      <w:pPr>
        <w:tabs>
          <w:tab w:pos="7762" w:val="left" w:leader="none"/>
        </w:tabs>
        <w:spacing w:before="0"/>
        <w:ind w:left="1440" w:right="0" w:firstLine="0"/>
        <w:jc w:val="left"/>
        <w:rPr>
          <w:sz w:val="20"/>
        </w:rPr>
      </w:pPr>
      <w:r>
        <w:rPr>
          <w:sz w:val="20"/>
        </w:rPr>
        <w:t>Recepción: 1 Febrero</w:t>
      </w:r>
      <w:r>
        <w:rPr>
          <w:spacing w:val="-4"/>
          <w:sz w:val="20"/>
        </w:rPr>
        <w:t> </w:t>
      </w:r>
      <w:r>
        <w:rPr>
          <w:sz w:val="20"/>
        </w:rPr>
        <w:t>de</w:t>
      </w:r>
      <w:r>
        <w:rPr>
          <w:spacing w:val="-2"/>
          <w:sz w:val="20"/>
        </w:rPr>
        <w:t> </w:t>
      </w:r>
      <w:r>
        <w:rPr>
          <w:sz w:val="20"/>
        </w:rPr>
        <w:t>2017</w:t>
        <w:tab/>
        <w:t>Aprobación:15 Febrero de</w:t>
      </w:r>
      <w:r>
        <w:rPr>
          <w:spacing w:val="2"/>
          <w:sz w:val="20"/>
        </w:rPr>
        <w:t> </w:t>
      </w:r>
      <w:r>
        <w:rPr>
          <w:sz w:val="20"/>
        </w:rPr>
        <w:t>2017</w:t>
      </w:r>
    </w:p>
    <w:p>
      <w:pPr>
        <w:spacing w:after="0"/>
        <w:jc w:val="left"/>
        <w:rPr>
          <w:sz w:val="20"/>
        </w:rPr>
        <w:sectPr>
          <w:pgSz w:w="12240" w:h="15840"/>
          <w:pgMar w:header="723" w:footer="882" w:top="940" w:bottom="1080" w:left="0" w:right="0"/>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1"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2"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75">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554"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75">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12"/>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2"/>
        </w:numPr>
        <w:tabs>
          <w:tab w:pos="2161" w:val="left" w:leader="none"/>
        </w:tabs>
        <w:spacing w:line="280" w:lineRule="auto" w:before="0" w:after="0"/>
        <w:ind w:left="2160" w:right="1430"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1"/>
          <w:numId w:val="12"/>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12"/>
        </w:numPr>
        <w:tabs>
          <w:tab w:pos="2161" w:val="left" w:leader="none"/>
          <w:tab w:pos="4092" w:val="left" w:leader="none"/>
          <w:tab w:pos="5806" w:val="left" w:leader="none"/>
          <w:tab w:pos="6809" w:val="left" w:leader="none"/>
          <w:tab w:pos="8472"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1"/>
          <w:numId w:val="12"/>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12"/>
        </w:numPr>
        <w:tabs>
          <w:tab w:pos="2161" w:val="left" w:leader="none"/>
        </w:tabs>
        <w:spacing w:line="278" w:lineRule="auto" w:before="0" w:after="0"/>
        <w:ind w:left="2160" w:right="1442"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12"/>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1"/>
          <w:numId w:val="12"/>
        </w:numPr>
        <w:tabs>
          <w:tab w:pos="2161" w:val="left" w:leader="none"/>
        </w:tabs>
        <w:spacing w:line="280" w:lineRule="auto" w:before="0" w:after="0"/>
        <w:ind w:left="2160" w:right="1435"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7"/>
          <w:sz w:val="20"/>
        </w:rPr>
        <w:t> </w:t>
      </w:r>
      <w:r>
        <w:rPr>
          <w:sz w:val="20"/>
        </w:rPr>
        <w:t>revistas</w:t>
      </w:r>
    </w:p>
    <w:p>
      <w:pPr>
        <w:spacing w:after="0" w:line="280" w:lineRule="auto"/>
        <w:jc w:val="both"/>
        <w:rPr>
          <w:sz w:val="20"/>
        </w:rPr>
        <w:sectPr>
          <w:headerReference w:type="even" r:id="rId74"/>
          <w:pgSz w:w="12240" w:h="15840"/>
          <w:pgMar w:header="723" w:footer="872" w:top="940" w:bottom="106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6" w:firstLine="0"/>
        <w:jc w:val="both"/>
        <w:rPr>
          <w:sz w:val="20"/>
        </w:rPr>
      </w:pPr>
      <w:r>
        <w:rPr>
          <w:sz w:val="20"/>
        </w:rPr>
        <w:t>médicas “</w:t>
      </w:r>
      <w:hyperlink r:id="rId75">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387"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713"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77">
        <w:r>
          <w:rPr>
            <w:sz w:val="20"/>
          </w:rPr>
          <w:t>http://www.scielo.cl/scielo.php?script=sci_arttext&amp;pid=S0370-</w:t>
        </w:r>
      </w:hyperlink>
      <w:r>
        <w:rPr>
          <w:sz w:val="20"/>
        </w:rPr>
        <w:t> </w:t>
      </w:r>
      <w:hyperlink r:id="rId77">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12"/>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2"/>
          <w:sz w:val="20"/>
        </w:rPr>
        <w:t> </w:t>
      </w:r>
      <w:r>
        <w:rPr>
          <w:sz w:val="20"/>
        </w:rPr>
        <w:t>publicación.</w:t>
      </w:r>
    </w:p>
    <w:p>
      <w:pPr>
        <w:pStyle w:val="BodyText"/>
        <w:spacing w:before="2"/>
        <w:rPr>
          <w:sz w:val="23"/>
        </w:rPr>
      </w:pPr>
    </w:p>
    <w:p>
      <w:pPr>
        <w:pStyle w:val="ListParagraph"/>
        <w:numPr>
          <w:ilvl w:val="0"/>
          <w:numId w:val="12"/>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12"/>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12"/>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12"/>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12"/>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12"/>
        </w:numPr>
        <w:tabs>
          <w:tab w:pos="2161" w:val="left" w:leader="none"/>
        </w:tabs>
        <w:spacing w:line="276" w:lineRule="auto" w:before="34" w:after="0"/>
        <w:ind w:left="2160" w:right="1446" w:hanging="360"/>
        <w:jc w:val="left"/>
        <w:rPr>
          <w:sz w:val="20"/>
        </w:rPr>
      </w:pPr>
      <w:r>
        <w:rPr>
          <w:sz w:val="20"/>
        </w:rPr>
        <w:t>Introducción: se debe contestar las preguntas: ¿porque se publica?, ¿que se publica? Mencionar objetivos primarios y</w:t>
      </w:r>
      <w:r>
        <w:rPr>
          <w:spacing w:val="2"/>
          <w:sz w:val="20"/>
        </w:rPr>
        <w:t> </w:t>
      </w:r>
      <w:r>
        <w:rPr>
          <w:sz w:val="20"/>
        </w:rPr>
        <w:t>secundarios.</w:t>
      </w:r>
    </w:p>
    <w:p>
      <w:pPr>
        <w:pStyle w:val="ListParagraph"/>
        <w:numPr>
          <w:ilvl w:val="1"/>
          <w:numId w:val="12"/>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12"/>
        </w:numPr>
        <w:tabs>
          <w:tab w:pos="2161" w:val="left" w:leader="none"/>
        </w:tabs>
        <w:spacing w:line="280" w:lineRule="auto" w:before="0" w:after="0"/>
        <w:ind w:left="2160" w:right="1435"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4"/>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default" r:id="rId76"/>
          <w:pgSz w:w="12240" w:h="15840"/>
          <w:pgMar w:header="0" w:footer="882" w:top="640" w:bottom="10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3"/>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3"/>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3"/>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2"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3"/>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54"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387" w:firstLine="0"/>
        <w:jc w:val="left"/>
        <w:rPr>
          <w:sz w:val="20"/>
        </w:rPr>
      </w:pPr>
      <w:r>
        <w:rPr>
          <w:sz w:val="20"/>
        </w:rPr>
        <w:t>En caso de tener conflictos de interés se debe llenar “ICMJE Uniform Disclosure Form Potential Conflicts of Interest” disponible en </w:t>
      </w:r>
      <w:hyperlink r:id="rId75">
        <w:r>
          <w:rPr>
            <w:sz w:val="20"/>
          </w:rPr>
          <w:t>www.icmje.org.</w:t>
        </w:r>
      </w:hyperlink>
    </w:p>
    <w:p>
      <w:pPr>
        <w:pStyle w:val="ListParagraph"/>
        <w:numPr>
          <w:ilvl w:val="0"/>
          <w:numId w:val="13"/>
        </w:numPr>
        <w:tabs>
          <w:tab w:pos="1801" w:val="left" w:leader="none"/>
        </w:tabs>
        <w:spacing w:line="222" w:lineRule="exact" w:before="0" w:after="0"/>
        <w:ind w:left="1800" w:right="0" w:hanging="360"/>
        <w:jc w:val="left"/>
        <w:rPr>
          <w:b/>
          <w:sz w:val="20"/>
        </w:rPr>
      </w:pPr>
      <w:r>
        <w:rPr>
          <w:b/>
          <w:sz w:val="20"/>
        </w:rPr>
        <w:t>Principios científicos, éticos,</w:t>
      </w:r>
      <w:r>
        <w:rPr>
          <w:b/>
          <w:spacing w:val="-2"/>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3"/>
        </w:numPr>
        <w:tabs>
          <w:tab w:pos="1801" w:val="left" w:leader="none"/>
        </w:tabs>
        <w:spacing w:line="226" w:lineRule="exact" w:before="0" w:after="0"/>
        <w:ind w:left="1800" w:right="0" w:hanging="360"/>
        <w:jc w:val="left"/>
        <w:rPr>
          <w:b/>
          <w:sz w:val="20"/>
        </w:rPr>
      </w:pPr>
      <w:r>
        <w:rPr>
          <w:b/>
          <w:sz w:val="20"/>
        </w:rPr>
        <w:t>Exigencia de</w:t>
      </w:r>
      <w:r>
        <w:rPr>
          <w:b/>
          <w:spacing w:val="-1"/>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4"/>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4"/>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4"/>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4"/>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14"/>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4"/>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even" r:id="rId78"/>
          <w:footerReference w:type="even" r:id="rId79"/>
          <w:pgSz w:w="12240" w:h="15840"/>
          <w:pgMar w:header="723" w:footer="872" w:top="940" w:bottom="1060" w:left="0" w:right="0"/>
          <w:pgNumType w:start="24"/>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5335">
            <wp:simplePos x="0" y="0"/>
            <wp:positionH relativeFrom="page">
              <wp:posOffset>-3175</wp:posOffset>
            </wp:positionH>
            <wp:positionV relativeFrom="paragraph">
              <wp:posOffset>85137</wp:posOffset>
            </wp:positionV>
            <wp:extent cx="7778750" cy="485775"/>
            <wp:effectExtent l="0" t="0" r="0" b="0"/>
            <wp:wrapNone/>
            <wp:docPr id="79" name="image41.png" descr=""/>
            <wp:cNvGraphicFramePr>
              <a:graphicFrameLocks noChangeAspect="1"/>
            </wp:cNvGraphicFramePr>
            <a:graphic>
              <a:graphicData uri="http://schemas.openxmlformats.org/drawingml/2006/picture">
                <pic:pic>
                  <pic:nvPicPr>
                    <pic:cNvPr id="80" name="image41.png"/>
                    <pic:cNvPicPr/>
                  </pic:nvPicPr>
                  <pic:blipFill>
                    <a:blip r:embed="rId82"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696">
            <wp:simplePos x="0" y="0"/>
            <wp:positionH relativeFrom="page">
              <wp:posOffset>2643504</wp:posOffset>
            </wp:positionH>
            <wp:positionV relativeFrom="paragraph">
              <wp:posOffset>111927</wp:posOffset>
            </wp:positionV>
            <wp:extent cx="2069862" cy="1859756"/>
            <wp:effectExtent l="0" t="0" r="0" b="0"/>
            <wp:wrapTopAndBottom/>
            <wp:docPr id="81" name="image42.jpeg" descr=""/>
            <wp:cNvGraphicFramePr>
              <a:graphicFrameLocks noChangeAspect="1"/>
            </wp:cNvGraphicFramePr>
            <a:graphic>
              <a:graphicData uri="http://schemas.openxmlformats.org/drawingml/2006/picture">
                <pic:pic>
                  <pic:nvPicPr>
                    <pic:cNvPr id="82" name="image42.jpeg"/>
                    <pic:cNvPicPr/>
                  </pic:nvPicPr>
                  <pic:blipFill>
                    <a:blip r:embed="rId83"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spacing w:line="276" w:lineRule="auto" w:before="92"/>
        <w:ind w:left="1721" w:right="1732" w:firstLine="0"/>
        <w:jc w:val="center"/>
        <w:rPr>
          <w:sz w:val="24"/>
        </w:rPr>
      </w:pPr>
      <w:r>
        <w:rPr>
          <w:sz w:val="24"/>
        </w:rPr>
        <w:t>La publicación de un artículo científico, revisiones bibliográficas, etc. Contribuye al desarrollo de la sociedad y a que otros investigadores acorten sus tiempos de investigación.</w:t>
      </w:r>
    </w:p>
    <w:p>
      <w:pPr>
        <w:spacing w:line="448" w:lineRule="auto" w:before="203"/>
        <w:ind w:left="2776" w:right="2784"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spacing w:before="6"/>
        <w:ind w:left="2439" w:right="1732" w:firstLine="0"/>
        <w:jc w:val="center"/>
        <w:rPr>
          <w:sz w:val="24"/>
        </w:rPr>
      </w:pPr>
      <w:r>
        <w:rPr>
          <w:sz w:val="24"/>
        </w:rPr>
        <w:t>E-mail: </w:t>
      </w:r>
      <w:hyperlink r:id="rId25">
        <w:r>
          <w:rPr>
            <w:sz w:val="24"/>
          </w:rPr>
          <w:t>revistamedicasinergia@gmail.com</w:t>
        </w:r>
      </w:hyperlink>
    </w:p>
    <w:p>
      <w:pPr>
        <w:spacing w:after="0"/>
        <w:jc w:val="center"/>
        <w:rPr>
          <w:sz w:val="24"/>
        </w:rPr>
        <w:sectPr>
          <w:headerReference w:type="default" r:id="rId80"/>
          <w:footerReference w:type="default" r:id="rId81"/>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40096"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86" o:title=""/>
            </v:shape>
            <v:shape style="position:absolute;left:-5;top:2945;width:12214;height:175" type="#_x0000_t75" stroked="false">
              <v:imagedata r:id="rId87" o:title=""/>
            </v:shape>
            <w10:wrap type="none"/>
          </v:group>
        </w:pict>
      </w:r>
      <w:r>
        <w:rPr>
          <w:rFonts w:ascii="Calibri"/>
          <w:color w:val="5B9BD4"/>
          <w:sz w:val="96"/>
        </w:rPr>
        <w:t>Indice</w:t>
      </w:r>
    </w:p>
    <w:p>
      <w:pPr>
        <w:pStyle w:val="BodyText"/>
        <w:spacing w:before="8"/>
        <w:rPr>
          <w:rFonts w:ascii="Calibri"/>
          <w:sz w:val="96"/>
        </w:rPr>
      </w:pPr>
    </w:p>
    <w:p>
      <w:pPr>
        <w:spacing w:before="0"/>
        <w:ind w:left="1700" w:right="0" w:firstLine="0"/>
        <w:jc w:val="left"/>
        <w:rPr>
          <w:b/>
          <w:sz w:val="28"/>
        </w:rPr>
      </w:pPr>
      <w:r>
        <w:rPr>
          <w:b/>
          <w:sz w:val="28"/>
        </w:rPr>
        <w:t>REVISIONES BIBLIOGRAFICAS</w:t>
      </w:r>
    </w:p>
    <w:p>
      <w:pPr>
        <w:pStyle w:val="BodyText"/>
        <w:rPr>
          <w:b/>
          <w:sz w:val="30"/>
        </w:rPr>
      </w:pPr>
    </w:p>
    <w:p>
      <w:pPr>
        <w:pStyle w:val="BodyText"/>
        <w:rPr>
          <w:b/>
          <w:sz w:val="30"/>
        </w:rPr>
      </w:pPr>
    </w:p>
    <w:p>
      <w:pPr>
        <w:spacing w:before="197"/>
        <w:ind w:left="1700" w:right="0" w:firstLine="0"/>
        <w:jc w:val="left"/>
        <w:rPr>
          <w:b/>
          <w:sz w:val="24"/>
        </w:rPr>
      </w:pPr>
      <w:r>
        <w:rPr>
          <w:b/>
          <w:sz w:val="24"/>
        </w:rPr>
        <w:t>AREA DE MEDICINA INTERNA</w:t>
      </w:r>
    </w:p>
    <w:p>
      <w:pPr>
        <w:pStyle w:val="BodyText"/>
        <w:spacing w:before="7"/>
        <w:rPr>
          <w:b/>
          <w:sz w:val="24"/>
        </w:rPr>
      </w:pPr>
    </w:p>
    <w:p>
      <w:pPr>
        <w:spacing w:before="0"/>
        <w:ind w:left="1700" w:right="0" w:firstLine="0"/>
        <w:jc w:val="left"/>
        <w:rPr>
          <w:sz w:val="24"/>
        </w:rPr>
      </w:pPr>
      <w:r>
        <w:rPr>
          <w:sz w:val="24"/>
        </w:rPr>
        <w:t>Nuevos tratamientos de anticoagulación en fibrilación atrial</w:t>
      </w:r>
    </w:p>
    <w:sdt>
      <w:sdtPr>
        <w:docPartObj>
          <w:docPartGallery w:val="Table of Contents"/>
          <w:docPartUnique/>
        </w:docPartObj>
      </w:sdtPr>
      <w:sdtEndPr/>
      <w:sdtContent>
        <w:p>
          <w:pPr>
            <w:pStyle w:val="TOC3"/>
            <w:tabs>
              <w:tab w:pos="10065" w:val="right" w:leader="dot"/>
            </w:tabs>
            <w:spacing w:before="38"/>
            <w:rPr>
              <w:i w:val="0"/>
              <w:sz w:val="22"/>
            </w:rPr>
          </w:pPr>
          <w:r>
            <w:rPr>
              <w:i/>
            </w:rPr>
            <w:t>Randall</w:t>
          </w:r>
          <w:r>
            <w:rPr>
              <w:i/>
              <w:spacing w:val="-2"/>
            </w:rPr>
            <w:t> </w:t>
          </w:r>
          <w:r>
            <w:rPr>
              <w:i/>
            </w:rPr>
            <w:t>Quirós</w:t>
          </w:r>
          <w:r>
            <w:rPr>
              <w:i/>
              <w:spacing w:val="-1"/>
            </w:rPr>
            <w:t> </w:t>
          </w:r>
          <w:r>
            <w:rPr>
              <w:i/>
            </w:rPr>
            <w:t>Fallas</w:t>
            <w:tab/>
          </w:r>
          <w:r>
            <w:rPr>
              <w:i w:val="0"/>
              <w:sz w:val="22"/>
            </w:rPr>
            <w:t>3</w:t>
          </w:r>
        </w:p>
        <w:p>
          <w:pPr>
            <w:pStyle w:val="TOC1"/>
            <w:spacing w:before="912"/>
          </w:pPr>
          <w:r>
            <w:rPr/>
            <w:t>AREA DE CIRUGIA</w:t>
          </w:r>
        </w:p>
        <w:p>
          <w:pPr>
            <w:pStyle w:val="TOC2"/>
          </w:pPr>
          <w:r>
            <w:rPr/>
            <w:t>Fracturas del extremo proximal del fémur</w:t>
          </w:r>
        </w:p>
        <w:p>
          <w:pPr>
            <w:pStyle w:val="TOC3"/>
            <w:tabs>
              <w:tab w:pos="10033" w:val="right" w:leader="dot"/>
            </w:tabs>
            <w:spacing w:before="42"/>
            <w:rPr>
              <w:i w:val="0"/>
              <w:sz w:val="22"/>
            </w:rPr>
          </w:pPr>
          <w:r>
            <w:rPr>
              <w:i/>
            </w:rPr>
            <w:t>María Fernanda</w:t>
          </w:r>
          <w:r>
            <w:rPr>
              <w:i/>
              <w:spacing w:val="-4"/>
            </w:rPr>
            <w:t> </w:t>
          </w:r>
          <w:r>
            <w:rPr>
              <w:i/>
            </w:rPr>
            <w:t>Bolaños</w:t>
          </w:r>
          <w:r>
            <w:rPr>
              <w:i/>
              <w:spacing w:val="-1"/>
            </w:rPr>
            <w:t> </w:t>
          </w:r>
          <w:r>
            <w:rPr>
              <w:i/>
            </w:rPr>
            <w:t>Solís</w:t>
            <w:tab/>
          </w:r>
          <w:r>
            <w:rPr>
              <w:i w:val="0"/>
              <w:sz w:val="22"/>
            </w:rPr>
            <w:t>8</w:t>
          </w:r>
        </w:p>
        <w:p>
          <w:pPr>
            <w:pStyle w:val="TOC1"/>
          </w:pPr>
          <w:r>
            <w:rPr/>
            <w:t>AREA DE GINECOLOGIA Y OBSTETRICIA</w:t>
          </w:r>
        </w:p>
        <w:p>
          <w:pPr>
            <w:pStyle w:val="TOC2"/>
            <w:spacing w:before="287"/>
          </w:pPr>
          <w:hyperlink w:history="true" w:anchor="_TOC_250000">
            <w:r>
              <w:rPr/>
              <w:t>Estados hipertensivos del embarazo</w:t>
            </w:r>
          </w:hyperlink>
        </w:p>
        <w:p>
          <w:pPr>
            <w:pStyle w:val="TOC3"/>
            <w:tabs>
              <w:tab w:pos="10046" w:val="right" w:leader="dot"/>
            </w:tabs>
            <w:spacing w:before="34"/>
            <w:rPr>
              <w:i w:val="0"/>
              <w:sz w:val="22"/>
            </w:rPr>
          </w:pPr>
          <w:r>
            <w:rPr>
              <w:i/>
            </w:rPr>
            <w:t>Leidy</w:t>
          </w:r>
          <w:r>
            <w:rPr>
              <w:i/>
              <w:spacing w:val="-1"/>
            </w:rPr>
            <w:t> </w:t>
          </w:r>
          <w:r>
            <w:rPr>
              <w:i/>
            </w:rPr>
            <w:t>Vásquez</w:t>
          </w:r>
          <w:r>
            <w:rPr>
              <w:i/>
              <w:spacing w:val="-5"/>
            </w:rPr>
            <w:t> </w:t>
          </w:r>
          <w:r>
            <w:rPr>
              <w:i/>
            </w:rPr>
            <w:t>Valerio</w:t>
            <w:tab/>
          </w:r>
          <w:r>
            <w:rPr>
              <w:i w:val="0"/>
              <w:sz w:val="22"/>
            </w:rPr>
            <w:t>12</w:t>
          </w:r>
        </w:p>
        <w:p>
          <w:pPr>
            <w:pStyle w:val="TOC2"/>
            <w:spacing w:line="276" w:lineRule="exact" w:before="507"/>
          </w:pPr>
          <w:r>
            <w:rPr/>
            <w:t>Anticonceptivo oral</w:t>
          </w:r>
        </w:p>
        <w:p>
          <w:pPr>
            <w:pStyle w:val="TOC3"/>
            <w:tabs>
              <w:tab w:pos="10094" w:val="right" w:leader="dot"/>
            </w:tabs>
            <w:spacing w:line="253" w:lineRule="exact"/>
            <w:rPr>
              <w:i w:val="0"/>
              <w:sz w:val="22"/>
            </w:rPr>
          </w:pPr>
          <w:r>
            <w:rPr>
              <w:i/>
            </w:rPr>
            <w:t>Andrés</w:t>
          </w:r>
          <w:r>
            <w:rPr>
              <w:i/>
              <w:spacing w:val="-1"/>
            </w:rPr>
            <w:t> </w:t>
          </w:r>
          <w:r>
            <w:rPr>
              <w:i/>
            </w:rPr>
            <w:t>Calderón</w:t>
          </w:r>
          <w:r>
            <w:rPr>
              <w:i/>
              <w:spacing w:val="-1"/>
            </w:rPr>
            <w:t> </w:t>
          </w:r>
          <w:r>
            <w:rPr>
              <w:i/>
            </w:rPr>
            <w:t>Obando</w:t>
            <w:tab/>
          </w:r>
          <w:r>
            <w:rPr>
              <w:i w:val="0"/>
              <w:sz w:val="22"/>
            </w:rPr>
            <w:t>16</w:t>
          </w:r>
        </w:p>
      </w:sdtContent>
    </w:sdt>
    <w:p>
      <w:pPr>
        <w:pStyle w:val="BodyText"/>
        <w:rPr>
          <w:sz w:val="24"/>
        </w:rPr>
      </w:pPr>
    </w:p>
    <w:p>
      <w:pPr>
        <w:pStyle w:val="BodyText"/>
        <w:rPr>
          <w:sz w:val="24"/>
        </w:rPr>
      </w:pPr>
    </w:p>
    <w:p>
      <w:pPr>
        <w:pStyle w:val="BodyText"/>
        <w:rPr>
          <w:sz w:val="24"/>
        </w:rPr>
      </w:pPr>
    </w:p>
    <w:p>
      <w:pPr>
        <w:pStyle w:val="BodyText"/>
        <w:spacing w:before="1"/>
        <w:rPr>
          <w:sz w:val="24"/>
        </w:rPr>
      </w:pPr>
    </w:p>
    <w:p>
      <w:pPr>
        <w:tabs>
          <w:tab w:pos="9849" w:val="left" w:leader="dot"/>
        </w:tabs>
        <w:spacing w:before="0"/>
        <w:ind w:left="1700" w:right="0" w:firstLine="0"/>
        <w:jc w:val="left"/>
        <w:rPr>
          <w:sz w:val="22"/>
        </w:rPr>
      </w:pPr>
      <w:r>
        <w:rPr>
          <w:sz w:val="24"/>
        </w:rPr>
        <w:t>Instrucciones de</w:t>
      </w:r>
      <w:r>
        <w:rPr>
          <w:spacing w:val="-6"/>
          <w:sz w:val="24"/>
        </w:rPr>
        <w:t> </w:t>
      </w:r>
      <w:r>
        <w:rPr>
          <w:sz w:val="24"/>
        </w:rPr>
        <w:t>publicación</w:t>
        <w:tab/>
      </w:r>
      <w:r>
        <w:rPr>
          <w:sz w:val="22"/>
        </w:rPr>
        <w:t>22</w:t>
      </w:r>
    </w:p>
    <w:sectPr>
      <w:headerReference w:type="even" r:id="rId84"/>
      <w:footerReference w:type="even" r:id="rId85"/>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4639">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4663">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076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0744"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072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839">
          <wp:simplePos x="0" y="0"/>
          <wp:positionH relativeFrom="page">
            <wp:posOffset>916939</wp:posOffset>
          </wp:positionH>
          <wp:positionV relativeFrom="page">
            <wp:posOffset>9441180</wp:posOffset>
          </wp:positionV>
          <wp:extent cx="5910580" cy="203200"/>
          <wp:effectExtent l="0" t="0" r="0" b="0"/>
          <wp:wrapNone/>
          <wp:docPr id="47" name="image28.png" descr=""/>
          <wp:cNvGraphicFramePr>
            <a:graphicFrameLocks noChangeAspect="1"/>
          </wp:cNvGraphicFramePr>
          <a:graphic>
            <a:graphicData uri="http://schemas.openxmlformats.org/drawingml/2006/picture">
              <pic:pic>
                <pic:nvPicPr>
                  <pic:cNvPr id="4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5863">
          <wp:simplePos x="0" y="0"/>
          <wp:positionH relativeFrom="page">
            <wp:posOffset>485140</wp:posOffset>
          </wp:positionH>
          <wp:positionV relativeFrom="page">
            <wp:posOffset>9390380</wp:posOffset>
          </wp:positionV>
          <wp:extent cx="419100" cy="190500"/>
          <wp:effectExtent l="0" t="0" r="0" b="0"/>
          <wp:wrapNone/>
          <wp:docPr id="49" name="image29.png" descr=""/>
          <wp:cNvGraphicFramePr>
            <a:graphicFrameLocks noChangeAspect="1"/>
          </wp:cNvGraphicFramePr>
          <a:graphic>
            <a:graphicData uri="http://schemas.openxmlformats.org/drawingml/2006/picture">
              <pic:pic>
                <pic:nvPicPr>
                  <pic:cNvPr id="5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56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54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52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983">
          <wp:simplePos x="0" y="0"/>
          <wp:positionH relativeFrom="page">
            <wp:posOffset>916939</wp:posOffset>
          </wp:positionH>
          <wp:positionV relativeFrom="page">
            <wp:posOffset>9441180</wp:posOffset>
          </wp:positionV>
          <wp:extent cx="5890260" cy="203200"/>
          <wp:effectExtent l="0" t="0" r="0" b="0"/>
          <wp:wrapNone/>
          <wp:docPr id="51" name="image30.png" descr=""/>
          <wp:cNvGraphicFramePr>
            <a:graphicFrameLocks noChangeAspect="1"/>
          </wp:cNvGraphicFramePr>
          <a:graphic>
            <a:graphicData uri="http://schemas.openxmlformats.org/drawingml/2006/picture">
              <pic:pic>
                <pic:nvPicPr>
                  <pic:cNvPr id="5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007">
          <wp:simplePos x="0" y="0"/>
          <wp:positionH relativeFrom="page">
            <wp:posOffset>6870700</wp:posOffset>
          </wp:positionH>
          <wp:positionV relativeFrom="page">
            <wp:posOffset>9385300</wp:posOffset>
          </wp:positionV>
          <wp:extent cx="419100" cy="190500"/>
          <wp:effectExtent l="0" t="0" r="0" b="0"/>
          <wp:wrapNone/>
          <wp:docPr id="53" name="image29.png" descr=""/>
          <wp:cNvGraphicFramePr>
            <a:graphicFrameLocks noChangeAspect="1"/>
          </wp:cNvGraphicFramePr>
          <a:graphic>
            <a:graphicData uri="http://schemas.openxmlformats.org/drawingml/2006/picture">
              <pic:pic>
                <pic:nvPicPr>
                  <pic:cNvPr id="5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42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40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39376"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103">
          <wp:simplePos x="0" y="0"/>
          <wp:positionH relativeFrom="page">
            <wp:posOffset>916939</wp:posOffset>
          </wp:positionH>
          <wp:positionV relativeFrom="page">
            <wp:posOffset>9441180</wp:posOffset>
          </wp:positionV>
          <wp:extent cx="5910580" cy="203200"/>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127">
          <wp:simplePos x="0" y="0"/>
          <wp:positionH relativeFrom="page">
            <wp:posOffset>485140</wp:posOffset>
          </wp:positionH>
          <wp:positionV relativeFrom="page">
            <wp:posOffset>9390380</wp:posOffset>
          </wp:positionV>
          <wp:extent cx="419100" cy="190500"/>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30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28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25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271">
          <wp:simplePos x="0" y="0"/>
          <wp:positionH relativeFrom="page">
            <wp:posOffset>916939</wp:posOffset>
          </wp:positionH>
          <wp:positionV relativeFrom="page">
            <wp:posOffset>9441180</wp:posOffset>
          </wp:positionV>
          <wp:extent cx="5890260" cy="203200"/>
          <wp:effectExtent l="0" t="0" r="0" b="0"/>
          <wp:wrapNone/>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295">
          <wp:simplePos x="0" y="0"/>
          <wp:positionH relativeFrom="page">
            <wp:posOffset>6870700</wp:posOffset>
          </wp:positionH>
          <wp:positionV relativeFrom="page">
            <wp:posOffset>9385300</wp:posOffset>
          </wp:positionV>
          <wp:extent cx="419100" cy="190500"/>
          <wp:effectExtent l="0" t="0" r="0" b="0"/>
          <wp:wrapNone/>
          <wp:docPr id="61" name="image29.png" descr=""/>
          <wp:cNvGraphicFramePr>
            <a:graphicFrameLocks noChangeAspect="1"/>
          </wp:cNvGraphicFramePr>
          <a:graphic>
            <a:graphicData uri="http://schemas.openxmlformats.org/drawingml/2006/picture">
              <pic:pic>
                <pic:nvPicPr>
                  <pic:cNvPr id="6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13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11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17</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39088"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391">
          <wp:simplePos x="0" y="0"/>
          <wp:positionH relativeFrom="page">
            <wp:posOffset>916939</wp:posOffset>
          </wp:positionH>
          <wp:positionV relativeFrom="page">
            <wp:posOffset>9441180</wp:posOffset>
          </wp:positionV>
          <wp:extent cx="5910580" cy="203200"/>
          <wp:effectExtent l="0" t="0" r="0" b="0"/>
          <wp:wrapNone/>
          <wp:docPr id="63" name="image28.png" descr=""/>
          <wp:cNvGraphicFramePr>
            <a:graphicFrameLocks noChangeAspect="1"/>
          </wp:cNvGraphicFramePr>
          <a:graphic>
            <a:graphicData uri="http://schemas.openxmlformats.org/drawingml/2006/picture">
              <pic:pic>
                <pic:nvPicPr>
                  <pic:cNvPr id="6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415">
          <wp:simplePos x="0" y="0"/>
          <wp:positionH relativeFrom="page">
            <wp:posOffset>485140</wp:posOffset>
          </wp:positionH>
          <wp:positionV relativeFrom="page">
            <wp:posOffset>9390380</wp:posOffset>
          </wp:positionV>
          <wp:extent cx="419100" cy="190500"/>
          <wp:effectExtent l="0" t="0" r="0" b="0"/>
          <wp:wrapNone/>
          <wp:docPr id="65" name="image29.png" descr=""/>
          <wp:cNvGraphicFramePr>
            <a:graphicFrameLocks noChangeAspect="1"/>
          </wp:cNvGraphicFramePr>
          <a:graphic>
            <a:graphicData uri="http://schemas.openxmlformats.org/drawingml/2006/picture">
              <pic:pic>
                <pic:nvPicPr>
                  <pic:cNvPr id="6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01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899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896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511">
          <wp:simplePos x="0" y="0"/>
          <wp:positionH relativeFrom="page">
            <wp:posOffset>916939</wp:posOffset>
          </wp:positionH>
          <wp:positionV relativeFrom="page">
            <wp:posOffset>9441180</wp:posOffset>
          </wp:positionV>
          <wp:extent cx="5910580" cy="203200"/>
          <wp:effectExtent l="0" t="0" r="0" b="0"/>
          <wp:wrapNone/>
          <wp:docPr id="67" name="image28.png" descr=""/>
          <wp:cNvGraphicFramePr>
            <a:graphicFrameLocks noChangeAspect="1"/>
          </wp:cNvGraphicFramePr>
          <a:graphic>
            <a:graphicData uri="http://schemas.openxmlformats.org/drawingml/2006/picture">
              <pic:pic>
                <pic:nvPicPr>
                  <pic:cNvPr id="6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535">
          <wp:simplePos x="0" y="0"/>
          <wp:positionH relativeFrom="page">
            <wp:posOffset>485140</wp:posOffset>
          </wp:positionH>
          <wp:positionV relativeFrom="page">
            <wp:posOffset>9390380</wp:posOffset>
          </wp:positionV>
          <wp:extent cx="419100" cy="190500"/>
          <wp:effectExtent l="0" t="0" r="0" b="0"/>
          <wp:wrapNone/>
          <wp:docPr id="69" name="image29.png" descr=""/>
          <wp:cNvGraphicFramePr>
            <a:graphicFrameLocks noChangeAspect="1"/>
          </wp:cNvGraphicFramePr>
          <a:graphic>
            <a:graphicData uri="http://schemas.openxmlformats.org/drawingml/2006/picture">
              <pic:pic>
                <pic:nvPicPr>
                  <pic:cNvPr id="7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889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887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884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631">
          <wp:simplePos x="0" y="0"/>
          <wp:positionH relativeFrom="page">
            <wp:posOffset>916939</wp:posOffset>
          </wp:positionH>
          <wp:positionV relativeFrom="page">
            <wp:posOffset>9441180</wp:posOffset>
          </wp:positionV>
          <wp:extent cx="5890260" cy="203200"/>
          <wp:effectExtent l="0" t="0" r="0" b="0"/>
          <wp:wrapNone/>
          <wp:docPr id="71" name="image30.png" descr=""/>
          <wp:cNvGraphicFramePr>
            <a:graphicFrameLocks noChangeAspect="1"/>
          </wp:cNvGraphicFramePr>
          <a:graphic>
            <a:graphicData uri="http://schemas.openxmlformats.org/drawingml/2006/picture">
              <pic:pic>
                <pic:nvPicPr>
                  <pic:cNvPr id="72"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6655">
          <wp:simplePos x="0" y="0"/>
          <wp:positionH relativeFrom="page">
            <wp:posOffset>6870700</wp:posOffset>
          </wp:positionH>
          <wp:positionV relativeFrom="page">
            <wp:posOffset>9385300</wp:posOffset>
          </wp:positionV>
          <wp:extent cx="419100" cy="190500"/>
          <wp:effectExtent l="0" t="0" r="0" b="0"/>
          <wp:wrapNone/>
          <wp:docPr id="73" name="image29.png" descr=""/>
          <wp:cNvGraphicFramePr>
            <a:graphicFrameLocks noChangeAspect="1"/>
          </wp:cNvGraphicFramePr>
          <a:graphic>
            <a:graphicData uri="http://schemas.openxmlformats.org/drawingml/2006/picture">
              <pic:pic>
                <pic:nvPicPr>
                  <pic:cNvPr id="7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877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875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38728"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799">
          <wp:simplePos x="0" y="0"/>
          <wp:positionH relativeFrom="page">
            <wp:posOffset>916939</wp:posOffset>
          </wp:positionH>
          <wp:positionV relativeFrom="page">
            <wp:posOffset>9441180</wp:posOffset>
          </wp:positionV>
          <wp:extent cx="5910580" cy="203200"/>
          <wp:effectExtent l="0" t="0" r="0" b="0"/>
          <wp:wrapNone/>
          <wp:docPr id="75" name="image28.png" descr=""/>
          <wp:cNvGraphicFramePr>
            <a:graphicFrameLocks noChangeAspect="1"/>
          </wp:cNvGraphicFramePr>
          <a:graphic>
            <a:graphicData uri="http://schemas.openxmlformats.org/drawingml/2006/picture">
              <pic:pic>
                <pic:nvPicPr>
                  <pic:cNvPr id="7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6823">
          <wp:simplePos x="0" y="0"/>
          <wp:positionH relativeFrom="page">
            <wp:posOffset>485140</wp:posOffset>
          </wp:positionH>
          <wp:positionV relativeFrom="page">
            <wp:posOffset>9390380</wp:posOffset>
          </wp:positionV>
          <wp:extent cx="419100" cy="190500"/>
          <wp:effectExtent l="0" t="0" r="0" b="0"/>
          <wp:wrapNone/>
          <wp:docPr id="77" name="image29.png" descr=""/>
          <wp:cNvGraphicFramePr>
            <a:graphicFrameLocks noChangeAspect="1"/>
          </wp:cNvGraphicFramePr>
          <a:graphic>
            <a:graphicData uri="http://schemas.openxmlformats.org/drawingml/2006/picture">
              <pic:pic>
                <pic:nvPicPr>
                  <pic:cNvPr id="7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860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858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856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4759">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4783">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064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0624"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40600"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4927">
          <wp:simplePos x="0" y="0"/>
          <wp:positionH relativeFrom="page">
            <wp:posOffset>916939</wp:posOffset>
          </wp:positionH>
          <wp:positionV relativeFrom="page">
            <wp:posOffset>9441180</wp:posOffset>
          </wp:positionV>
          <wp:extent cx="5910580" cy="203200"/>
          <wp:effectExtent l="0" t="0" r="0" b="0"/>
          <wp:wrapNone/>
          <wp:docPr id="17" name="image28.png" descr=""/>
          <wp:cNvGraphicFramePr>
            <a:graphicFrameLocks noChangeAspect="1"/>
          </wp:cNvGraphicFramePr>
          <a:graphic>
            <a:graphicData uri="http://schemas.openxmlformats.org/drawingml/2006/picture">
              <pic:pic>
                <pic:nvPicPr>
                  <pic:cNvPr id="1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4951">
          <wp:simplePos x="0" y="0"/>
          <wp:positionH relativeFrom="page">
            <wp:posOffset>485140</wp:posOffset>
          </wp:positionH>
          <wp:positionV relativeFrom="page">
            <wp:posOffset>9390380</wp:posOffset>
          </wp:positionV>
          <wp:extent cx="419100" cy="1905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048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0456"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6</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043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047">
          <wp:simplePos x="0" y="0"/>
          <wp:positionH relativeFrom="page">
            <wp:posOffset>751840</wp:posOffset>
          </wp:positionH>
          <wp:positionV relativeFrom="page">
            <wp:posOffset>9453880</wp:posOffset>
          </wp:positionV>
          <wp:extent cx="5890260" cy="200660"/>
          <wp:effectExtent l="0" t="0" r="0" b="0"/>
          <wp:wrapNone/>
          <wp:docPr id="21" name="image34.png" descr=""/>
          <wp:cNvGraphicFramePr>
            <a:graphicFrameLocks noChangeAspect="1"/>
          </wp:cNvGraphicFramePr>
          <a:graphic>
            <a:graphicData uri="http://schemas.openxmlformats.org/drawingml/2006/picture">
              <pic:pic>
                <pic:nvPicPr>
                  <pic:cNvPr id="22" name="image34.png"/>
                  <pic:cNvPicPr/>
                </pic:nvPicPr>
                <pic:blipFill>
                  <a:blip r:embed="rId1" cstate="print"/>
                  <a:stretch>
                    <a:fillRect/>
                  </a:stretch>
                </pic:blipFill>
                <pic:spPr>
                  <a:xfrm>
                    <a:off x="0" y="0"/>
                    <a:ext cx="5890260" cy="200660"/>
                  </a:xfrm>
                  <a:prstGeom prst="rect">
                    <a:avLst/>
                  </a:prstGeom>
                </pic:spPr>
              </pic:pic>
            </a:graphicData>
          </a:graphic>
        </wp:anchor>
      </w:drawing>
    </w:r>
    <w:r>
      <w:rPr/>
      <w:drawing>
        <wp:anchor distT="0" distB="0" distL="0" distR="0" allowOverlap="1" layoutInCell="1" locked="0" behindDoc="1" simplePos="0" relativeHeight="268395071">
          <wp:simplePos x="0" y="0"/>
          <wp:positionH relativeFrom="page">
            <wp:posOffset>6705600</wp:posOffset>
          </wp:positionH>
          <wp:positionV relativeFrom="page">
            <wp:posOffset>9400540</wp:posOffset>
          </wp:positionV>
          <wp:extent cx="419100" cy="190500"/>
          <wp:effectExtent l="0" t="0" r="0" b="0"/>
          <wp:wrapNone/>
          <wp:docPr id="23" name="image29.png" descr=""/>
          <wp:cNvGraphicFramePr>
            <a:graphicFrameLocks noChangeAspect="1"/>
          </wp:cNvGraphicFramePr>
          <a:graphic>
            <a:graphicData uri="http://schemas.openxmlformats.org/drawingml/2006/picture">
              <pic:pic>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59.938pt;margin-top:734.820129pt;width:465.3pt;height:2.5pt;mso-position-horizontal-relative:page;mso-position-vertical-relative:page;z-index:-40360" coordorigin="1199,14696" coordsize="9306,50">
          <v:rect style="position:absolute;left:1208;top:14706;width:9286;height:30" filled="true" fillcolor="#3366cc" stroked="false">
            <v:fill type="solid"/>
          </v:rect>
          <v:rect style="position:absolute;left:1198;top:14696;width:9306;height:50" filled="true" fillcolor="#006fc0" stroked="false">
            <v:fill type="solid"/>
          </v:rect>
          <w10:wrap type="none"/>
        </v:group>
      </w:pict>
    </w:r>
    <w:r>
      <w:rPr/>
      <w:pict>
        <v:shape style="position:absolute;margin-left:538.5pt;margin-top:740.900024pt;width:39pt;height:17.2pt;mso-position-horizontal-relative:page;mso-position-vertical-relative:page;z-index:-4033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40312"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167">
          <wp:simplePos x="0" y="0"/>
          <wp:positionH relativeFrom="page">
            <wp:posOffset>916939</wp:posOffset>
          </wp:positionH>
          <wp:positionV relativeFrom="page">
            <wp:posOffset>9441180</wp:posOffset>
          </wp:positionV>
          <wp:extent cx="5910580" cy="203200"/>
          <wp:effectExtent l="0" t="0" r="0" b="0"/>
          <wp:wrapNone/>
          <wp:docPr id="25" name="image28.png" descr=""/>
          <wp:cNvGraphicFramePr>
            <a:graphicFrameLocks noChangeAspect="1"/>
          </wp:cNvGraphicFramePr>
          <a:graphic>
            <a:graphicData uri="http://schemas.openxmlformats.org/drawingml/2006/picture">
              <pic:pic>
                <pic:nvPicPr>
                  <pic:cNvPr id="26"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5191">
          <wp:simplePos x="0" y="0"/>
          <wp:positionH relativeFrom="page">
            <wp:posOffset>485140</wp:posOffset>
          </wp:positionH>
          <wp:positionV relativeFrom="page">
            <wp:posOffset>9390380</wp:posOffset>
          </wp:positionV>
          <wp:extent cx="419100" cy="190500"/>
          <wp:effectExtent l="0" t="0" r="0" b="0"/>
          <wp:wrapNone/>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4024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40216"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8</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4019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287">
          <wp:simplePos x="0" y="0"/>
          <wp:positionH relativeFrom="page">
            <wp:posOffset>916939</wp:posOffset>
          </wp:positionH>
          <wp:positionV relativeFrom="page">
            <wp:posOffset>9441180</wp:posOffset>
          </wp:positionV>
          <wp:extent cx="5890260" cy="203200"/>
          <wp:effectExtent l="0" t="0" r="0" b="0"/>
          <wp:wrapNone/>
          <wp:docPr id="29" name="image30.png" descr=""/>
          <wp:cNvGraphicFramePr>
            <a:graphicFrameLocks noChangeAspect="1"/>
          </wp:cNvGraphicFramePr>
          <a:graphic>
            <a:graphicData uri="http://schemas.openxmlformats.org/drawingml/2006/picture">
              <pic:pic>
                <pic:nvPicPr>
                  <pic:cNvPr id="30"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5311">
          <wp:simplePos x="0" y="0"/>
          <wp:positionH relativeFrom="page">
            <wp:posOffset>6870700</wp:posOffset>
          </wp:positionH>
          <wp:positionV relativeFrom="page">
            <wp:posOffset>9385300</wp:posOffset>
          </wp:positionV>
          <wp:extent cx="419100" cy="1905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4012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40096"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40072"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431">
          <wp:simplePos x="0" y="0"/>
          <wp:positionH relativeFrom="page">
            <wp:posOffset>916939</wp:posOffset>
          </wp:positionH>
          <wp:positionV relativeFrom="page">
            <wp:posOffset>9441180</wp:posOffset>
          </wp:positionV>
          <wp:extent cx="5910580" cy="203200"/>
          <wp:effectExtent l="0" t="0" r="0" b="0"/>
          <wp:wrapNone/>
          <wp:docPr id="33" name="image28.png" descr=""/>
          <wp:cNvGraphicFramePr>
            <a:graphicFrameLocks noChangeAspect="1"/>
          </wp:cNvGraphicFramePr>
          <a:graphic>
            <a:graphicData uri="http://schemas.openxmlformats.org/drawingml/2006/picture">
              <pic:pic>
                <pic:nvPicPr>
                  <pic:cNvPr id="34"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5455">
          <wp:simplePos x="0" y="0"/>
          <wp:positionH relativeFrom="page">
            <wp:posOffset>485140</wp:posOffset>
          </wp:positionH>
          <wp:positionV relativeFrom="page">
            <wp:posOffset>9390380</wp:posOffset>
          </wp:positionV>
          <wp:extent cx="419100" cy="190500"/>
          <wp:effectExtent l="0" t="0" r="0" b="0"/>
          <wp:wrapNone/>
          <wp:docPr id="35" name="image29.png" descr=""/>
          <wp:cNvGraphicFramePr>
            <a:graphicFrameLocks noChangeAspect="1"/>
          </wp:cNvGraphicFramePr>
          <a:graphic>
            <a:graphicData uri="http://schemas.openxmlformats.org/drawingml/2006/picture">
              <pic:pic>
                <pic:nvPicPr>
                  <pic:cNvPr id="3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997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995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992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551">
          <wp:simplePos x="0" y="0"/>
          <wp:positionH relativeFrom="page">
            <wp:posOffset>916939</wp:posOffset>
          </wp:positionH>
          <wp:positionV relativeFrom="page">
            <wp:posOffset>9441180</wp:posOffset>
          </wp:positionV>
          <wp:extent cx="5890260" cy="203200"/>
          <wp:effectExtent l="0" t="0" r="0" b="0"/>
          <wp:wrapNone/>
          <wp:docPr id="37" name="image30.png" descr=""/>
          <wp:cNvGraphicFramePr>
            <a:graphicFrameLocks noChangeAspect="1"/>
          </wp:cNvGraphicFramePr>
          <a:graphic>
            <a:graphicData uri="http://schemas.openxmlformats.org/drawingml/2006/picture">
              <pic:pic>
                <pic:nvPicPr>
                  <pic:cNvPr id="3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5575">
          <wp:simplePos x="0" y="0"/>
          <wp:positionH relativeFrom="page">
            <wp:posOffset>6870700</wp:posOffset>
          </wp:positionH>
          <wp:positionV relativeFrom="page">
            <wp:posOffset>9385300</wp:posOffset>
          </wp:positionV>
          <wp:extent cx="419100" cy="190500"/>
          <wp:effectExtent l="0" t="0" r="0" b="0"/>
          <wp:wrapNone/>
          <wp:docPr id="39" name="image29.png" descr=""/>
          <wp:cNvGraphicFramePr>
            <a:graphicFrameLocks noChangeAspect="1"/>
          </wp:cNvGraphicFramePr>
          <a:graphic>
            <a:graphicData uri="http://schemas.openxmlformats.org/drawingml/2006/picture">
              <pic:pic>
                <pic:nvPicPr>
                  <pic:cNvPr id="4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85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83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39808"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719">
          <wp:simplePos x="0" y="0"/>
          <wp:positionH relativeFrom="page">
            <wp:posOffset>916939</wp:posOffset>
          </wp:positionH>
          <wp:positionV relativeFrom="page">
            <wp:posOffset>9441180</wp:posOffset>
          </wp:positionV>
          <wp:extent cx="5890260" cy="203200"/>
          <wp:effectExtent l="0" t="0" r="0" b="0"/>
          <wp:wrapNone/>
          <wp:docPr id="43" name="image30.png" descr=""/>
          <wp:cNvGraphicFramePr>
            <a:graphicFrameLocks noChangeAspect="1"/>
          </wp:cNvGraphicFramePr>
          <a:graphic>
            <a:graphicData uri="http://schemas.openxmlformats.org/drawingml/2006/picture">
              <pic:pic>
                <pic:nvPicPr>
                  <pic:cNvPr id="4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5743">
          <wp:simplePos x="0" y="0"/>
          <wp:positionH relativeFrom="page">
            <wp:posOffset>6870700</wp:posOffset>
          </wp:positionH>
          <wp:positionV relativeFrom="page">
            <wp:posOffset>9385300</wp:posOffset>
          </wp:positionV>
          <wp:extent cx="419100" cy="190500"/>
          <wp:effectExtent l="0" t="0" r="0" b="0"/>
          <wp:wrapNone/>
          <wp:docPr id="45" name="image29.png" descr=""/>
          <wp:cNvGraphicFramePr>
            <a:graphicFrameLocks noChangeAspect="1"/>
          </wp:cNvGraphicFramePr>
          <a:graphic>
            <a:graphicData uri="http://schemas.openxmlformats.org/drawingml/2006/picture">
              <pic:pic>
                <pic:nvPicPr>
                  <pic:cNvPr id="4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968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966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13</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6.050003pt;margin-top:742.747253pt;width:236.15pt;height:13.2pt;mso-position-horizontal-relative:page;mso-position-vertical-relative:page;z-index:-39640" type="#_x0000_t202" filled="false" stroked="false">
          <v:textbox inset="0,0,0,0">
            <w:txbxContent>
              <w:p>
                <w:pPr>
                  <w:spacing w:before="13"/>
                  <w:ind w:left="20" w:right="0" w:firstLine="0"/>
                  <w:jc w:val="left"/>
                  <w:rPr>
                    <w:i/>
                    <w:sz w:val="20"/>
                  </w:rPr>
                </w:pPr>
                <w:r>
                  <w:rPr>
                    <w:i/>
                    <w:color w:val="2E5395"/>
                    <w:sz w:val="20"/>
                  </w:rPr>
                  <w:t>REVISTA MEDICA SINERGIA Vol 2 (3), Marzo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25002pt;margin-top:35.147266pt;width:465.85pt;height:13.2pt;mso-position-horizontal-relative:page;mso-position-vertical-relative:page;z-index:-40576" type="#_x0000_t202" filled="false" stroked="false">
          <v:textbox inset="0,0,0,0">
            <w:txbxContent>
              <w:p>
                <w:pPr>
                  <w:spacing w:before="13"/>
                  <w:ind w:left="20" w:right="0" w:firstLine="0"/>
                  <w:jc w:val="left"/>
                  <w:rPr>
                    <w:i/>
                    <w:sz w:val="20"/>
                  </w:rPr>
                </w:pPr>
                <w:r>
                  <w:rPr>
                    <w:i/>
                    <w:color w:val="2D74B5"/>
                    <w:sz w:val="20"/>
                  </w:rPr>
                  <w:t>NUEVOS TRATAMIENTOS DE ANTICOAGULACIÓN EN FIBRILACIÓN ATRIAL - Randall Quiroz Fallas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880005pt;margin-top:35.147266pt;width:323.2pt;height:13.2pt;mso-position-horizontal-relative:page;mso-position-vertical-relative:page;z-index:-39760" type="#_x0000_t202" filled="false" stroked="false">
          <v:textbox inset="0,0,0,0">
            <w:txbxContent>
              <w:p>
                <w:pPr>
                  <w:spacing w:before="13"/>
                  <w:ind w:left="20" w:right="0" w:firstLine="0"/>
                  <w:jc w:val="left"/>
                  <w:rPr>
                    <w:i/>
                    <w:sz w:val="20"/>
                  </w:rPr>
                </w:pPr>
                <w:r>
                  <w:rPr>
                    <w:i/>
                    <w:color w:val="2D74B5"/>
                    <w:sz w:val="20"/>
                  </w:rPr>
                  <w:t>ESTADOS HIPERTENSIVOS DEL EMBARAZO - Leidy Vásquez Valerio</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880005pt;margin-top:35.147266pt;width:323.2pt;height:13.2pt;mso-position-horizontal-relative:page;mso-position-vertical-relative:page;z-index:-39496" type="#_x0000_t202" filled="false" stroked="false">
          <v:textbox inset="0,0,0,0">
            <w:txbxContent>
              <w:p>
                <w:pPr>
                  <w:spacing w:before="13"/>
                  <w:ind w:left="20" w:right="0" w:firstLine="0"/>
                  <w:jc w:val="left"/>
                  <w:rPr>
                    <w:i/>
                    <w:sz w:val="20"/>
                  </w:rPr>
                </w:pPr>
                <w:r>
                  <w:rPr>
                    <w:i/>
                    <w:color w:val="2D74B5"/>
                    <w:sz w:val="20"/>
                  </w:rPr>
                  <w:t>ESTADOS HIPERTENSIVOS DEL EMBARAZO - Leidy Vásquez Valerio</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00012pt;margin-top:35.147266pt;width:243.3pt;height:13.2pt;mso-position-horizontal-relative:page;mso-position-vertical-relative:page;z-index:-39232" type="#_x0000_t202" filled="false" stroked="false">
          <v:textbox inset="0,0,0,0">
            <w:txbxContent>
              <w:p>
                <w:pPr>
                  <w:spacing w:before="13"/>
                  <w:ind w:left="20" w:right="0" w:firstLine="0"/>
                  <w:jc w:val="left"/>
                  <w:rPr>
                    <w:i/>
                    <w:sz w:val="20"/>
                  </w:rPr>
                </w:pPr>
                <w:r>
                  <w:rPr>
                    <w:i/>
                    <w:color w:val="2D74B5"/>
                    <w:sz w:val="20"/>
                  </w:rPr>
                  <w:t>ANTICONCEPTIVO ORAL - Andrés Calderón Obando</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700012pt;margin-top:35.147266pt;width:243.3pt;height:13.2pt;mso-position-horizontal-relative:page;mso-position-vertical-relative:page;z-index:-39208" type="#_x0000_t202" filled="false" stroked="false">
          <v:textbox inset="0,0,0,0">
            <w:txbxContent>
              <w:p>
                <w:pPr>
                  <w:spacing w:before="13"/>
                  <w:ind w:left="20" w:right="0" w:firstLine="0"/>
                  <w:jc w:val="left"/>
                  <w:rPr>
                    <w:i/>
                    <w:sz w:val="20"/>
                  </w:rPr>
                </w:pPr>
                <w:r>
                  <w:rPr>
                    <w:i/>
                    <w:color w:val="2D74B5"/>
                    <w:sz w:val="20"/>
                  </w:rPr>
                  <w:t>ANTICONCEPTIVO ORAL - Andrés Calderón Obando</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8704"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8680"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25002pt;margin-top:35.147266pt;width:465.85pt;height:13.2pt;mso-position-horizontal-relative:page;mso-position-vertical-relative:page;z-index:-40552" type="#_x0000_t202" filled="false" stroked="false">
          <v:textbox inset="0,0,0,0">
            <w:txbxContent>
              <w:p>
                <w:pPr>
                  <w:spacing w:before="13"/>
                  <w:ind w:left="20" w:right="0" w:firstLine="0"/>
                  <w:jc w:val="left"/>
                  <w:rPr>
                    <w:i/>
                    <w:sz w:val="20"/>
                  </w:rPr>
                </w:pPr>
                <w:r>
                  <w:rPr>
                    <w:i/>
                    <w:color w:val="2D74B5"/>
                    <w:sz w:val="20"/>
                  </w:rPr>
                  <w:t>NUEVOS TRATAMIENTOS DE ANTICOAGULACIÓN EN FIBRILACIÓN ATRIAL - Randall Quiroz Fallas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8.449997pt;margin-top:35.147266pt;width:392.75pt;height:13.2pt;mso-position-horizontal-relative:page;mso-position-vertical-relative:page;z-index:-40048" type="#_x0000_t202" filled="false" stroked="false">
          <v:textbox inset="0,0,0,0">
            <w:txbxContent>
              <w:p>
                <w:pPr>
                  <w:spacing w:before="13"/>
                  <w:ind w:left="20" w:right="0" w:firstLine="0"/>
                  <w:jc w:val="left"/>
                  <w:rPr>
                    <w:i/>
                    <w:sz w:val="20"/>
                  </w:rPr>
                </w:pPr>
                <w:r>
                  <w:rPr>
                    <w:i/>
                    <w:color w:val="2D74B5"/>
                    <w:sz w:val="20"/>
                  </w:rPr>
                  <w:t>FRACTURA DEL EXTREMO PROXIMAL DEL FEMUR - María Fernanda Bolaños Solís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8.449997pt;margin-top:35.147266pt;width:392.75pt;height:13.2pt;mso-position-horizontal-relative:page;mso-position-vertical-relative:page;z-index:-39784" type="#_x0000_t202" filled="false" stroked="false">
          <v:textbox inset="0,0,0,0">
            <w:txbxContent>
              <w:p>
                <w:pPr>
                  <w:spacing w:before="13"/>
                  <w:ind w:left="20" w:right="0" w:firstLine="0"/>
                  <w:jc w:val="left"/>
                  <w:rPr>
                    <w:i/>
                    <w:sz w:val="20"/>
                  </w:rPr>
                </w:pPr>
                <w:r>
                  <w:rPr>
                    <w:i/>
                    <w:color w:val="2D74B5"/>
                    <w:sz w:val="20"/>
                  </w:rPr>
                  <w:t>FRACTURA DEL EXTREMO PROXIMAL DEL FEMUR - María Fernanda Bolaños Solís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399" w:hanging="361"/>
        <w:jc w:val="left"/>
      </w:pPr>
      <w:rPr>
        <w:rFonts w:hint="default" w:ascii="Arial" w:hAnsi="Arial" w:eastAsia="Arial" w:cs="Arial"/>
        <w:spacing w:val="-26"/>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315" w:hanging="360"/>
      </w:pPr>
      <w:rPr>
        <w:rFonts w:hint="default"/>
      </w:rPr>
    </w:lvl>
    <w:lvl w:ilvl="3">
      <w:start w:val="0"/>
      <w:numFmt w:val="bullet"/>
      <w:lvlText w:val="•"/>
      <w:lvlJc w:val="left"/>
      <w:pPr>
        <w:ind w:left="2830" w:hanging="360"/>
      </w:pPr>
      <w:rPr>
        <w:rFonts w:hint="default"/>
      </w:rPr>
    </w:lvl>
    <w:lvl w:ilvl="4">
      <w:start w:val="0"/>
      <w:numFmt w:val="bullet"/>
      <w:lvlText w:val="•"/>
      <w:lvlJc w:val="left"/>
      <w:pPr>
        <w:ind w:left="3345" w:hanging="360"/>
      </w:pPr>
      <w:rPr>
        <w:rFonts w:hint="default"/>
      </w:rPr>
    </w:lvl>
    <w:lvl w:ilvl="5">
      <w:start w:val="0"/>
      <w:numFmt w:val="bullet"/>
      <w:lvlText w:val="•"/>
      <w:lvlJc w:val="left"/>
      <w:pPr>
        <w:ind w:left="3860" w:hanging="360"/>
      </w:pPr>
      <w:rPr>
        <w:rFonts w:hint="default"/>
      </w:rPr>
    </w:lvl>
    <w:lvl w:ilvl="6">
      <w:start w:val="0"/>
      <w:numFmt w:val="bullet"/>
      <w:lvlText w:val="•"/>
      <w:lvlJc w:val="left"/>
      <w:pPr>
        <w:ind w:left="4376" w:hanging="360"/>
      </w:pPr>
      <w:rPr>
        <w:rFonts w:hint="default"/>
      </w:rPr>
    </w:lvl>
    <w:lvl w:ilvl="7">
      <w:start w:val="0"/>
      <w:numFmt w:val="bullet"/>
      <w:lvlText w:val="•"/>
      <w:lvlJc w:val="left"/>
      <w:pPr>
        <w:ind w:left="4891" w:hanging="360"/>
      </w:pPr>
      <w:rPr>
        <w:rFonts w:hint="default"/>
      </w:rPr>
    </w:lvl>
    <w:lvl w:ilvl="8">
      <w:start w:val="0"/>
      <w:numFmt w:val="bullet"/>
      <w:lvlText w:val="•"/>
      <w:lvlJc w:val="left"/>
      <w:pPr>
        <w:ind w:left="5406" w:hanging="360"/>
      </w:pPr>
      <w:rPr>
        <w:rFonts w:hint="default"/>
      </w:rPr>
    </w:lvl>
  </w:abstractNum>
  <w:abstractNum w:abstractNumId="13">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2">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1">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10">
    <w:multiLevelType w:val="hybridMultilevel"/>
    <w:lvl w:ilvl="0">
      <w:start w:val="0"/>
      <w:numFmt w:val="bullet"/>
      <w:lvlText w:val=""/>
      <w:lvlJc w:val="left"/>
      <w:pPr>
        <w:ind w:left="828" w:hanging="360"/>
      </w:pPr>
      <w:rPr>
        <w:rFonts w:hint="default" w:ascii="Symbol" w:hAnsi="Symbol" w:eastAsia="Symbol" w:cs="Symbol"/>
        <w:w w:val="100"/>
        <w:sz w:val="20"/>
        <w:szCs w:val="20"/>
      </w:rPr>
    </w:lvl>
    <w:lvl w:ilvl="1">
      <w:start w:val="0"/>
      <w:numFmt w:val="bullet"/>
      <w:lvlText w:val="•"/>
      <w:lvlJc w:val="left"/>
      <w:pPr>
        <w:ind w:left="1516" w:hanging="360"/>
      </w:pPr>
      <w:rPr>
        <w:rFonts w:hint="default"/>
      </w:rPr>
    </w:lvl>
    <w:lvl w:ilvl="2">
      <w:start w:val="0"/>
      <w:numFmt w:val="bullet"/>
      <w:lvlText w:val="•"/>
      <w:lvlJc w:val="left"/>
      <w:pPr>
        <w:ind w:left="2213" w:hanging="360"/>
      </w:pPr>
      <w:rPr>
        <w:rFonts w:hint="default"/>
      </w:rPr>
    </w:lvl>
    <w:lvl w:ilvl="3">
      <w:start w:val="0"/>
      <w:numFmt w:val="bullet"/>
      <w:lvlText w:val="•"/>
      <w:lvlJc w:val="left"/>
      <w:pPr>
        <w:ind w:left="2910" w:hanging="360"/>
      </w:pPr>
      <w:rPr>
        <w:rFonts w:hint="default"/>
      </w:rPr>
    </w:lvl>
    <w:lvl w:ilvl="4">
      <w:start w:val="0"/>
      <w:numFmt w:val="bullet"/>
      <w:lvlText w:val="•"/>
      <w:lvlJc w:val="left"/>
      <w:pPr>
        <w:ind w:left="3607" w:hanging="360"/>
      </w:pPr>
      <w:rPr>
        <w:rFonts w:hint="default"/>
      </w:rPr>
    </w:lvl>
    <w:lvl w:ilvl="5">
      <w:start w:val="0"/>
      <w:numFmt w:val="bullet"/>
      <w:lvlText w:val="•"/>
      <w:lvlJc w:val="left"/>
      <w:pPr>
        <w:ind w:left="4304" w:hanging="360"/>
      </w:pPr>
      <w:rPr>
        <w:rFonts w:hint="default"/>
      </w:rPr>
    </w:lvl>
    <w:lvl w:ilvl="6">
      <w:start w:val="0"/>
      <w:numFmt w:val="bullet"/>
      <w:lvlText w:val="•"/>
      <w:lvlJc w:val="left"/>
      <w:pPr>
        <w:ind w:left="5000" w:hanging="360"/>
      </w:pPr>
      <w:rPr>
        <w:rFonts w:hint="default"/>
      </w:rPr>
    </w:lvl>
    <w:lvl w:ilvl="7">
      <w:start w:val="0"/>
      <w:numFmt w:val="bullet"/>
      <w:lvlText w:val="•"/>
      <w:lvlJc w:val="left"/>
      <w:pPr>
        <w:ind w:left="5697" w:hanging="360"/>
      </w:pPr>
      <w:rPr>
        <w:rFonts w:hint="default"/>
      </w:rPr>
    </w:lvl>
    <w:lvl w:ilvl="8">
      <w:start w:val="0"/>
      <w:numFmt w:val="bullet"/>
      <w:lvlText w:val="•"/>
      <w:lvlJc w:val="left"/>
      <w:pPr>
        <w:ind w:left="6394" w:hanging="360"/>
      </w:pPr>
      <w:rPr>
        <w:rFonts w:hint="default"/>
      </w:rPr>
    </w:lvl>
  </w:abstractNum>
  <w:abstractNum w:abstractNumId="9">
    <w:multiLevelType w:val="hybridMultilevel"/>
    <w:lvl w:ilvl="0">
      <w:start w:val="0"/>
      <w:numFmt w:val="bullet"/>
      <w:lvlText w:val=""/>
      <w:lvlJc w:val="left"/>
      <w:pPr>
        <w:ind w:left="828" w:hanging="360"/>
      </w:pPr>
      <w:rPr>
        <w:rFonts w:hint="default" w:ascii="Symbol" w:hAnsi="Symbol" w:eastAsia="Symbol" w:cs="Symbol"/>
        <w:w w:val="100"/>
        <w:sz w:val="20"/>
        <w:szCs w:val="20"/>
      </w:rPr>
    </w:lvl>
    <w:lvl w:ilvl="1">
      <w:start w:val="0"/>
      <w:numFmt w:val="bullet"/>
      <w:lvlText w:val="•"/>
      <w:lvlJc w:val="left"/>
      <w:pPr>
        <w:ind w:left="1516" w:hanging="360"/>
      </w:pPr>
      <w:rPr>
        <w:rFonts w:hint="default"/>
      </w:rPr>
    </w:lvl>
    <w:lvl w:ilvl="2">
      <w:start w:val="0"/>
      <w:numFmt w:val="bullet"/>
      <w:lvlText w:val="•"/>
      <w:lvlJc w:val="left"/>
      <w:pPr>
        <w:ind w:left="2213" w:hanging="360"/>
      </w:pPr>
      <w:rPr>
        <w:rFonts w:hint="default"/>
      </w:rPr>
    </w:lvl>
    <w:lvl w:ilvl="3">
      <w:start w:val="0"/>
      <w:numFmt w:val="bullet"/>
      <w:lvlText w:val="•"/>
      <w:lvlJc w:val="left"/>
      <w:pPr>
        <w:ind w:left="2910" w:hanging="360"/>
      </w:pPr>
      <w:rPr>
        <w:rFonts w:hint="default"/>
      </w:rPr>
    </w:lvl>
    <w:lvl w:ilvl="4">
      <w:start w:val="0"/>
      <w:numFmt w:val="bullet"/>
      <w:lvlText w:val="•"/>
      <w:lvlJc w:val="left"/>
      <w:pPr>
        <w:ind w:left="3607" w:hanging="360"/>
      </w:pPr>
      <w:rPr>
        <w:rFonts w:hint="default"/>
      </w:rPr>
    </w:lvl>
    <w:lvl w:ilvl="5">
      <w:start w:val="0"/>
      <w:numFmt w:val="bullet"/>
      <w:lvlText w:val="•"/>
      <w:lvlJc w:val="left"/>
      <w:pPr>
        <w:ind w:left="4304" w:hanging="360"/>
      </w:pPr>
      <w:rPr>
        <w:rFonts w:hint="default"/>
      </w:rPr>
    </w:lvl>
    <w:lvl w:ilvl="6">
      <w:start w:val="0"/>
      <w:numFmt w:val="bullet"/>
      <w:lvlText w:val="•"/>
      <w:lvlJc w:val="left"/>
      <w:pPr>
        <w:ind w:left="5000" w:hanging="360"/>
      </w:pPr>
      <w:rPr>
        <w:rFonts w:hint="default"/>
      </w:rPr>
    </w:lvl>
    <w:lvl w:ilvl="7">
      <w:start w:val="0"/>
      <w:numFmt w:val="bullet"/>
      <w:lvlText w:val="•"/>
      <w:lvlJc w:val="left"/>
      <w:pPr>
        <w:ind w:left="5697" w:hanging="360"/>
      </w:pPr>
      <w:rPr>
        <w:rFonts w:hint="default"/>
      </w:rPr>
    </w:lvl>
    <w:lvl w:ilvl="8">
      <w:start w:val="0"/>
      <w:numFmt w:val="bullet"/>
      <w:lvlText w:val="•"/>
      <w:lvlJc w:val="left"/>
      <w:pPr>
        <w:ind w:left="6394" w:hanging="360"/>
      </w:pPr>
      <w:rPr>
        <w:rFonts w:hint="default"/>
      </w:rPr>
    </w:lvl>
  </w:abstractNum>
  <w:abstractNum w:abstractNumId="7">
    <w:multiLevelType w:val="hybridMultilevel"/>
    <w:lvl w:ilvl="0">
      <w:start w:val="0"/>
      <w:numFmt w:val="bullet"/>
      <w:lvlText w:val=""/>
      <w:lvlJc w:val="left"/>
      <w:pPr>
        <w:ind w:left="1399" w:hanging="361"/>
      </w:pPr>
      <w:rPr>
        <w:rFonts w:hint="default" w:ascii="Symbol" w:hAnsi="Symbol" w:eastAsia="Symbol" w:cs="Symbol"/>
        <w:w w:val="100"/>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2315" w:hanging="360"/>
      </w:pPr>
      <w:rPr>
        <w:rFonts w:hint="default"/>
      </w:rPr>
    </w:lvl>
    <w:lvl w:ilvl="3">
      <w:start w:val="0"/>
      <w:numFmt w:val="bullet"/>
      <w:lvlText w:val="•"/>
      <w:lvlJc w:val="left"/>
      <w:pPr>
        <w:ind w:left="2830" w:hanging="360"/>
      </w:pPr>
      <w:rPr>
        <w:rFonts w:hint="default"/>
      </w:rPr>
    </w:lvl>
    <w:lvl w:ilvl="4">
      <w:start w:val="0"/>
      <w:numFmt w:val="bullet"/>
      <w:lvlText w:val="•"/>
      <w:lvlJc w:val="left"/>
      <w:pPr>
        <w:ind w:left="3345" w:hanging="360"/>
      </w:pPr>
      <w:rPr>
        <w:rFonts w:hint="default"/>
      </w:rPr>
    </w:lvl>
    <w:lvl w:ilvl="5">
      <w:start w:val="0"/>
      <w:numFmt w:val="bullet"/>
      <w:lvlText w:val="•"/>
      <w:lvlJc w:val="left"/>
      <w:pPr>
        <w:ind w:left="3860" w:hanging="360"/>
      </w:pPr>
      <w:rPr>
        <w:rFonts w:hint="default"/>
      </w:rPr>
    </w:lvl>
    <w:lvl w:ilvl="6">
      <w:start w:val="0"/>
      <w:numFmt w:val="bullet"/>
      <w:lvlText w:val="•"/>
      <w:lvlJc w:val="left"/>
      <w:pPr>
        <w:ind w:left="4375" w:hanging="360"/>
      </w:pPr>
      <w:rPr>
        <w:rFonts w:hint="default"/>
      </w:rPr>
    </w:lvl>
    <w:lvl w:ilvl="7">
      <w:start w:val="0"/>
      <w:numFmt w:val="bullet"/>
      <w:lvlText w:val="•"/>
      <w:lvlJc w:val="left"/>
      <w:pPr>
        <w:ind w:left="4891" w:hanging="360"/>
      </w:pPr>
      <w:rPr>
        <w:rFonts w:hint="default"/>
      </w:rPr>
    </w:lvl>
    <w:lvl w:ilvl="8">
      <w:start w:val="0"/>
      <w:numFmt w:val="bullet"/>
      <w:lvlText w:val="•"/>
      <w:lvlJc w:val="left"/>
      <w:pPr>
        <w:ind w:left="5406" w:hanging="360"/>
      </w:pPr>
      <w:rPr>
        <w:rFonts w:hint="default"/>
      </w:rPr>
    </w:lvl>
  </w:abstractNum>
  <w:abstractNum w:abstractNumId="6">
    <w:multiLevelType w:val="hybridMultilevel"/>
    <w:lvl w:ilvl="0">
      <w:start w:val="1"/>
      <w:numFmt w:val="decimal"/>
      <w:lvlText w:val="%1."/>
      <w:lvlJc w:val="left"/>
      <w:pPr>
        <w:ind w:left="1038" w:hanging="360"/>
        <w:jc w:val="right"/>
      </w:pPr>
      <w:rPr>
        <w:rFonts w:hint="default" w:ascii="Arial" w:hAnsi="Arial" w:eastAsia="Arial" w:cs="Arial"/>
        <w:b/>
        <w:bCs/>
        <w:i/>
        <w:spacing w:val="0"/>
        <w:w w:val="99"/>
        <w:sz w:val="22"/>
        <w:szCs w:val="22"/>
      </w:rPr>
    </w:lvl>
    <w:lvl w:ilvl="1">
      <w:start w:val="0"/>
      <w:numFmt w:val="bullet"/>
      <w:lvlText w:val=""/>
      <w:lvlJc w:val="left"/>
      <w:pPr>
        <w:ind w:left="2160" w:hanging="360"/>
      </w:pPr>
      <w:rPr>
        <w:rFonts w:hint="default" w:ascii="Symbol" w:hAnsi="Symbol" w:eastAsia="Symbol" w:cs="Symbol"/>
        <w:w w:val="100"/>
        <w:sz w:val="22"/>
        <w:szCs w:val="22"/>
      </w:rPr>
    </w:lvl>
    <w:lvl w:ilvl="2">
      <w:start w:val="0"/>
      <w:numFmt w:val="bullet"/>
      <w:lvlText w:val="•"/>
      <w:lvlJc w:val="left"/>
      <w:pPr>
        <w:ind w:left="2560" w:hanging="360"/>
      </w:pPr>
      <w:rPr>
        <w:rFonts w:hint="default"/>
      </w:rPr>
    </w:lvl>
    <w:lvl w:ilvl="3">
      <w:start w:val="0"/>
      <w:numFmt w:val="bullet"/>
      <w:lvlText w:val="•"/>
      <w:lvlJc w:val="left"/>
      <w:pPr>
        <w:ind w:left="2960" w:hanging="360"/>
      </w:pPr>
      <w:rPr>
        <w:rFonts w:hint="default"/>
      </w:rPr>
    </w:lvl>
    <w:lvl w:ilvl="4">
      <w:start w:val="0"/>
      <w:numFmt w:val="bullet"/>
      <w:lvlText w:val="•"/>
      <w:lvlJc w:val="left"/>
      <w:pPr>
        <w:ind w:left="3361" w:hanging="360"/>
      </w:pPr>
      <w:rPr>
        <w:rFonts w:hint="default"/>
      </w:rPr>
    </w:lvl>
    <w:lvl w:ilvl="5">
      <w:start w:val="0"/>
      <w:numFmt w:val="bullet"/>
      <w:lvlText w:val="•"/>
      <w:lvlJc w:val="left"/>
      <w:pPr>
        <w:ind w:left="3761" w:hanging="360"/>
      </w:pPr>
      <w:rPr>
        <w:rFonts w:hint="default"/>
      </w:rPr>
    </w:lvl>
    <w:lvl w:ilvl="6">
      <w:start w:val="0"/>
      <w:numFmt w:val="bullet"/>
      <w:lvlText w:val="•"/>
      <w:lvlJc w:val="left"/>
      <w:pPr>
        <w:ind w:left="4161" w:hanging="360"/>
      </w:pPr>
      <w:rPr>
        <w:rFonts w:hint="default"/>
      </w:rPr>
    </w:lvl>
    <w:lvl w:ilvl="7">
      <w:start w:val="0"/>
      <w:numFmt w:val="bullet"/>
      <w:lvlText w:val="•"/>
      <w:lvlJc w:val="left"/>
      <w:pPr>
        <w:ind w:left="4562" w:hanging="360"/>
      </w:pPr>
      <w:rPr>
        <w:rFonts w:hint="default"/>
      </w:rPr>
    </w:lvl>
    <w:lvl w:ilvl="8">
      <w:start w:val="0"/>
      <w:numFmt w:val="bullet"/>
      <w:lvlText w:val="•"/>
      <w:lvlJc w:val="left"/>
      <w:pPr>
        <w:ind w:left="4962" w:hanging="360"/>
      </w:pPr>
      <w:rPr>
        <w:rFonts w:hint="default"/>
      </w:rPr>
    </w:lvl>
  </w:abstractNum>
  <w:abstractNum w:abstractNumId="5">
    <w:multiLevelType w:val="hybridMultilevel"/>
    <w:lvl w:ilvl="0">
      <w:start w:val="1"/>
      <w:numFmt w:val="decimal"/>
      <w:lvlText w:val="%1."/>
      <w:lvlJc w:val="left"/>
      <w:pPr>
        <w:ind w:left="883" w:hanging="244"/>
        <w:jc w:val="left"/>
      </w:pPr>
      <w:rPr>
        <w:rFonts w:hint="default" w:ascii="Arial" w:hAnsi="Arial" w:eastAsia="Arial" w:cs="Arial"/>
        <w:b/>
        <w:bCs/>
        <w:i/>
        <w:spacing w:val="0"/>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4549" w:hanging="360"/>
      </w:pPr>
      <w:rPr>
        <w:rFonts w:hint="default" w:ascii="Symbol" w:hAnsi="Symbol" w:eastAsia="Symbol" w:cs="Symbol"/>
        <w:w w:val="100"/>
        <w:sz w:val="22"/>
        <w:szCs w:val="22"/>
      </w:rPr>
    </w:lvl>
    <w:lvl w:ilvl="3">
      <w:start w:val="0"/>
      <w:numFmt w:val="bullet"/>
      <w:lvlText w:val="•"/>
      <w:lvlJc w:val="left"/>
      <w:pPr>
        <w:ind w:left="4772" w:hanging="360"/>
      </w:pPr>
      <w:rPr>
        <w:rFonts w:hint="default"/>
      </w:rPr>
    </w:lvl>
    <w:lvl w:ilvl="4">
      <w:start w:val="0"/>
      <w:numFmt w:val="bullet"/>
      <w:lvlText w:val="•"/>
      <w:lvlJc w:val="left"/>
      <w:pPr>
        <w:ind w:left="5004" w:hanging="360"/>
      </w:pPr>
      <w:rPr>
        <w:rFonts w:hint="default"/>
      </w:rPr>
    </w:lvl>
    <w:lvl w:ilvl="5">
      <w:start w:val="0"/>
      <w:numFmt w:val="bullet"/>
      <w:lvlText w:val="•"/>
      <w:lvlJc w:val="left"/>
      <w:pPr>
        <w:ind w:left="5236" w:hanging="360"/>
      </w:pPr>
      <w:rPr>
        <w:rFonts w:hint="default"/>
      </w:rPr>
    </w:lvl>
    <w:lvl w:ilvl="6">
      <w:start w:val="0"/>
      <w:numFmt w:val="bullet"/>
      <w:lvlText w:val="•"/>
      <w:lvlJc w:val="left"/>
      <w:pPr>
        <w:ind w:left="5469" w:hanging="360"/>
      </w:pPr>
      <w:rPr>
        <w:rFonts w:hint="default"/>
      </w:rPr>
    </w:lvl>
    <w:lvl w:ilvl="7">
      <w:start w:val="0"/>
      <w:numFmt w:val="bullet"/>
      <w:lvlText w:val="•"/>
      <w:lvlJc w:val="left"/>
      <w:pPr>
        <w:ind w:left="5701" w:hanging="360"/>
      </w:pPr>
      <w:rPr>
        <w:rFonts w:hint="default"/>
      </w:rPr>
    </w:lvl>
    <w:lvl w:ilvl="8">
      <w:start w:val="0"/>
      <w:numFmt w:val="bullet"/>
      <w:lvlText w:val="•"/>
      <w:lvlJc w:val="left"/>
      <w:pPr>
        <w:ind w:left="5933" w:hanging="360"/>
      </w:pPr>
      <w:rPr>
        <w:rFonts w:hint="default"/>
      </w:rPr>
    </w:lvl>
  </w:abstractNum>
  <w:abstractNum w:abstractNumId="4">
    <w:multiLevelType w:val="hybridMultilevel"/>
    <w:lvl w:ilvl="0">
      <w:start w:val="1"/>
      <w:numFmt w:val="decimal"/>
      <w:lvlText w:val="%1."/>
      <w:lvlJc w:val="left"/>
      <w:pPr>
        <w:ind w:left="678" w:hanging="244"/>
        <w:jc w:val="right"/>
      </w:pPr>
      <w:rPr>
        <w:rFonts w:hint="default" w:ascii="Arial" w:hAnsi="Arial" w:eastAsia="Arial" w:cs="Arial"/>
        <w:b/>
        <w:bCs/>
        <w:i/>
        <w:spacing w:val="0"/>
        <w:w w:val="99"/>
        <w:sz w:val="22"/>
        <w:szCs w:val="22"/>
      </w:rPr>
    </w:lvl>
    <w:lvl w:ilvl="1">
      <w:start w:val="0"/>
      <w:numFmt w:val="bullet"/>
      <w:lvlText w:val="•"/>
      <w:lvlJc w:val="left"/>
      <w:pPr>
        <w:ind w:left="1188" w:hanging="244"/>
      </w:pPr>
      <w:rPr>
        <w:rFonts w:hint="default"/>
      </w:rPr>
    </w:lvl>
    <w:lvl w:ilvl="2">
      <w:start w:val="0"/>
      <w:numFmt w:val="bullet"/>
      <w:lvlText w:val="•"/>
      <w:lvlJc w:val="left"/>
      <w:pPr>
        <w:ind w:left="1696" w:hanging="244"/>
      </w:pPr>
      <w:rPr>
        <w:rFonts w:hint="default"/>
      </w:rPr>
    </w:lvl>
    <w:lvl w:ilvl="3">
      <w:start w:val="0"/>
      <w:numFmt w:val="bullet"/>
      <w:lvlText w:val="•"/>
      <w:lvlJc w:val="left"/>
      <w:pPr>
        <w:ind w:left="2204" w:hanging="244"/>
      </w:pPr>
      <w:rPr>
        <w:rFonts w:hint="default"/>
      </w:rPr>
    </w:lvl>
    <w:lvl w:ilvl="4">
      <w:start w:val="0"/>
      <w:numFmt w:val="bullet"/>
      <w:lvlText w:val="•"/>
      <w:lvlJc w:val="left"/>
      <w:pPr>
        <w:ind w:left="2713" w:hanging="244"/>
      </w:pPr>
      <w:rPr>
        <w:rFonts w:hint="default"/>
      </w:rPr>
    </w:lvl>
    <w:lvl w:ilvl="5">
      <w:start w:val="0"/>
      <w:numFmt w:val="bullet"/>
      <w:lvlText w:val="•"/>
      <w:lvlJc w:val="left"/>
      <w:pPr>
        <w:ind w:left="3221" w:hanging="244"/>
      </w:pPr>
      <w:rPr>
        <w:rFonts w:hint="default"/>
      </w:rPr>
    </w:lvl>
    <w:lvl w:ilvl="6">
      <w:start w:val="0"/>
      <w:numFmt w:val="bullet"/>
      <w:lvlText w:val="•"/>
      <w:lvlJc w:val="left"/>
      <w:pPr>
        <w:ind w:left="3729" w:hanging="244"/>
      </w:pPr>
      <w:rPr>
        <w:rFonts w:hint="default"/>
      </w:rPr>
    </w:lvl>
    <w:lvl w:ilvl="7">
      <w:start w:val="0"/>
      <w:numFmt w:val="bullet"/>
      <w:lvlText w:val="•"/>
      <w:lvlJc w:val="left"/>
      <w:pPr>
        <w:ind w:left="4238" w:hanging="244"/>
      </w:pPr>
      <w:rPr>
        <w:rFonts w:hint="default"/>
      </w:rPr>
    </w:lvl>
    <w:lvl w:ilvl="8">
      <w:start w:val="0"/>
      <w:numFmt w:val="bullet"/>
      <w:lvlText w:val="•"/>
      <w:lvlJc w:val="left"/>
      <w:pPr>
        <w:ind w:left="4746" w:hanging="244"/>
      </w:pPr>
      <w:rPr>
        <w:rFonts w:hint="default"/>
      </w:rPr>
    </w:lvl>
  </w:abstractNum>
  <w:abstractNum w:abstractNumId="3">
    <w:multiLevelType w:val="hybridMultilevel"/>
    <w:lvl w:ilvl="0">
      <w:start w:val="18"/>
      <w:numFmt w:val="decimal"/>
      <w:lvlText w:val="%1"/>
      <w:lvlJc w:val="left"/>
      <w:pPr>
        <w:ind w:left="1440" w:hanging="800"/>
        <w:jc w:val="left"/>
      </w:pPr>
      <w:rPr>
        <w:rFonts w:hint="default"/>
      </w:rPr>
    </w:lvl>
    <w:lvl w:ilvl="1">
      <w:start w:val="201"/>
      <w:numFmt w:val="decimal"/>
      <w:lvlText w:val="%1.%2"/>
      <w:lvlJc w:val="left"/>
      <w:pPr>
        <w:ind w:left="1440" w:hanging="800"/>
        <w:jc w:val="left"/>
      </w:pPr>
      <w:rPr>
        <w:rFonts w:hint="default" w:ascii="Arial" w:hAnsi="Arial" w:eastAsia="Arial" w:cs="Arial"/>
        <w:spacing w:val="-3"/>
        <w:w w:val="99"/>
        <w:sz w:val="22"/>
        <w:szCs w:val="22"/>
      </w:rPr>
    </w:lvl>
    <w:lvl w:ilvl="2">
      <w:start w:val="0"/>
      <w:numFmt w:val="bullet"/>
      <w:lvlText w:val=""/>
      <w:lvlJc w:val="left"/>
      <w:pPr>
        <w:ind w:left="2060" w:hanging="360"/>
      </w:pPr>
      <w:rPr>
        <w:rFonts w:hint="default" w:ascii="Symbol" w:hAnsi="Symbol" w:eastAsia="Symbol" w:cs="Symbol"/>
        <w:w w:val="100"/>
        <w:sz w:val="20"/>
        <w:szCs w:val="20"/>
      </w:rPr>
    </w:lvl>
    <w:lvl w:ilvl="3">
      <w:start w:val="0"/>
      <w:numFmt w:val="bullet"/>
      <w:lvlText w:val=""/>
      <w:lvlJc w:val="left"/>
      <w:pPr>
        <w:ind w:left="2160" w:hanging="360"/>
      </w:pPr>
      <w:rPr>
        <w:rFonts w:hint="default" w:ascii="Symbol" w:hAnsi="Symbol" w:eastAsia="Symbol" w:cs="Symbol"/>
        <w:w w:val="100"/>
        <w:sz w:val="22"/>
        <w:szCs w:val="22"/>
      </w:rPr>
    </w:lvl>
    <w:lvl w:ilvl="4">
      <w:start w:val="0"/>
      <w:numFmt w:val="bullet"/>
      <w:lvlText w:val="•"/>
      <w:lvlJc w:val="left"/>
      <w:pPr>
        <w:ind w:left="3060" w:hanging="360"/>
      </w:pPr>
      <w:rPr>
        <w:rFonts w:hint="default"/>
      </w:rPr>
    </w:lvl>
    <w:lvl w:ilvl="5">
      <w:start w:val="0"/>
      <w:numFmt w:val="bullet"/>
      <w:lvlText w:val="•"/>
      <w:lvlJc w:val="left"/>
      <w:pPr>
        <w:ind w:left="3510" w:hanging="360"/>
      </w:pPr>
      <w:rPr>
        <w:rFonts w:hint="default"/>
      </w:rPr>
    </w:lvl>
    <w:lvl w:ilvl="6">
      <w:start w:val="0"/>
      <w:numFmt w:val="bullet"/>
      <w:lvlText w:val="•"/>
      <w:lvlJc w:val="left"/>
      <w:pPr>
        <w:ind w:left="3960" w:hanging="360"/>
      </w:pPr>
      <w:rPr>
        <w:rFonts w:hint="default"/>
      </w:rPr>
    </w:lvl>
    <w:lvl w:ilvl="7">
      <w:start w:val="0"/>
      <w:numFmt w:val="bullet"/>
      <w:lvlText w:val="•"/>
      <w:lvlJc w:val="left"/>
      <w:pPr>
        <w:ind w:left="4410" w:hanging="360"/>
      </w:pPr>
      <w:rPr>
        <w:rFonts w:hint="default"/>
      </w:rPr>
    </w:lvl>
    <w:lvl w:ilvl="8">
      <w:start w:val="0"/>
      <w:numFmt w:val="bullet"/>
      <w:lvlText w:val="•"/>
      <w:lvlJc w:val="left"/>
      <w:pPr>
        <w:ind w:left="4860" w:hanging="360"/>
      </w:pPr>
      <w:rPr>
        <w:rFonts w:hint="default"/>
      </w:rPr>
    </w:lvl>
  </w:abstractNum>
  <w:abstractNum w:abstractNumId="2">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10" w:hanging="361"/>
      </w:pPr>
      <w:rPr>
        <w:rFonts w:hint="default"/>
      </w:rPr>
    </w:lvl>
    <w:lvl w:ilvl="2">
      <w:start w:val="0"/>
      <w:numFmt w:val="bullet"/>
      <w:lvlText w:val="•"/>
      <w:lvlJc w:val="left"/>
      <w:pPr>
        <w:ind w:left="1260" w:hanging="361"/>
      </w:pPr>
      <w:rPr>
        <w:rFonts w:hint="default"/>
      </w:rPr>
    </w:lvl>
    <w:lvl w:ilvl="3">
      <w:start w:val="0"/>
      <w:numFmt w:val="bullet"/>
      <w:lvlText w:val="•"/>
      <w:lvlJc w:val="left"/>
      <w:pPr>
        <w:ind w:left="1610" w:hanging="361"/>
      </w:pPr>
      <w:rPr>
        <w:rFonts w:hint="default"/>
      </w:rPr>
    </w:lvl>
    <w:lvl w:ilvl="4">
      <w:start w:val="0"/>
      <w:numFmt w:val="bullet"/>
      <w:lvlText w:val="•"/>
      <w:lvlJc w:val="left"/>
      <w:pPr>
        <w:ind w:left="1961" w:hanging="361"/>
      </w:pPr>
      <w:rPr>
        <w:rFonts w:hint="default"/>
      </w:rPr>
    </w:lvl>
    <w:lvl w:ilvl="5">
      <w:start w:val="0"/>
      <w:numFmt w:val="bullet"/>
      <w:lvlText w:val="•"/>
      <w:lvlJc w:val="left"/>
      <w:pPr>
        <w:ind w:left="2311" w:hanging="361"/>
      </w:pPr>
      <w:rPr>
        <w:rFonts w:hint="default"/>
      </w:rPr>
    </w:lvl>
    <w:lvl w:ilvl="6">
      <w:start w:val="0"/>
      <w:numFmt w:val="bullet"/>
      <w:lvlText w:val="•"/>
      <w:lvlJc w:val="left"/>
      <w:pPr>
        <w:ind w:left="2661" w:hanging="361"/>
      </w:pPr>
      <w:rPr>
        <w:rFonts w:hint="default"/>
      </w:rPr>
    </w:lvl>
    <w:lvl w:ilvl="7">
      <w:start w:val="0"/>
      <w:numFmt w:val="bullet"/>
      <w:lvlText w:val="•"/>
      <w:lvlJc w:val="left"/>
      <w:pPr>
        <w:ind w:left="3012" w:hanging="361"/>
      </w:pPr>
      <w:rPr>
        <w:rFonts w:hint="default"/>
      </w:rPr>
    </w:lvl>
    <w:lvl w:ilvl="8">
      <w:start w:val="0"/>
      <w:numFmt w:val="bullet"/>
      <w:lvlText w:val="•"/>
      <w:lvlJc w:val="left"/>
      <w:pPr>
        <w:ind w:left="3362" w:hanging="361"/>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10" w:hanging="361"/>
      </w:pPr>
      <w:rPr>
        <w:rFonts w:hint="default"/>
      </w:rPr>
    </w:lvl>
    <w:lvl w:ilvl="2">
      <w:start w:val="0"/>
      <w:numFmt w:val="bullet"/>
      <w:lvlText w:val="•"/>
      <w:lvlJc w:val="left"/>
      <w:pPr>
        <w:ind w:left="1260" w:hanging="361"/>
      </w:pPr>
      <w:rPr>
        <w:rFonts w:hint="default"/>
      </w:rPr>
    </w:lvl>
    <w:lvl w:ilvl="3">
      <w:start w:val="0"/>
      <w:numFmt w:val="bullet"/>
      <w:lvlText w:val="•"/>
      <w:lvlJc w:val="left"/>
      <w:pPr>
        <w:ind w:left="1610" w:hanging="361"/>
      </w:pPr>
      <w:rPr>
        <w:rFonts w:hint="default"/>
      </w:rPr>
    </w:lvl>
    <w:lvl w:ilvl="4">
      <w:start w:val="0"/>
      <w:numFmt w:val="bullet"/>
      <w:lvlText w:val="•"/>
      <w:lvlJc w:val="left"/>
      <w:pPr>
        <w:ind w:left="1961" w:hanging="361"/>
      </w:pPr>
      <w:rPr>
        <w:rFonts w:hint="default"/>
      </w:rPr>
    </w:lvl>
    <w:lvl w:ilvl="5">
      <w:start w:val="0"/>
      <w:numFmt w:val="bullet"/>
      <w:lvlText w:val="•"/>
      <w:lvlJc w:val="left"/>
      <w:pPr>
        <w:ind w:left="2311" w:hanging="361"/>
      </w:pPr>
      <w:rPr>
        <w:rFonts w:hint="default"/>
      </w:rPr>
    </w:lvl>
    <w:lvl w:ilvl="6">
      <w:start w:val="0"/>
      <w:numFmt w:val="bullet"/>
      <w:lvlText w:val="•"/>
      <w:lvlJc w:val="left"/>
      <w:pPr>
        <w:ind w:left="2661" w:hanging="361"/>
      </w:pPr>
      <w:rPr>
        <w:rFonts w:hint="default"/>
      </w:rPr>
    </w:lvl>
    <w:lvl w:ilvl="7">
      <w:start w:val="0"/>
      <w:numFmt w:val="bullet"/>
      <w:lvlText w:val="•"/>
      <w:lvlJc w:val="left"/>
      <w:pPr>
        <w:ind w:left="3012" w:hanging="361"/>
      </w:pPr>
      <w:rPr>
        <w:rFonts w:hint="default"/>
      </w:rPr>
    </w:lvl>
    <w:lvl w:ilvl="8">
      <w:start w:val="0"/>
      <w:numFmt w:val="bullet"/>
      <w:lvlText w:val="•"/>
      <w:lvlJc w:val="left"/>
      <w:pPr>
        <w:ind w:left="3362"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910" w:hanging="361"/>
      </w:pPr>
      <w:rPr>
        <w:rFonts w:hint="default"/>
      </w:rPr>
    </w:lvl>
    <w:lvl w:ilvl="2">
      <w:start w:val="0"/>
      <w:numFmt w:val="bullet"/>
      <w:lvlText w:val="•"/>
      <w:lvlJc w:val="left"/>
      <w:pPr>
        <w:ind w:left="1260" w:hanging="361"/>
      </w:pPr>
      <w:rPr>
        <w:rFonts w:hint="default"/>
      </w:rPr>
    </w:lvl>
    <w:lvl w:ilvl="3">
      <w:start w:val="0"/>
      <w:numFmt w:val="bullet"/>
      <w:lvlText w:val="•"/>
      <w:lvlJc w:val="left"/>
      <w:pPr>
        <w:ind w:left="1610" w:hanging="361"/>
      </w:pPr>
      <w:rPr>
        <w:rFonts w:hint="default"/>
      </w:rPr>
    </w:lvl>
    <w:lvl w:ilvl="4">
      <w:start w:val="0"/>
      <w:numFmt w:val="bullet"/>
      <w:lvlText w:val="•"/>
      <w:lvlJc w:val="left"/>
      <w:pPr>
        <w:ind w:left="1961" w:hanging="361"/>
      </w:pPr>
      <w:rPr>
        <w:rFonts w:hint="default"/>
      </w:rPr>
    </w:lvl>
    <w:lvl w:ilvl="5">
      <w:start w:val="0"/>
      <w:numFmt w:val="bullet"/>
      <w:lvlText w:val="•"/>
      <w:lvlJc w:val="left"/>
      <w:pPr>
        <w:ind w:left="2311" w:hanging="361"/>
      </w:pPr>
      <w:rPr>
        <w:rFonts w:hint="default"/>
      </w:rPr>
    </w:lvl>
    <w:lvl w:ilvl="6">
      <w:start w:val="0"/>
      <w:numFmt w:val="bullet"/>
      <w:lvlText w:val="•"/>
      <w:lvlJc w:val="left"/>
      <w:pPr>
        <w:ind w:left="2661" w:hanging="361"/>
      </w:pPr>
      <w:rPr>
        <w:rFonts w:hint="default"/>
      </w:rPr>
    </w:lvl>
    <w:lvl w:ilvl="7">
      <w:start w:val="0"/>
      <w:numFmt w:val="bullet"/>
      <w:lvlText w:val="•"/>
      <w:lvlJc w:val="left"/>
      <w:pPr>
        <w:ind w:left="3012" w:hanging="361"/>
      </w:pPr>
      <w:rPr>
        <w:rFonts w:hint="default"/>
      </w:rPr>
    </w:lvl>
    <w:lvl w:ilvl="8">
      <w:start w:val="0"/>
      <w:numFmt w:val="bullet"/>
      <w:lvlText w:val="•"/>
      <w:lvlJc w:val="left"/>
      <w:pPr>
        <w:ind w:left="3362" w:hanging="361"/>
      </w:pPr>
      <w:rPr>
        <w:rFonts w:hint="default"/>
      </w:rPr>
    </w:lvl>
  </w:abstractNum>
  <w:num w:numId="9">
    <w:abstractNumId w:val="8"/>
  </w:num>
  <w:num w:numId="14">
    <w:abstractNumId w:val="13"/>
  </w:num>
  <w:num w:numId="13">
    <w:abstractNumId w:val="12"/>
  </w:num>
  <w:num w:numId="12">
    <w:abstractNumId w:val="11"/>
  </w:num>
  <w:num w:numId="11">
    <w:abstractNumId w:val="10"/>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804"/>
      <w:ind w:left="1700"/>
    </w:pPr>
    <w:rPr>
      <w:rFonts w:ascii="Arial" w:hAnsi="Arial" w:eastAsia="Arial" w:cs="Arial"/>
      <w:b/>
      <w:bCs/>
      <w:sz w:val="24"/>
      <w:szCs w:val="24"/>
    </w:rPr>
  </w:style>
  <w:style w:styleId="TOC2" w:type="paragraph">
    <w:name w:val="TOC 2"/>
    <w:basedOn w:val="Normal"/>
    <w:uiPriority w:val="1"/>
    <w:qFormat/>
    <w:pPr>
      <w:spacing w:before="283"/>
      <w:ind w:left="1700"/>
    </w:pPr>
    <w:rPr>
      <w:rFonts w:ascii="Arial" w:hAnsi="Arial" w:eastAsia="Arial" w:cs="Arial"/>
      <w:sz w:val="24"/>
      <w:szCs w:val="24"/>
    </w:rPr>
  </w:style>
  <w:style w:styleId="TOC3" w:type="paragraph">
    <w:name w:val="TOC 3"/>
    <w:basedOn w:val="Normal"/>
    <w:uiPriority w:val="1"/>
    <w:qFormat/>
    <w:pPr>
      <w:ind w:left="1700"/>
    </w:pPr>
    <w:rPr>
      <w:rFonts w:ascii="Arial" w:hAnsi="Arial" w:eastAsia="Arial" w:cs="Arial"/>
      <w:i/>
      <w:sz w:val="20"/>
      <w:szCs w:val="20"/>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231"/>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437"/>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ind w:left="1440"/>
      <w:jc w:val="both"/>
      <w:outlineLvl w:val="5"/>
    </w:pPr>
    <w:rPr>
      <w:rFonts w:ascii="Arial" w:hAnsi="Arial" w:eastAsia="Arial" w:cs="Arial"/>
      <w:b/>
      <w:bCs/>
      <w:i/>
      <w:sz w:val="22"/>
      <w:szCs w:val="22"/>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ind w:left="82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header" Target="header4.xml"/><Relationship Id="rId45" Type="http://schemas.openxmlformats.org/officeDocument/2006/relationships/header" Target="header5.xml"/><Relationship Id="rId46" Type="http://schemas.openxmlformats.org/officeDocument/2006/relationships/footer" Target="footer5.xml"/><Relationship Id="rId47" Type="http://schemas.openxmlformats.org/officeDocument/2006/relationships/footer" Target="footer6.xml"/><Relationship Id="rId48" Type="http://schemas.openxmlformats.org/officeDocument/2006/relationships/image" Target="media/image35.png"/><Relationship Id="rId49" Type="http://schemas.openxmlformats.org/officeDocument/2006/relationships/image" Target="media/image36.png"/><Relationship Id="rId50" Type="http://schemas.openxmlformats.org/officeDocument/2006/relationships/header" Target="header6.xml"/><Relationship Id="rId51" Type="http://schemas.openxmlformats.org/officeDocument/2006/relationships/header" Target="header7.xml"/><Relationship Id="rId52" Type="http://schemas.openxmlformats.org/officeDocument/2006/relationships/footer" Target="footer7.xml"/><Relationship Id="rId53" Type="http://schemas.openxmlformats.org/officeDocument/2006/relationships/footer" Target="footer8.xml"/><Relationship Id="rId54" Type="http://schemas.openxmlformats.org/officeDocument/2006/relationships/header" Target="header8.xml"/><Relationship Id="rId55" Type="http://schemas.openxmlformats.org/officeDocument/2006/relationships/header" Target="header9.xml"/><Relationship Id="rId56" Type="http://schemas.openxmlformats.org/officeDocument/2006/relationships/image" Target="media/image37.png"/><Relationship Id="rId57" Type="http://schemas.openxmlformats.org/officeDocument/2006/relationships/image" Target="media/image38.png"/><Relationship Id="rId58" Type="http://schemas.openxmlformats.org/officeDocument/2006/relationships/header" Target="header10.xml"/><Relationship Id="rId59" Type="http://schemas.openxmlformats.org/officeDocument/2006/relationships/footer" Target="footer9.xml"/><Relationship Id="rId60" Type="http://schemas.openxmlformats.org/officeDocument/2006/relationships/footer" Target="footer10.xml"/><Relationship Id="rId61" Type="http://schemas.openxmlformats.org/officeDocument/2006/relationships/header" Target="header11.xml"/><Relationship Id="rId62" Type="http://schemas.openxmlformats.org/officeDocument/2006/relationships/header" Target="header12.xml"/><Relationship Id="rId63" Type="http://schemas.openxmlformats.org/officeDocument/2006/relationships/footer" Target="footer11.xml"/><Relationship Id="rId64" Type="http://schemas.openxmlformats.org/officeDocument/2006/relationships/footer" Target="footer12.xml"/><Relationship Id="rId65" Type="http://schemas.openxmlformats.org/officeDocument/2006/relationships/header" Target="header13.xml"/><Relationship Id="rId66" Type="http://schemas.openxmlformats.org/officeDocument/2006/relationships/image" Target="media/image39.png"/><Relationship Id="rId67" Type="http://schemas.openxmlformats.org/officeDocument/2006/relationships/image" Target="media/image40.png"/><Relationship Id="rId68" Type="http://schemas.openxmlformats.org/officeDocument/2006/relationships/header" Target="header14.xml"/><Relationship Id="rId69" Type="http://schemas.openxmlformats.org/officeDocument/2006/relationships/header" Target="header15.xml"/><Relationship Id="rId70" Type="http://schemas.openxmlformats.org/officeDocument/2006/relationships/footer" Target="footer13.xml"/><Relationship Id="rId71" Type="http://schemas.openxmlformats.org/officeDocument/2006/relationships/footer" Target="footer14.xml"/><Relationship Id="rId72" Type="http://schemas.openxmlformats.org/officeDocument/2006/relationships/footer" Target="footer15.xml"/><Relationship Id="rId73" Type="http://schemas.openxmlformats.org/officeDocument/2006/relationships/footer" Target="footer16.xml"/><Relationship Id="rId74" Type="http://schemas.openxmlformats.org/officeDocument/2006/relationships/header" Target="header16.xml"/><Relationship Id="rId75" Type="http://schemas.openxmlformats.org/officeDocument/2006/relationships/hyperlink" Target="http://www.icmje.org/" TargetMode="External"/><Relationship Id="rId76" Type="http://schemas.openxmlformats.org/officeDocument/2006/relationships/header" Target="header17.xml"/><Relationship Id="rId77" Type="http://schemas.openxmlformats.org/officeDocument/2006/relationships/hyperlink" Target="http://www.scielo.cl/scielo.php?script=sci_arttext&amp;amp;pid=S0370-41062013000400012&amp;amp;lng=es&amp;amp;tlng=es" TargetMode="External"/><Relationship Id="rId78" Type="http://schemas.openxmlformats.org/officeDocument/2006/relationships/header" Target="header18.xml"/><Relationship Id="rId79" Type="http://schemas.openxmlformats.org/officeDocument/2006/relationships/footer" Target="footer17.xml"/><Relationship Id="rId80" Type="http://schemas.openxmlformats.org/officeDocument/2006/relationships/header" Target="header19.xml"/><Relationship Id="rId81" Type="http://schemas.openxmlformats.org/officeDocument/2006/relationships/footer" Target="footer18.xml"/><Relationship Id="rId82" Type="http://schemas.openxmlformats.org/officeDocument/2006/relationships/image" Target="media/image41.png"/><Relationship Id="rId83" Type="http://schemas.openxmlformats.org/officeDocument/2006/relationships/image" Target="media/image42.jpeg"/><Relationship Id="rId84" Type="http://schemas.openxmlformats.org/officeDocument/2006/relationships/header" Target="header20.xml"/><Relationship Id="rId85" Type="http://schemas.openxmlformats.org/officeDocument/2006/relationships/footer" Target="footer19.xml"/><Relationship Id="rId86" Type="http://schemas.openxmlformats.org/officeDocument/2006/relationships/image" Target="media/image43.png"/><Relationship Id="rId87" Type="http://schemas.openxmlformats.org/officeDocument/2006/relationships/image" Target="media/image44.png"/><Relationship Id="rId8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2.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3.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5.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6.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7.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34.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2018-03-26T20:47:18Z</dcterms:created>
  <dcterms:modified xsi:type="dcterms:W3CDTF">2018-03-26T20:47:18Z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